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SimHei" w:hAnsi="SimHei" w:eastAsia="黑体"/>
          <w:color w:val="FFFFFF"/>
          <w:lang w:val="en-US" w:eastAsia="en-US"/>
        </w:rPr>
      </w:r>
    </w:p>
    <w:p>
      <w:pPr>
        <w:pStyle w:val="Normal"/>
        <w:rPr>
          <w:lang w:val="en-US" w:eastAsia="en-US"/>
        </w:rPr>
      </w:pPr>
      <w:r>
        <w:rPr>
          <w:rFonts w:ascii="SimHei" w:hAnsi="SimHei" w:eastAsia="黑体"/>
          <w:lang w:val="en-US" w:eastAsia="en-US"/>
        </w:rPr>
      </w:r>
    </w:p>
    <w:p>
      <w:pPr>
        <w:pStyle w:val="Normal"/>
        <w:jc w:val="center"/>
        <w:rPr/>
      </w:pPr>
      <w:r>
        <w:rPr>
          <w:rFonts w:ascii="SimHei" w:hAnsi="SimHei" w:eastAsia="黑体"/>
        </w:rPr>
        <w:t>导购员业绩奖励明细表</w:t>
      </w:r>
    </w:p>
    <w:tbl>
      <w:tblPr>
        <w:tblW w:w="1073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5"/>
        <w:gridCol w:w="899"/>
        <w:gridCol w:w="977"/>
        <w:gridCol w:w="145"/>
        <w:gridCol w:w="756"/>
        <w:gridCol w:w="534"/>
        <w:gridCol w:w="546"/>
        <w:gridCol w:w="954"/>
        <w:gridCol w:w="945"/>
        <w:gridCol w:w="1267"/>
        <w:gridCol w:w="173"/>
        <w:gridCol w:w="1810"/>
      </w:tblGrid>
      <w:tr>
        <w:trPr/>
        <w:tc>
          <w:tcPr>
            <w:tcW w:w="10731" w:type="dxa"/>
            <w:gridSpan w:val="1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大类的达成比率及提成比率</w:t>
            </w:r>
          </w:p>
        </w:tc>
      </w:tr>
      <w:tr>
        <w:trPr>
          <w:trHeight w:val="327" w:hRule="atLeast"/>
        </w:trPr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品类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达成比率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提成比率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达成比率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提成比率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达成比率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提成比率</w:t>
            </w:r>
          </w:p>
        </w:tc>
      </w:tr>
      <w:tr>
        <w:trPr/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 w:val="18"/>
                <w:szCs w:val="18"/>
              </w:rPr>
              <w:t>成熟品牌奶粉（除喜安智、御宝）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底限（含）以下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2%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110%</w:t>
            </w:r>
            <w:r>
              <w:rPr>
                <w:rFonts w:ascii="SimHei" w:hAnsi="SimHei" w:eastAsia="黑体"/>
                <w:color w:val="000000"/>
                <w:szCs w:val="21"/>
              </w:rPr>
              <w:t>含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3%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110%</w:t>
            </w:r>
            <w:r>
              <w:rPr>
                <w:rFonts w:ascii="SimHei" w:hAnsi="SimHei" w:eastAsia="黑体"/>
                <w:color w:val="000000"/>
                <w:szCs w:val="21"/>
              </w:rPr>
              <w:t>以上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</w:t>
            </w:r>
          </w:p>
        </w:tc>
      </w:tr>
      <w:tr>
        <w:trPr/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 w:val="18"/>
                <w:szCs w:val="18"/>
              </w:rPr>
              <w:t>喜安智、御宝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  <w:r>
              <w:rPr>
                <w:rFonts w:ascii="SimHei" w:hAnsi="SimHei" w:eastAsia="黑体"/>
                <w:color w:val="000000"/>
                <w:szCs w:val="21"/>
              </w:rPr>
              <w:t>以下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  <w:r>
              <w:rPr>
                <w:rFonts w:ascii="SimHei" w:hAnsi="SimHei" w:eastAsia="黑体"/>
                <w:color w:val="000000"/>
                <w:szCs w:val="21"/>
              </w:rPr>
              <w:t>以上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2%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——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——</w:t>
            </w:r>
          </w:p>
        </w:tc>
      </w:tr>
      <w:tr>
        <w:trPr/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用品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底限（含）以下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110%</w:t>
            </w:r>
            <w:r>
              <w:rPr>
                <w:rFonts w:ascii="SimHei" w:hAnsi="SimHei" w:eastAsia="黑体"/>
                <w:color w:val="000000"/>
                <w:szCs w:val="21"/>
              </w:rPr>
              <w:t>含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2%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110%</w:t>
            </w:r>
            <w:r>
              <w:rPr>
                <w:rFonts w:ascii="SimHei" w:hAnsi="SimHei" w:eastAsia="黑体"/>
                <w:color w:val="000000"/>
                <w:szCs w:val="21"/>
              </w:rPr>
              <w:t>以上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3%</w:t>
            </w:r>
          </w:p>
        </w:tc>
      </w:tr>
      <w:tr>
        <w:trPr/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玩具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底限（含）以下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  <w:r>
              <w:rPr>
                <w:rFonts w:ascii="SimHei" w:hAnsi="SimHei" w:eastAsia="黑体"/>
                <w:color w:val="000000"/>
                <w:szCs w:val="21"/>
              </w:rPr>
              <w:t>含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2%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  <w:r>
              <w:rPr>
                <w:rFonts w:ascii="SimHei" w:hAnsi="SimHei" w:eastAsia="黑体"/>
                <w:color w:val="000000"/>
                <w:szCs w:val="21"/>
              </w:rPr>
              <w:t>以上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3%</w:t>
            </w:r>
          </w:p>
        </w:tc>
      </w:tr>
      <w:tr>
        <w:trPr/>
        <w:tc>
          <w:tcPr>
            <w:tcW w:w="1725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童外装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底线以下（正价）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3%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  <w:color w:val="000000"/>
                <w:szCs w:val="21"/>
              </w:rPr>
              <w:t>101% /120%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5%/8%</w:t>
            </w:r>
          </w:p>
        </w:tc>
      </w:tr>
      <w:tr>
        <w:trPr/>
        <w:tc>
          <w:tcPr>
            <w:tcW w:w="1725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底线以下（非正价）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2%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3%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101% /120%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4%/5%</w:t>
            </w:r>
          </w:p>
        </w:tc>
      </w:tr>
      <w:tr>
        <w:trPr/>
        <w:tc>
          <w:tcPr>
            <w:tcW w:w="1725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童内衣</w:t>
            </w: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/</w:t>
            </w: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孕用品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底线以下（正价）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3%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  <w:r>
              <w:rPr>
                <w:rFonts w:ascii="SimHei" w:hAnsi="SimHei" w:eastAsia="黑体"/>
                <w:color w:val="000000"/>
                <w:szCs w:val="21"/>
              </w:rPr>
              <w:t>以上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5%</w:t>
            </w:r>
          </w:p>
        </w:tc>
      </w:tr>
      <w:tr>
        <w:trPr/>
        <w:tc>
          <w:tcPr>
            <w:tcW w:w="1725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底线以下（非正价）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2%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3%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  <w:r>
              <w:rPr>
                <w:rFonts w:ascii="SimHei" w:hAnsi="SimHei" w:eastAsia="黑体"/>
                <w:color w:val="000000"/>
                <w:szCs w:val="21"/>
              </w:rPr>
              <w:t>以上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</w:t>
            </w:r>
          </w:p>
        </w:tc>
      </w:tr>
      <w:tr>
        <w:trPr/>
        <w:tc>
          <w:tcPr>
            <w:tcW w:w="1725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孕装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底线以下（正价）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5%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  <w:r>
              <w:rPr>
                <w:rFonts w:ascii="SimHei" w:hAnsi="SimHei" w:eastAsia="黑体"/>
                <w:color w:val="000000"/>
                <w:szCs w:val="21"/>
              </w:rPr>
              <w:t>以上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8%</w:t>
            </w:r>
          </w:p>
        </w:tc>
      </w:tr>
      <w:tr>
        <w:trPr/>
        <w:tc>
          <w:tcPr>
            <w:tcW w:w="1725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底线以下（非正价）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3%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100%</w:t>
            </w:r>
            <w:r>
              <w:rPr>
                <w:rFonts w:ascii="SimHei" w:hAnsi="SimHei" w:eastAsia="黑体"/>
                <w:color w:val="000000"/>
                <w:szCs w:val="21"/>
              </w:rPr>
              <w:t>以上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</w:t>
            </w:r>
          </w:p>
        </w:tc>
      </w:tr>
      <w:tr>
        <w:trPr/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成熟品牌纸品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底限（含）以下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2%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120%</w:t>
            </w:r>
            <w:r>
              <w:rPr>
                <w:rFonts w:ascii="SimHei" w:hAnsi="SimHei" w:eastAsia="黑体"/>
                <w:color w:val="000000"/>
                <w:szCs w:val="21"/>
              </w:rPr>
              <w:t>含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3%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120%</w:t>
            </w:r>
            <w:r>
              <w:rPr>
                <w:rFonts w:ascii="SimHei" w:hAnsi="SimHei" w:eastAsia="黑体"/>
                <w:color w:val="000000"/>
                <w:szCs w:val="21"/>
              </w:rPr>
              <w:t>以上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</w:t>
            </w:r>
          </w:p>
        </w:tc>
      </w:tr>
      <w:tr>
        <w:trPr/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辅食</w:t>
            </w:r>
          </w:p>
        </w:tc>
        <w:tc>
          <w:tcPr>
            <w:tcW w:w="2021" w:type="dxa"/>
            <w:gridSpan w:val="3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底限（含）以下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2%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110%</w:t>
            </w:r>
            <w:r>
              <w:rPr>
                <w:rFonts w:ascii="SimHei" w:hAnsi="SimHei" w:eastAsia="黑体"/>
                <w:color w:val="000000"/>
                <w:szCs w:val="21"/>
              </w:rPr>
              <w:t>含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3%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110%</w:t>
            </w:r>
            <w:r>
              <w:rPr>
                <w:rFonts w:ascii="SimHei" w:hAnsi="SimHei" w:eastAsia="黑体"/>
                <w:color w:val="000000"/>
                <w:szCs w:val="21"/>
              </w:rPr>
              <w:t>以上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</w:t>
            </w:r>
          </w:p>
        </w:tc>
      </w:tr>
      <w:tr>
        <w:trPr>
          <w:trHeight w:val="252" w:hRule="atLeast"/>
        </w:trPr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营养品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底限（含）以下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2%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底限—</w:t>
            </w:r>
            <w:r>
              <w:rPr>
                <w:rFonts w:ascii="SimHei" w:hAnsi="SimHei" w:eastAsia="黑体"/>
                <w:color w:val="000000"/>
                <w:szCs w:val="21"/>
              </w:rPr>
              <w:t>110%</w:t>
            </w:r>
            <w:r>
              <w:rPr>
                <w:rFonts w:ascii="SimHei" w:hAnsi="SimHei" w:eastAsia="黑体"/>
                <w:color w:val="000000"/>
                <w:szCs w:val="21"/>
              </w:rPr>
              <w:t>含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3%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110%</w:t>
            </w:r>
            <w:r>
              <w:rPr>
                <w:rFonts w:ascii="SimHei" w:hAnsi="SimHei" w:eastAsia="黑体"/>
                <w:color w:val="000000"/>
                <w:szCs w:val="21"/>
              </w:rPr>
              <w:t>以上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</w:t>
            </w:r>
          </w:p>
        </w:tc>
      </w:tr>
      <w:tr>
        <w:trPr>
          <w:trHeight w:val="252" w:hRule="atLeast"/>
        </w:trPr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摄影纪念品（</w:t>
            </w: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300</w:t>
            </w: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以上）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底限（含）以下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2%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底线以上</w:t>
            </w:r>
          </w:p>
        </w:tc>
        <w:tc>
          <w:tcPr>
            <w:tcW w:w="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4%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流通品牌奶粉、纸尿裤</w:t>
            </w: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0.3%</w:t>
            </w: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提成</w:t>
            </w:r>
          </w:p>
        </w:tc>
      </w:tr>
      <w:tr>
        <w:trPr>
          <w:trHeight w:val="222" w:hRule="atLeast"/>
        </w:trPr>
        <w:tc>
          <w:tcPr>
            <w:tcW w:w="17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Cs w:val="21"/>
              </w:rPr>
            </w:pP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车床（</w:t>
            </w: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700</w:t>
            </w:r>
            <w:r>
              <w:rPr>
                <w:rFonts w:ascii="SimHei" w:hAnsi="SimHei" w:eastAsia="黑体"/>
                <w:b/>
                <w:bCs/>
                <w:color w:val="000000"/>
                <w:szCs w:val="21"/>
              </w:rPr>
              <w:t>以上）</w:t>
            </w:r>
          </w:p>
        </w:tc>
        <w:tc>
          <w:tcPr>
            <w:tcW w:w="3311" w:type="dxa"/>
            <w:gridSpan w:val="5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A</w:t>
            </w:r>
            <w:r>
              <w:rPr>
                <w:rFonts w:ascii="SimHei" w:hAnsi="SimHei" w:eastAsia="黑体"/>
                <w:color w:val="000000"/>
                <w:szCs w:val="21"/>
              </w:rPr>
              <w:t>类店：全场</w:t>
            </w:r>
            <w:r>
              <w:rPr>
                <w:rFonts w:ascii="SimHei" w:hAnsi="SimHei" w:eastAsia="黑体"/>
                <w:color w:val="000000"/>
                <w:szCs w:val="21"/>
              </w:rPr>
              <w:t>3</w:t>
            </w:r>
            <w:r>
              <w:rPr>
                <w:rFonts w:ascii="SimHei" w:hAnsi="SimHei" w:eastAsia="黑体"/>
                <w:color w:val="000000"/>
                <w:szCs w:val="21"/>
              </w:rPr>
              <w:t>个，食品半场</w:t>
            </w:r>
            <w:r>
              <w:rPr>
                <w:rFonts w:ascii="SimHei" w:hAnsi="SimHei" w:eastAsia="黑体"/>
                <w:color w:val="000000"/>
                <w:szCs w:val="21"/>
              </w:rPr>
              <w:t>4</w:t>
            </w:r>
            <w:r>
              <w:rPr>
                <w:rFonts w:ascii="SimHei" w:hAnsi="SimHei" w:eastAsia="黑体"/>
                <w:color w:val="000000"/>
                <w:szCs w:val="21"/>
              </w:rPr>
              <w:t>个，服饰半场</w:t>
            </w:r>
            <w:r>
              <w:rPr>
                <w:rFonts w:ascii="SimHei" w:hAnsi="SimHei" w:eastAsia="黑体"/>
                <w:color w:val="000000"/>
                <w:szCs w:val="21"/>
              </w:rPr>
              <w:t>2</w:t>
            </w:r>
            <w:r>
              <w:rPr>
                <w:rFonts w:ascii="SimHei" w:hAnsi="SimHei" w:eastAsia="黑体"/>
                <w:color w:val="000000"/>
                <w:szCs w:val="21"/>
              </w:rPr>
              <w:t>个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B</w:t>
            </w:r>
            <w:r>
              <w:rPr>
                <w:rFonts w:ascii="SimHei" w:hAnsi="SimHei" w:eastAsia="黑体"/>
                <w:color w:val="000000"/>
                <w:szCs w:val="21"/>
              </w:rPr>
              <w:t>类店：</w:t>
            </w:r>
            <w:r>
              <w:rPr>
                <w:rFonts w:ascii="SimHei" w:hAnsi="SimHei" w:eastAsia="黑体"/>
                <w:color w:val="000000"/>
                <w:szCs w:val="21"/>
              </w:rPr>
              <w:t>3</w:t>
            </w:r>
            <w:r>
              <w:rPr>
                <w:rFonts w:ascii="SimHei" w:hAnsi="SimHei" w:eastAsia="黑体"/>
                <w:color w:val="000000"/>
                <w:szCs w:val="21"/>
              </w:rPr>
              <w:t>个</w:t>
            </w:r>
          </w:p>
        </w:tc>
        <w:tc>
          <w:tcPr>
            <w:tcW w:w="419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  <w:szCs w:val="21"/>
              </w:rPr>
            </w:pPr>
            <w:r>
              <w:rPr>
                <w:rFonts w:ascii="SimHei" w:hAnsi="SimHei" w:eastAsia="黑体"/>
                <w:color w:val="000000"/>
                <w:szCs w:val="21"/>
              </w:rPr>
              <w:t>完不成差</w:t>
            </w:r>
            <w:r>
              <w:rPr>
                <w:rFonts w:ascii="SimHei" w:hAnsi="SimHei" w:eastAsia="黑体"/>
                <w:color w:val="000000"/>
                <w:szCs w:val="21"/>
              </w:rPr>
              <w:t>1</w:t>
            </w:r>
            <w:r>
              <w:rPr>
                <w:rFonts w:ascii="SimHei" w:hAnsi="SimHei" w:eastAsia="黑体"/>
                <w:color w:val="000000"/>
                <w:szCs w:val="21"/>
              </w:rPr>
              <w:t>个负激励</w:t>
            </w:r>
            <w:r>
              <w:rPr>
                <w:rFonts w:ascii="SimHei" w:hAnsi="SimHei" w:eastAsia="黑体"/>
                <w:color w:val="000000"/>
                <w:szCs w:val="21"/>
              </w:rPr>
              <w:t>15</w:t>
            </w:r>
            <w:r>
              <w:rPr>
                <w:rFonts w:ascii="SimHei" w:hAnsi="SimHei" w:eastAsia="黑体"/>
                <w:color w:val="000000"/>
                <w:szCs w:val="21"/>
              </w:rPr>
              <w:t>元（</w:t>
            </w:r>
            <w:r>
              <w:rPr>
                <w:rFonts w:ascii="SimHei" w:hAnsi="SimHei" w:eastAsia="黑体"/>
                <w:color w:val="000000"/>
                <w:szCs w:val="21"/>
              </w:rPr>
              <w:t>1000</w:t>
            </w:r>
            <w:r>
              <w:rPr>
                <w:rFonts w:ascii="SimHei" w:hAnsi="SimHei" w:eastAsia="黑体"/>
                <w:color w:val="000000"/>
                <w:szCs w:val="21"/>
              </w:rPr>
              <w:t>元以上</w:t>
            </w:r>
            <w:r>
              <w:rPr>
                <w:rFonts w:ascii="SimHei" w:hAnsi="SimHei" w:eastAsia="黑体"/>
                <w:color w:val="000000"/>
                <w:szCs w:val="21"/>
              </w:rPr>
              <w:t>1</w:t>
            </w:r>
            <w:r>
              <w:rPr>
                <w:rFonts w:ascii="SimHei" w:hAnsi="SimHei" w:eastAsia="黑体"/>
                <w:color w:val="000000"/>
                <w:szCs w:val="21"/>
              </w:rPr>
              <w:t>个抵</w:t>
            </w:r>
            <w:r>
              <w:rPr>
                <w:rFonts w:ascii="SimHei" w:hAnsi="SimHei" w:eastAsia="黑体"/>
                <w:color w:val="000000"/>
                <w:szCs w:val="21"/>
              </w:rPr>
              <w:t>2</w:t>
            </w:r>
            <w:r>
              <w:rPr>
                <w:rFonts w:ascii="SimHei" w:hAnsi="SimHei" w:eastAsia="黑体"/>
                <w:color w:val="000000"/>
                <w:szCs w:val="21"/>
              </w:rPr>
              <w:t>个，</w:t>
            </w:r>
            <w:r>
              <w:rPr>
                <w:rFonts w:ascii="SimHei" w:hAnsi="SimHei" w:eastAsia="黑体"/>
                <w:color w:val="000000"/>
                <w:szCs w:val="21"/>
              </w:rPr>
              <w:t>700</w:t>
            </w:r>
            <w:r>
              <w:rPr>
                <w:rFonts w:ascii="SimHei" w:hAnsi="SimHei" w:eastAsia="黑体"/>
                <w:color w:val="000000"/>
                <w:szCs w:val="21"/>
              </w:rPr>
              <w:t>以下两个抵一个，</w:t>
            </w:r>
            <w:r>
              <w:rPr>
                <w:rFonts w:ascii="SimHei" w:hAnsi="SimHei" w:eastAsia="黑体"/>
                <w:color w:val="000000"/>
                <w:szCs w:val="21"/>
              </w:rPr>
              <w:t>200</w:t>
            </w:r>
            <w:r>
              <w:rPr>
                <w:rFonts w:ascii="SimHei" w:hAnsi="SimHei" w:eastAsia="黑体"/>
                <w:color w:val="000000"/>
                <w:szCs w:val="21"/>
              </w:rPr>
              <w:t>以下三个抵一个）</w:t>
            </w:r>
          </w:p>
        </w:tc>
      </w:tr>
      <w:tr>
        <w:trPr>
          <w:trHeight w:val="232" w:hRule="atLeast"/>
        </w:trPr>
        <w:tc>
          <w:tcPr>
            <w:tcW w:w="3601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color w:val="0000FF"/>
                <w:szCs w:val="21"/>
                <w:highlight w:val="yellow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成熟品牌二次（当月在自己门店产生二次）新客：</w:t>
            </w:r>
            <w:r>
              <w:rPr>
                <w:rFonts w:ascii="SimHei" w:hAnsi="SimHei" w:eastAsia="黑体"/>
                <w:color w:val="0000FF"/>
                <w:szCs w:val="21"/>
              </w:rPr>
              <w:t>A</w:t>
            </w:r>
            <w:r>
              <w:rPr>
                <w:rFonts w:ascii="SimHei" w:hAnsi="SimHei" w:eastAsia="黑体"/>
                <w:color w:val="0000FF"/>
                <w:szCs w:val="21"/>
              </w:rPr>
              <w:t>类店：</w:t>
            </w:r>
            <w:r>
              <w:rPr>
                <w:rFonts w:ascii="SimHei" w:hAnsi="SimHei" w:eastAsia="黑体"/>
                <w:color w:val="0000FF"/>
                <w:szCs w:val="21"/>
              </w:rPr>
              <w:t>5</w:t>
            </w:r>
            <w:r>
              <w:rPr>
                <w:rFonts w:ascii="SimHei" w:hAnsi="SimHei" w:eastAsia="黑体"/>
                <w:color w:val="0000FF"/>
                <w:szCs w:val="21"/>
              </w:rPr>
              <w:t>个以上，</w:t>
            </w:r>
            <w:r>
              <w:rPr>
                <w:rFonts w:ascii="SimHei" w:hAnsi="SimHei" w:eastAsia="黑体"/>
                <w:color w:val="0000FF"/>
                <w:szCs w:val="21"/>
              </w:rPr>
              <w:t>B</w:t>
            </w:r>
            <w:r>
              <w:rPr>
                <w:rFonts w:ascii="SimHei" w:hAnsi="SimHei" w:eastAsia="黑体"/>
                <w:color w:val="0000FF"/>
                <w:szCs w:val="21"/>
              </w:rPr>
              <w:t>、</w:t>
            </w:r>
            <w:r>
              <w:rPr>
                <w:rFonts w:ascii="SimHei" w:hAnsi="SimHei" w:eastAsia="黑体"/>
                <w:color w:val="0000FF"/>
                <w:szCs w:val="21"/>
              </w:rPr>
              <w:t>C</w:t>
            </w:r>
            <w:r>
              <w:rPr>
                <w:rFonts w:ascii="SimHei" w:hAnsi="SimHei" w:eastAsia="黑体"/>
                <w:color w:val="0000FF"/>
                <w:szCs w:val="21"/>
              </w:rPr>
              <w:t>类店</w:t>
            </w:r>
            <w:r>
              <w:rPr>
                <w:rFonts w:ascii="SimHei" w:hAnsi="SimHei" w:eastAsia="黑体"/>
                <w:color w:val="0000FF"/>
                <w:szCs w:val="21"/>
              </w:rPr>
              <w:t>2</w:t>
            </w:r>
            <w:r>
              <w:rPr>
                <w:rFonts w:ascii="SimHei" w:hAnsi="SimHei" w:eastAsia="黑体"/>
                <w:color w:val="0000FF"/>
                <w:szCs w:val="21"/>
              </w:rPr>
              <w:t>个以上，海阳店</w:t>
            </w:r>
            <w:r>
              <w:rPr>
                <w:rFonts w:ascii="SimHei" w:hAnsi="SimHei" w:eastAsia="黑体"/>
                <w:color w:val="0000FF"/>
                <w:szCs w:val="21"/>
              </w:rPr>
              <w:t>1</w:t>
            </w:r>
            <w:r>
              <w:rPr>
                <w:rFonts w:ascii="SimHei" w:hAnsi="SimHei" w:eastAsia="黑体"/>
                <w:color w:val="0000FF"/>
                <w:szCs w:val="21"/>
              </w:rPr>
              <w:t>个以上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每桶（盒按</w:t>
            </w:r>
            <w:r>
              <w:rPr>
                <w:rFonts w:ascii="SimHei" w:hAnsi="SimHei" w:eastAsia="黑体"/>
                <w:color w:val="0000FF"/>
                <w:szCs w:val="21"/>
              </w:rPr>
              <w:t>50%</w:t>
            </w:r>
            <w:r>
              <w:rPr>
                <w:rFonts w:ascii="SimHei" w:hAnsi="SimHei" w:eastAsia="黑体"/>
                <w:color w:val="0000FF"/>
                <w:szCs w:val="21"/>
              </w:rPr>
              <w:t>算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20</w:t>
            </w:r>
            <w:r>
              <w:rPr>
                <w:rFonts w:ascii="SimHei" w:hAnsi="SimHei" w:eastAsia="黑体"/>
                <w:color w:val="0000FF"/>
                <w:szCs w:val="21"/>
              </w:rPr>
              <w:t>元</w:t>
            </w:r>
          </w:p>
        </w:tc>
        <w:tc>
          <w:tcPr>
            <w:tcW w:w="95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6</w:t>
            </w:r>
            <w:r>
              <w:rPr>
                <w:rFonts w:ascii="SimHei" w:hAnsi="SimHei" w:eastAsia="黑体"/>
                <w:color w:val="0000FF"/>
                <w:szCs w:val="21"/>
              </w:rPr>
              <w:t>个以上</w:t>
            </w:r>
          </w:p>
        </w:tc>
        <w:tc>
          <w:tcPr>
            <w:tcW w:w="9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30</w:t>
            </w:r>
            <w:r>
              <w:rPr>
                <w:rFonts w:ascii="SimHei" w:hAnsi="SimHei" w:eastAsia="黑体"/>
                <w:color w:val="0000FF"/>
                <w:szCs w:val="21"/>
              </w:rPr>
              <w:t>元</w:t>
            </w:r>
          </w:p>
        </w:tc>
        <w:tc>
          <w:tcPr>
            <w:tcW w:w="3250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完成相应的数量方可享受奖励，完不成不享受奖励，差</w:t>
            </w:r>
            <w:r>
              <w:rPr>
                <w:rFonts w:ascii="SimHei" w:hAnsi="SimHei" w:eastAsia="黑体"/>
                <w:color w:val="0000FF"/>
                <w:szCs w:val="21"/>
              </w:rPr>
              <w:t>1</w:t>
            </w:r>
            <w:r>
              <w:rPr>
                <w:rFonts w:ascii="SimHei" w:hAnsi="SimHei" w:eastAsia="黑体"/>
                <w:color w:val="0000FF"/>
                <w:szCs w:val="21"/>
              </w:rPr>
              <w:t>个扣</w:t>
            </w:r>
            <w:r>
              <w:rPr>
                <w:rFonts w:ascii="SimHei" w:hAnsi="SimHei" w:eastAsia="黑体"/>
                <w:color w:val="0000FF"/>
                <w:szCs w:val="21"/>
              </w:rPr>
              <w:t>50</w:t>
            </w:r>
            <w:r>
              <w:rPr>
                <w:rFonts w:ascii="SimHei" w:hAnsi="SimHei" w:eastAsia="黑体"/>
                <w:color w:val="0000FF"/>
                <w:szCs w:val="21"/>
              </w:rPr>
              <w:t>元</w:t>
            </w:r>
          </w:p>
        </w:tc>
      </w:tr>
      <w:tr>
        <w:trPr>
          <w:trHeight w:val="232" w:hRule="atLeast"/>
        </w:trPr>
        <w:tc>
          <w:tcPr>
            <w:tcW w:w="2624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成熟品牌其它新客（没有产生二次的新客）</w:t>
            </w:r>
            <w:r>
              <w:rPr>
                <w:rFonts w:ascii="SimHei" w:hAnsi="SimHei" w:eastAsia="黑体"/>
                <w:color w:val="0000FF"/>
                <w:szCs w:val="21"/>
              </w:rPr>
              <w:t>3</w:t>
            </w:r>
            <w:r>
              <w:rPr>
                <w:rFonts w:ascii="SimHei" w:hAnsi="SimHei" w:eastAsia="黑体"/>
                <w:color w:val="0000FF"/>
                <w:szCs w:val="21"/>
              </w:rPr>
              <w:t>个以上</w:t>
            </w:r>
          </w:p>
        </w:tc>
        <w:tc>
          <w:tcPr>
            <w:tcW w:w="9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每桶（盒按</w:t>
            </w:r>
            <w:r>
              <w:rPr>
                <w:rFonts w:ascii="SimHei" w:hAnsi="SimHei" w:eastAsia="黑体"/>
                <w:color w:val="0000FF"/>
                <w:szCs w:val="21"/>
              </w:rPr>
              <w:t>50%</w:t>
            </w:r>
            <w:r>
              <w:rPr>
                <w:rFonts w:ascii="SimHei" w:hAnsi="SimHei" w:eastAsia="黑体"/>
                <w:color w:val="0000FF"/>
                <w:szCs w:val="21"/>
              </w:rPr>
              <w:t>算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孕、一段：</w:t>
            </w:r>
            <w:r>
              <w:rPr>
                <w:rFonts w:ascii="SimHei" w:hAnsi="SimHei" w:eastAsia="黑体"/>
                <w:color w:val="0000FF"/>
                <w:szCs w:val="21"/>
              </w:rPr>
              <w:t>5</w:t>
            </w:r>
            <w:r>
              <w:rPr>
                <w:rFonts w:ascii="SimHei" w:hAnsi="SimHei" w:eastAsia="黑体"/>
                <w:color w:val="0000FF"/>
                <w:szCs w:val="21"/>
              </w:rPr>
              <w:t>元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转奶及泓乐新客</w:t>
            </w:r>
          </w:p>
        </w:tc>
        <w:tc>
          <w:tcPr>
            <w:tcW w:w="95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15</w:t>
            </w:r>
            <w:r>
              <w:rPr>
                <w:rFonts w:ascii="SimHei" w:hAnsi="SimHei" w:eastAsia="黑体"/>
                <w:color w:val="0000FF"/>
                <w:szCs w:val="21"/>
              </w:rPr>
              <w:t>元</w:t>
            </w:r>
          </w:p>
        </w:tc>
        <w:tc>
          <w:tcPr>
            <w:tcW w:w="94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惠氏启赋新客</w:t>
            </w:r>
          </w:p>
        </w:tc>
        <w:tc>
          <w:tcPr>
            <w:tcW w:w="126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5</w:t>
            </w:r>
            <w:r>
              <w:rPr>
                <w:rFonts w:ascii="SimHei" w:hAnsi="SimHei" w:eastAsia="黑体"/>
                <w:color w:val="0000FF"/>
                <w:szCs w:val="21"/>
              </w:rPr>
              <w:t>元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FF"/>
                <w:szCs w:val="21"/>
              </w:rPr>
            </w:pPr>
            <w:r>
              <w:rPr>
                <w:rFonts w:ascii="SimHei" w:hAnsi="SimHei" w:eastAsia="黑体"/>
                <w:color w:val="0000FF"/>
                <w:szCs w:val="21"/>
              </w:rPr>
              <w:t>3</w:t>
            </w:r>
            <w:r>
              <w:rPr>
                <w:rFonts w:ascii="SimHei" w:hAnsi="SimHei" w:eastAsia="黑体"/>
                <w:color w:val="0000FF"/>
                <w:szCs w:val="21"/>
              </w:rPr>
              <w:t>个以下不享受奖励</w:t>
            </w:r>
          </w:p>
        </w:tc>
      </w:tr>
      <w:tr>
        <w:trPr>
          <w:trHeight w:val="232" w:hRule="atLeast"/>
        </w:trPr>
        <w:tc>
          <w:tcPr>
            <w:tcW w:w="10731" w:type="dxa"/>
            <w:gridSpan w:val="1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  <w:b/>
                <w:bCs/>
                <w:color w:val="000000"/>
                <w:sz w:val="24"/>
              </w:rPr>
              <w:t>1</w:t>
            </w:r>
            <w:r>
              <w:rPr>
                <w:rFonts w:ascii="SimHei" w:hAnsi="SimHei" w:eastAsia="黑体"/>
                <w:b/>
                <w:bCs/>
                <w:color w:val="000000"/>
                <w:sz w:val="24"/>
              </w:rPr>
              <w:t>、导购薪资构成：</w:t>
            </w:r>
            <w:r>
              <w:rPr>
                <w:rFonts w:ascii="SimHei" w:hAnsi="SimHei" w:eastAsia="黑体"/>
                <w:color w:val="000000"/>
                <w:sz w:val="24"/>
              </w:rPr>
              <w:t>基本工资</w:t>
            </w:r>
            <w:r>
              <w:rPr>
                <w:rFonts w:ascii="SimHei" w:hAnsi="SimHei" w:eastAsia="黑体"/>
                <w:color w:val="000000"/>
                <w:sz w:val="24"/>
              </w:rPr>
              <w:t>1500</w:t>
            </w:r>
            <w:r>
              <w:rPr>
                <w:rFonts w:ascii="SimHei" w:hAnsi="SimHei" w:eastAsia="黑体"/>
                <w:color w:val="000000"/>
                <w:sz w:val="24"/>
              </w:rPr>
              <w:t>元</w:t>
            </w:r>
            <w:r>
              <w:rPr>
                <w:rFonts w:ascii="SimHei" w:hAnsi="SimHei" w:eastAsia="黑体"/>
                <w:color w:val="000000"/>
                <w:sz w:val="24"/>
              </w:rPr>
              <w:t>/</w:t>
            </w:r>
            <w:r>
              <w:rPr>
                <w:rFonts w:ascii="SimHei" w:hAnsi="SimHei" w:eastAsia="黑体"/>
                <w:color w:val="000000"/>
                <w:sz w:val="24"/>
              </w:rPr>
              <w:t>月</w:t>
            </w:r>
            <w:r>
              <w:rPr>
                <w:rFonts w:ascii="SimHei" w:hAnsi="SimHei" w:eastAsia="黑体"/>
                <w:color w:val="000000"/>
                <w:sz w:val="24"/>
              </w:rPr>
              <w:t>+</w:t>
            </w:r>
            <w:r>
              <w:rPr>
                <w:rFonts w:ascii="SimHei" w:hAnsi="SimHei" w:eastAsia="黑体"/>
                <w:color w:val="000000"/>
                <w:sz w:val="24"/>
              </w:rPr>
              <w:t>提成</w:t>
            </w:r>
            <w:r>
              <w:rPr>
                <w:rFonts w:ascii="SimHei" w:hAnsi="SimHei" w:eastAsia="黑体"/>
                <w:color w:val="000000"/>
                <w:sz w:val="24"/>
              </w:rPr>
              <w:t>+</w:t>
            </w:r>
            <w:r>
              <w:rPr>
                <w:rFonts w:ascii="SimHei" w:hAnsi="SimHei" w:eastAsia="黑体"/>
                <w:color w:val="000000"/>
                <w:sz w:val="24"/>
              </w:rPr>
              <w:t>销售奖金</w:t>
            </w:r>
            <w:r>
              <w:rPr>
                <w:rFonts w:ascii="SimHei" w:hAnsi="SimHei" w:eastAsia="黑体"/>
                <w:color w:val="000000"/>
                <w:sz w:val="24"/>
              </w:rPr>
              <w:t>+</w:t>
            </w:r>
            <w:r>
              <w:rPr>
                <w:rFonts w:ascii="SimHei" w:hAnsi="SimHei" w:eastAsia="黑体"/>
                <w:color w:val="000000"/>
                <w:sz w:val="24"/>
              </w:rPr>
              <w:t>工龄奖金（每年</w:t>
            </w:r>
            <w:r>
              <w:rPr>
                <w:rFonts w:ascii="SimHei" w:hAnsi="SimHei" w:eastAsia="黑体"/>
                <w:color w:val="000000"/>
                <w:sz w:val="24"/>
              </w:rPr>
              <w:t>3</w:t>
            </w:r>
            <w:r>
              <w:rPr>
                <w:rFonts w:ascii="SimHei" w:hAnsi="SimHei" w:eastAsia="黑体"/>
                <w:color w:val="000000"/>
                <w:sz w:val="24"/>
              </w:rPr>
              <w:t>月发）</w:t>
            </w:r>
            <w:r>
              <w:rPr>
                <w:rFonts w:ascii="SimHei" w:hAnsi="SimHei" w:eastAsia="黑体"/>
                <w:color w:val="000000"/>
                <w:sz w:val="24"/>
              </w:rPr>
              <w:t>+</w:t>
            </w:r>
            <w:r>
              <w:rPr>
                <w:rFonts w:ascii="SimHei" w:hAnsi="SimHei" w:eastAsia="黑体"/>
                <w:color w:val="000000"/>
                <w:sz w:val="24"/>
              </w:rPr>
              <w:t>级别工资</w:t>
            </w:r>
            <w:r>
              <w:rPr>
                <w:rFonts w:ascii="SimHei" w:hAnsi="SimHei" w:eastAsia="黑体"/>
                <w:color w:val="000000"/>
                <w:sz w:val="24"/>
              </w:rPr>
              <w:t>+</w:t>
            </w:r>
            <w:r>
              <w:rPr>
                <w:rFonts w:ascii="SimHei" w:hAnsi="SimHei" w:eastAsia="黑体"/>
                <w:color w:val="000000"/>
                <w:sz w:val="24"/>
              </w:rPr>
              <w:t>技能津贴（个人当月任务未完成不享受门店任何销售奖金）。</w:t>
            </w:r>
            <w:r>
              <w:rPr>
                <w:rFonts w:ascii="SimHei" w:hAnsi="SimHei" w:eastAsia="黑体"/>
                <w:b/>
                <w:bCs/>
                <w:color w:val="000000"/>
                <w:sz w:val="24"/>
              </w:rPr>
              <w:t>2</w:t>
            </w:r>
            <w:r>
              <w:rPr>
                <w:rFonts w:ascii="SimHei" w:hAnsi="SimHei" w:eastAsia="黑体"/>
                <w:b/>
                <w:bCs/>
                <w:color w:val="000000"/>
                <w:sz w:val="24"/>
              </w:rPr>
              <w:t>、导购任务分配原则：</w:t>
            </w:r>
            <w:r>
              <w:rPr>
                <w:rFonts w:ascii="SimHei" w:hAnsi="SimHei" w:eastAsia="黑体"/>
                <w:color w:val="000000"/>
                <w:sz w:val="24"/>
              </w:rPr>
              <w:t>（</w:t>
            </w:r>
            <w:r>
              <w:rPr>
                <w:rFonts w:ascii="SimHei" w:hAnsi="SimHei" w:eastAsia="黑体"/>
                <w:color w:val="000000"/>
                <w:sz w:val="24"/>
              </w:rPr>
              <w:t>1</w:t>
            </w:r>
            <w:r>
              <w:rPr>
                <w:rFonts w:ascii="SimHei" w:hAnsi="SimHei" w:eastAsia="黑体"/>
                <w:color w:val="000000"/>
                <w:sz w:val="24"/>
              </w:rPr>
              <w:t>）试用期：所有销售额与所跟随师傅合并，其师傅的销售任务加</w:t>
            </w:r>
            <w:r>
              <w:rPr>
                <w:rFonts w:ascii="SimHei" w:hAnsi="SimHei" w:eastAsia="黑体"/>
                <w:color w:val="000000"/>
                <w:sz w:val="24"/>
              </w:rPr>
              <w:t>20%</w:t>
            </w:r>
            <w:r>
              <w:rPr>
                <w:rFonts w:ascii="SimHei" w:hAnsi="SimHei" w:eastAsia="黑体"/>
                <w:color w:val="000000"/>
                <w:sz w:val="24"/>
              </w:rPr>
              <w:t>；（</w:t>
            </w:r>
            <w:r>
              <w:rPr>
                <w:rFonts w:ascii="SimHei" w:hAnsi="SimHei" w:eastAsia="黑体"/>
                <w:color w:val="000000"/>
                <w:sz w:val="24"/>
              </w:rPr>
              <w:t>2</w:t>
            </w:r>
            <w:r>
              <w:rPr>
                <w:rFonts w:ascii="SimHei" w:hAnsi="SimHei" w:eastAsia="黑体"/>
                <w:color w:val="000000"/>
                <w:sz w:val="24"/>
              </w:rPr>
              <w:t>）转正至第三个月：任务为正常导购的</w:t>
            </w:r>
            <w:r>
              <w:rPr>
                <w:rFonts w:ascii="SimHei" w:hAnsi="SimHei" w:eastAsia="黑体"/>
                <w:color w:val="000000"/>
                <w:sz w:val="24"/>
              </w:rPr>
              <w:t>70%</w:t>
            </w:r>
            <w:r>
              <w:rPr>
                <w:rFonts w:ascii="SimHei" w:hAnsi="SimHei" w:eastAsia="黑体"/>
                <w:color w:val="000000"/>
                <w:sz w:val="24"/>
              </w:rPr>
              <w:t>；（</w:t>
            </w:r>
            <w:r>
              <w:rPr>
                <w:rFonts w:ascii="SimHei" w:hAnsi="SimHei" w:eastAsia="黑体"/>
                <w:color w:val="000000"/>
                <w:sz w:val="24"/>
              </w:rPr>
              <w:t>3</w:t>
            </w:r>
            <w:r>
              <w:rPr>
                <w:rFonts w:ascii="SimHei" w:hAnsi="SimHei" w:eastAsia="黑体"/>
                <w:color w:val="000000"/>
                <w:sz w:val="24"/>
              </w:rPr>
              <w:t>）第四至十二个月：任务为店面正常基础任务；（</w:t>
            </w:r>
            <w:r>
              <w:rPr>
                <w:rFonts w:ascii="SimHei" w:hAnsi="SimHei" w:eastAsia="黑体"/>
                <w:color w:val="000000"/>
                <w:sz w:val="24"/>
              </w:rPr>
              <w:t>4</w:t>
            </w:r>
            <w:r>
              <w:rPr>
                <w:rFonts w:ascii="SimHei" w:hAnsi="SimHei" w:eastAsia="黑体"/>
                <w:color w:val="000000"/>
                <w:sz w:val="24"/>
              </w:rPr>
              <w:t>）十三个月以上：任务为店面正常基础任务的</w:t>
            </w:r>
            <w:r>
              <w:rPr>
                <w:rFonts w:ascii="SimHei" w:hAnsi="SimHei" w:eastAsia="黑体"/>
                <w:color w:val="000000"/>
                <w:sz w:val="24"/>
              </w:rPr>
              <w:t>115%</w:t>
            </w:r>
            <w:r>
              <w:rPr>
                <w:rFonts w:ascii="SimHei" w:hAnsi="SimHei" w:eastAsia="黑体"/>
                <w:color w:val="000000"/>
                <w:sz w:val="24"/>
              </w:rPr>
              <w:t>。</w:t>
            </w:r>
            <w:r>
              <w:rPr>
                <w:rFonts w:ascii="SimHei" w:hAnsi="SimHei" w:eastAsia="黑体"/>
                <w:b/>
                <w:bCs/>
                <w:color w:val="000000"/>
                <w:sz w:val="24"/>
              </w:rPr>
              <w:t>3</w:t>
            </w:r>
            <w:r>
              <w:rPr>
                <w:rFonts w:ascii="SimHei" w:hAnsi="SimHei" w:eastAsia="黑体"/>
                <w:b/>
                <w:bCs/>
                <w:color w:val="000000"/>
                <w:sz w:val="24"/>
              </w:rPr>
              <w:t>、全场任务考核标准：</w:t>
            </w:r>
            <w:r>
              <w:rPr>
                <w:rFonts w:ascii="SimHei" w:hAnsi="SimHei" w:eastAsia="黑体"/>
                <w:color w:val="000000"/>
                <w:sz w:val="24"/>
              </w:rPr>
              <w:t>销售额≥当月销售任务的</w:t>
            </w:r>
            <w:r>
              <w:rPr>
                <w:rFonts w:ascii="SimHei" w:hAnsi="SimHei" w:eastAsia="黑体"/>
                <w:color w:val="000000"/>
                <w:sz w:val="24"/>
              </w:rPr>
              <w:t>100%</w:t>
            </w:r>
            <w:r>
              <w:rPr>
                <w:rFonts w:ascii="SimHei" w:hAnsi="SimHei" w:eastAsia="黑体"/>
                <w:color w:val="000000"/>
                <w:sz w:val="24"/>
              </w:rPr>
              <w:t>，正激励</w:t>
            </w:r>
            <w:r>
              <w:rPr>
                <w:rFonts w:ascii="SimHei" w:hAnsi="SimHei" w:eastAsia="黑体"/>
                <w:color w:val="000000"/>
                <w:sz w:val="24"/>
              </w:rPr>
              <w:t>50</w:t>
            </w:r>
            <w:r>
              <w:rPr>
                <w:rFonts w:ascii="SimHei" w:hAnsi="SimHei" w:eastAsia="黑体"/>
                <w:color w:val="000000"/>
                <w:sz w:val="24"/>
              </w:rPr>
              <w:t>；销售额≥</w:t>
            </w:r>
            <w:r>
              <w:rPr>
                <w:rFonts w:ascii="SimHei" w:hAnsi="SimHei" w:eastAsia="黑体"/>
                <w:color w:val="000000"/>
                <w:sz w:val="24"/>
              </w:rPr>
              <w:t>90%</w:t>
            </w:r>
            <w:r>
              <w:rPr>
                <w:rFonts w:cs="宋体;SimSun" w:ascii="SimHei" w:hAnsi="SimHei" w:eastAsia="黑体"/>
                <w:color w:val="000000"/>
                <w:sz w:val="24"/>
              </w:rPr>
              <w:t>≤</w:t>
            </w:r>
            <w:r>
              <w:rPr>
                <w:rFonts w:ascii="SimHei" w:hAnsi="SimHei" w:eastAsia="黑体"/>
                <w:color w:val="000000"/>
                <w:sz w:val="24"/>
              </w:rPr>
              <w:t>95%</w:t>
            </w:r>
            <w:r>
              <w:rPr>
                <w:rFonts w:ascii="SimHei" w:hAnsi="SimHei" w:eastAsia="黑体"/>
                <w:color w:val="000000"/>
                <w:sz w:val="24"/>
              </w:rPr>
              <w:t>，负激励</w:t>
            </w:r>
            <w:r>
              <w:rPr>
                <w:rFonts w:ascii="SimHei" w:hAnsi="SimHei" w:eastAsia="黑体"/>
                <w:color w:val="000000"/>
                <w:sz w:val="24"/>
              </w:rPr>
              <w:t>50</w:t>
            </w:r>
            <w:r>
              <w:rPr>
                <w:rFonts w:ascii="SimHei" w:hAnsi="SimHei" w:eastAsia="黑体"/>
                <w:color w:val="000000"/>
                <w:sz w:val="24"/>
              </w:rPr>
              <w:t>；销售额≥</w:t>
            </w:r>
            <w:r>
              <w:rPr>
                <w:rFonts w:ascii="SimHei" w:hAnsi="SimHei" w:eastAsia="黑体"/>
                <w:color w:val="000000"/>
                <w:sz w:val="24"/>
              </w:rPr>
              <w:t>8</w:t>
            </w:r>
            <w:r>
              <w:rPr>
                <w:rFonts w:ascii="SimHei" w:hAnsi="SimHei" w:eastAsia="黑体"/>
                <w:color w:val="000000"/>
                <w:sz w:val="24"/>
              </w:rPr>
              <w:t>0%</w:t>
            </w:r>
            <w:r>
              <w:rPr>
                <w:rFonts w:cs="宋体;SimSun" w:ascii="SimHei" w:hAnsi="SimHei" w:eastAsia="黑体"/>
                <w:color w:val="000000"/>
                <w:sz w:val="24"/>
              </w:rPr>
              <w:t>≤</w:t>
            </w:r>
            <w:r>
              <w:rPr>
                <w:rFonts w:ascii="SimHei" w:hAnsi="SimHei" w:eastAsia="黑体"/>
                <w:color w:val="000000"/>
                <w:sz w:val="24"/>
              </w:rPr>
              <w:t>90%</w:t>
            </w:r>
            <w:r>
              <w:rPr>
                <w:rFonts w:ascii="SimHei" w:hAnsi="SimHei" w:eastAsia="黑体"/>
                <w:color w:val="000000"/>
                <w:sz w:val="24"/>
              </w:rPr>
              <w:t>，负激励</w:t>
            </w:r>
            <w:r>
              <w:rPr>
                <w:rFonts w:ascii="SimHei" w:hAnsi="SimHei" w:eastAsia="黑体"/>
                <w:color w:val="000000"/>
                <w:sz w:val="24"/>
              </w:rPr>
              <w:t>100</w:t>
            </w:r>
            <w:r>
              <w:rPr>
                <w:rFonts w:ascii="SimHei" w:hAnsi="SimHei" w:eastAsia="黑体"/>
                <w:color w:val="000000"/>
                <w:sz w:val="24"/>
              </w:rPr>
              <w:t>；销售额≤</w:t>
            </w:r>
            <w:r>
              <w:rPr>
                <w:rFonts w:ascii="SimHei" w:hAnsi="SimHei" w:eastAsia="黑体"/>
                <w:color w:val="000000"/>
                <w:sz w:val="24"/>
              </w:rPr>
              <w:t>80%</w:t>
            </w:r>
            <w:r>
              <w:rPr>
                <w:rFonts w:ascii="SimHei" w:hAnsi="SimHei" w:eastAsia="黑体"/>
                <w:color w:val="000000"/>
                <w:sz w:val="24"/>
              </w:rPr>
              <w:t>，负激励</w:t>
            </w:r>
            <w:r>
              <w:rPr>
                <w:rFonts w:ascii="SimHei" w:hAnsi="SimHei" w:eastAsia="黑体"/>
                <w:color w:val="000000"/>
                <w:sz w:val="24"/>
              </w:rPr>
              <w:t>200</w:t>
            </w:r>
            <w:r>
              <w:rPr>
                <w:rFonts w:ascii="SimHei" w:hAnsi="SimHei" w:eastAsia="黑体"/>
                <w:color w:val="000000"/>
                <w:sz w:val="24"/>
              </w:rPr>
              <w:t>。</w:t>
            </w:r>
            <w:r>
              <w:rPr>
                <w:rFonts w:ascii="SimHei" w:hAnsi="SimHei" w:eastAsia="黑体"/>
                <w:b/>
                <w:color w:val="000000"/>
                <w:sz w:val="24"/>
              </w:rPr>
              <w:t>4</w:t>
            </w:r>
            <w:r>
              <w:rPr>
                <w:rFonts w:ascii="SimHei" w:hAnsi="SimHei" w:eastAsia="黑体"/>
                <w:b/>
                <w:color w:val="000000"/>
                <w:sz w:val="24"/>
              </w:rPr>
              <w:t>、分区结组任务考核标准：</w:t>
            </w:r>
            <w:r>
              <w:rPr>
                <w:rFonts w:ascii="SimHei" w:hAnsi="SimHei" w:eastAsia="黑体"/>
                <w:color w:val="000000"/>
                <w:sz w:val="24"/>
              </w:rPr>
              <w:t>（</w:t>
            </w:r>
            <w:r>
              <w:rPr>
                <w:rFonts w:ascii="SimHei" w:hAnsi="SimHei" w:eastAsia="黑体"/>
                <w:color w:val="000000"/>
                <w:sz w:val="24"/>
              </w:rPr>
              <w:t>1</w:t>
            </w:r>
            <w:r>
              <w:rPr>
                <w:rFonts w:ascii="SimHei" w:hAnsi="SimHei" w:eastAsia="黑体"/>
                <w:color w:val="000000"/>
                <w:sz w:val="24"/>
              </w:rPr>
              <w:t>）总销售额≥</w:t>
            </w:r>
            <w:r>
              <w:rPr>
                <w:rFonts w:ascii="SimHei" w:hAnsi="SimHei" w:eastAsia="黑体"/>
                <w:color w:val="000000"/>
                <w:sz w:val="24"/>
              </w:rPr>
              <w:t>100%</w:t>
            </w:r>
            <w:r>
              <w:rPr>
                <w:rFonts w:ascii="SimHei" w:hAnsi="SimHei" w:eastAsia="黑体"/>
                <w:color w:val="000000"/>
                <w:sz w:val="24"/>
              </w:rPr>
              <w:t>且个人任务完成，正激励</w:t>
            </w:r>
            <w:r>
              <w:rPr>
                <w:rFonts w:ascii="SimHei" w:hAnsi="SimHei" w:eastAsia="黑体"/>
                <w:color w:val="000000"/>
                <w:sz w:val="24"/>
              </w:rPr>
              <w:t>100</w:t>
            </w:r>
            <w:r>
              <w:rPr>
                <w:rFonts w:ascii="SimHei" w:hAnsi="SimHei" w:eastAsia="黑体"/>
                <w:color w:val="000000"/>
                <w:sz w:val="24"/>
              </w:rPr>
              <w:t>元</w:t>
            </w:r>
            <w:r>
              <w:rPr>
                <w:rFonts w:ascii="SimHei" w:hAnsi="SimHei" w:eastAsia="黑体"/>
                <w:color w:val="000000"/>
                <w:sz w:val="24"/>
              </w:rPr>
              <w:t>/</w:t>
            </w:r>
            <w:r>
              <w:rPr>
                <w:rFonts w:ascii="SimHei" w:hAnsi="SimHei" w:eastAsia="黑体"/>
                <w:color w:val="000000"/>
                <w:sz w:val="24"/>
              </w:rPr>
              <w:t>人；（</w:t>
            </w:r>
            <w:r>
              <w:rPr>
                <w:rFonts w:ascii="SimHei" w:hAnsi="SimHei" w:eastAsia="黑体"/>
                <w:color w:val="000000"/>
                <w:sz w:val="24"/>
              </w:rPr>
              <w:t>2</w:t>
            </w:r>
            <w:r>
              <w:rPr>
                <w:rFonts w:ascii="SimHei" w:hAnsi="SimHei" w:eastAsia="黑体"/>
                <w:color w:val="000000"/>
                <w:sz w:val="24"/>
              </w:rPr>
              <w:t>）总销售额≥</w:t>
            </w:r>
            <w:r>
              <w:rPr>
                <w:rFonts w:ascii="SimHei" w:hAnsi="SimHei" w:eastAsia="黑体"/>
                <w:color w:val="000000"/>
                <w:sz w:val="24"/>
              </w:rPr>
              <w:t>100%</w:t>
            </w:r>
            <w:r>
              <w:rPr>
                <w:rFonts w:ascii="SimHei" w:hAnsi="SimHei" w:eastAsia="黑体"/>
                <w:color w:val="000000"/>
                <w:sz w:val="24"/>
              </w:rPr>
              <w:t>，针织区≥</w:t>
            </w:r>
            <w:r>
              <w:rPr>
                <w:rFonts w:ascii="SimHei" w:hAnsi="SimHei" w:eastAsia="黑体"/>
                <w:color w:val="000000"/>
                <w:sz w:val="24"/>
              </w:rPr>
              <w:t>90%</w:t>
            </w:r>
            <w:r>
              <w:rPr>
                <w:rFonts w:ascii="SimHei" w:hAnsi="SimHei" w:eastAsia="黑体"/>
                <w:color w:val="000000"/>
                <w:sz w:val="24"/>
              </w:rPr>
              <w:t>，正激励</w:t>
            </w:r>
            <w:r>
              <w:rPr>
                <w:rFonts w:ascii="SimHei" w:hAnsi="SimHei" w:eastAsia="黑体"/>
                <w:color w:val="000000"/>
                <w:sz w:val="24"/>
              </w:rPr>
              <w:t>50</w:t>
            </w:r>
            <w:r>
              <w:rPr>
                <w:rFonts w:ascii="SimHei" w:hAnsi="SimHei" w:eastAsia="黑体"/>
                <w:color w:val="000000"/>
                <w:sz w:val="24"/>
              </w:rPr>
              <w:t>元</w:t>
            </w:r>
            <w:r>
              <w:rPr>
                <w:rFonts w:ascii="SimHei" w:hAnsi="SimHei" w:eastAsia="黑体"/>
                <w:color w:val="000000"/>
                <w:sz w:val="24"/>
              </w:rPr>
              <w:t>/</w:t>
            </w:r>
            <w:r>
              <w:rPr>
                <w:rFonts w:ascii="SimHei" w:hAnsi="SimHei" w:eastAsia="黑体"/>
                <w:color w:val="000000"/>
                <w:sz w:val="24"/>
              </w:rPr>
              <w:t>人；（</w:t>
            </w:r>
            <w:r>
              <w:rPr>
                <w:rFonts w:ascii="SimHei" w:hAnsi="SimHei" w:eastAsia="黑体"/>
                <w:color w:val="000000"/>
                <w:sz w:val="24"/>
              </w:rPr>
              <w:t>3</w:t>
            </w:r>
            <w:r>
              <w:rPr>
                <w:rFonts w:ascii="SimHei" w:hAnsi="SimHei" w:eastAsia="黑体"/>
                <w:color w:val="000000"/>
                <w:sz w:val="24"/>
              </w:rPr>
              <w:t>）总销售额≥</w:t>
            </w:r>
            <w:r>
              <w:rPr>
                <w:rFonts w:ascii="SimHei" w:hAnsi="SimHei" w:eastAsia="黑体"/>
                <w:color w:val="000000"/>
                <w:sz w:val="24"/>
              </w:rPr>
              <w:t>100%</w:t>
            </w:r>
            <w:r>
              <w:rPr>
                <w:rFonts w:ascii="SimHei" w:hAnsi="SimHei" w:eastAsia="黑体"/>
                <w:color w:val="000000"/>
                <w:sz w:val="24"/>
              </w:rPr>
              <w:t>，但针织区＜</w:t>
            </w:r>
            <w:r>
              <w:rPr>
                <w:rFonts w:ascii="SimHei" w:hAnsi="SimHei" w:eastAsia="黑体"/>
                <w:color w:val="000000"/>
                <w:sz w:val="24"/>
              </w:rPr>
              <w:t>90%</w:t>
            </w:r>
            <w:r>
              <w:rPr>
                <w:rFonts w:ascii="SimHei" w:hAnsi="SimHei" w:eastAsia="黑体"/>
                <w:color w:val="000000"/>
                <w:sz w:val="24"/>
              </w:rPr>
              <w:t>，负激励</w:t>
            </w:r>
            <w:r>
              <w:rPr>
                <w:rFonts w:ascii="SimHei" w:hAnsi="SimHei" w:eastAsia="黑体"/>
                <w:color w:val="000000"/>
                <w:sz w:val="24"/>
              </w:rPr>
              <w:t>50</w:t>
            </w:r>
            <w:r>
              <w:rPr>
                <w:rFonts w:ascii="SimHei" w:hAnsi="SimHei" w:eastAsia="黑体"/>
                <w:color w:val="000000"/>
                <w:sz w:val="24"/>
              </w:rPr>
              <w:t>元</w:t>
            </w:r>
            <w:r>
              <w:rPr>
                <w:rFonts w:ascii="SimHei" w:hAnsi="SimHei" w:eastAsia="黑体"/>
                <w:color w:val="000000"/>
                <w:sz w:val="24"/>
              </w:rPr>
              <w:t>/</w:t>
            </w:r>
            <w:r>
              <w:rPr>
                <w:rFonts w:ascii="SimHei" w:hAnsi="SimHei" w:eastAsia="黑体"/>
                <w:color w:val="000000"/>
                <w:sz w:val="24"/>
              </w:rPr>
              <w:t>人；（</w:t>
            </w:r>
            <w:r>
              <w:rPr>
                <w:rFonts w:ascii="SimHei" w:hAnsi="SimHei" w:eastAsia="黑体"/>
                <w:color w:val="000000"/>
                <w:sz w:val="24"/>
              </w:rPr>
              <w:t>4</w:t>
            </w:r>
            <w:r>
              <w:rPr>
                <w:rFonts w:ascii="SimHei" w:hAnsi="SimHei" w:eastAsia="黑体"/>
                <w:color w:val="000000"/>
                <w:sz w:val="24"/>
              </w:rPr>
              <w:t>）总销售额≥</w:t>
            </w:r>
            <w:r>
              <w:rPr>
                <w:rFonts w:ascii="SimHei" w:hAnsi="SimHei" w:eastAsia="黑体"/>
                <w:color w:val="000000"/>
                <w:sz w:val="24"/>
              </w:rPr>
              <w:t>90%</w:t>
            </w:r>
            <w:r>
              <w:rPr>
                <w:rFonts w:ascii="SimHei" w:hAnsi="SimHei" w:eastAsia="黑体"/>
                <w:color w:val="000000"/>
                <w:sz w:val="24"/>
              </w:rPr>
              <w:t>，针织区≥</w:t>
            </w:r>
            <w:r>
              <w:rPr>
                <w:rFonts w:ascii="SimHei" w:hAnsi="SimHei" w:eastAsia="黑体"/>
                <w:color w:val="000000"/>
                <w:sz w:val="24"/>
              </w:rPr>
              <w:t>90%</w:t>
            </w:r>
            <w:r>
              <w:rPr>
                <w:rFonts w:ascii="SimHei" w:hAnsi="SimHei" w:eastAsia="黑体"/>
                <w:color w:val="000000"/>
                <w:sz w:val="24"/>
              </w:rPr>
              <w:t>，负激励</w:t>
            </w:r>
            <w:r>
              <w:rPr>
                <w:rFonts w:ascii="SimHei" w:hAnsi="SimHei" w:eastAsia="黑体"/>
                <w:color w:val="000000"/>
                <w:sz w:val="24"/>
              </w:rPr>
              <w:t>50</w:t>
            </w:r>
            <w:r>
              <w:rPr>
                <w:rFonts w:ascii="SimHei" w:hAnsi="SimHei" w:eastAsia="黑体"/>
                <w:color w:val="000000"/>
                <w:sz w:val="24"/>
              </w:rPr>
              <w:t>元</w:t>
            </w:r>
            <w:r>
              <w:rPr>
                <w:rFonts w:ascii="SimHei" w:hAnsi="SimHei" w:eastAsia="黑体"/>
                <w:color w:val="000000"/>
                <w:sz w:val="24"/>
              </w:rPr>
              <w:t>/</w:t>
            </w:r>
            <w:r>
              <w:rPr>
                <w:rFonts w:ascii="SimHei" w:hAnsi="SimHei" w:eastAsia="黑体"/>
                <w:color w:val="000000"/>
                <w:sz w:val="24"/>
              </w:rPr>
              <w:t>人；（</w:t>
            </w:r>
            <w:r>
              <w:rPr>
                <w:rFonts w:ascii="SimHei" w:hAnsi="SimHei" w:eastAsia="黑体"/>
                <w:color w:val="000000"/>
                <w:sz w:val="24"/>
              </w:rPr>
              <w:t>5</w:t>
            </w:r>
            <w:r>
              <w:rPr>
                <w:rFonts w:ascii="SimHei" w:hAnsi="SimHei" w:eastAsia="黑体"/>
                <w:color w:val="000000"/>
                <w:sz w:val="24"/>
              </w:rPr>
              <w:t>）总销售额≥</w:t>
            </w:r>
            <w:r>
              <w:rPr>
                <w:rFonts w:ascii="SimHei" w:hAnsi="SimHei" w:eastAsia="黑体"/>
                <w:color w:val="000000"/>
                <w:sz w:val="24"/>
              </w:rPr>
              <w:t>90%</w:t>
            </w:r>
            <w:r>
              <w:rPr>
                <w:rFonts w:ascii="SimHei" w:hAnsi="SimHei" w:eastAsia="黑体"/>
                <w:color w:val="000000"/>
                <w:sz w:val="24"/>
              </w:rPr>
              <w:t>，针织区＜</w:t>
            </w:r>
            <w:r>
              <w:rPr>
                <w:rFonts w:ascii="SimHei" w:hAnsi="SimHei" w:eastAsia="黑体"/>
                <w:color w:val="000000"/>
                <w:sz w:val="24"/>
              </w:rPr>
              <w:t>80%</w:t>
            </w:r>
            <w:r>
              <w:rPr>
                <w:rFonts w:ascii="SimHei" w:hAnsi="SimHei" w:eastAsia="黑体"/>
                <w:color w:val="000000"/>
                <w:sz w:val="24"/>
              </w:rPr>
              <w:t>，负激励</w:t>
            </w:r>
            <w:r>
              <w:rPr>
                <w:rFonts w:ascii="SimHei" w:hAnsi="SimHei" w:eastAsia="黑体"/>
                <w:color w:val="000000"/>
                <w:sz w:val="24"/>
              </w:rPr>
              <w:t>100</w:t>
            </w:r>
            <w:r>
              <w:rPr>
                <w:rFonts w:ascii="SimHei" w:hAnsi="SimHei" w:eastAsia="黑体"/>
                <w:color w:val="000000"/>
                <w:sz w:val="24"/>
              </w:rPr>
              <w:t>元</w:t>
            </w:r>
            <w:r>
              <w:rPr>
                <w:rFonts w:ascii="SimHei" w:hAnsi="SimHei" w:eastAsia="黑体"/>
                <w:color w:val="000000"/>
                <w:sz w:val="24"/>
              </w:rPr>
              <w:t>/</w:t>
            </w:r>
            <w:r>
              <w:rPr>
                <w:rFonts w:ascii="SimHei" w:hAnsi="SimHei" w:eastAsia="黑体"/>
                <w:color w:val="000000"/>
                <w:sz w:val="24"/>
              </w:rPr>
              <w:t>人；（</w:t>
            </w:r>
            <w:r>
              <w:rPr>
                <w:rFonts w:ascii="SimHei" w:hAnsi="SimHei" w:eastAsia="黑体"/>
                <w:color w:val="000000"/>
                <w:sz w:val="24"/>
              </w:rPr>
              <w:t>6</w:t>
            </w:r>
            <w:r>
              <w:rPr>
                <w:rFonts w:ascii="SimHei" w:hAnsi="SimHei" w:eastAsia="黑体"/>
                <w:color w:val="000000"/>
                <w:sz w:val="24"/>
              </w:rPr>
              <w:t>）总销售额＞</w:t>
            </w:r>
            <w:r>
              <w:rPr>
                <w:rFonts w:ascii="SimHei" w:hAnsi="SimHei" w:eastAsia="黑体"/>
                <w:color w:val="000000"/>
                <w:sz w:val="24"/>
              </w:rPr>
              <w:t>80%</w:t>
            </w:r>
            <w:r>
              <w:rPr>
                <w:rFonts w:ascii="SimHei" w:hAnsi="SimHei" w:eastAsia="黑体"/>
                <w:color w:val="000000"/>
                <w:sz w:val="24"/>
              </w:rPr>
              <w:t>＜</w:t>
            </w:r>
            <w:r>
              <w:rPr>
                <w:rFonts w:ascii="SimHei" w:hAnsi="SimHei" w:eastAsia="黑体"/>
                <w:color w:val="000000"/>
                <w:sz w:val="24"/>
              </w:rPr>
              <w:t>90%</w:t>
            </w:r>
            <w:r>
              <w:rPr>
                <w:rFonts w:ascii="SimHei" w:hAnsi="SimHei" w:eastAsia="黑体"/>
                <w:color w:val="000000"/>
                <w:sz w:val="24"/>
              </w:rPr>
              <w:t>或针织区＞</w:t>
            </w:r>
            <w:r>
              <w:rPr>
                <w:rFonts w:ascii="SimHei" w:hAnsi="SimHei" w:eastAsia="黑体"/>
                <w:color w:val="000000"/>
                <w:sz w:val="24"/>
              </w:rPr>
              <w:t>80%</w:t>
            </w:r>
            <w:r>
              <w:rPr>
                <w:rFonts w:ascii="SimHei" w:hAnsi="SimHei" w:eastAsia="黑体"/>
                <w:color w:val="000000"/>
                <w:sz w:val="24"/>
              </w:rPr>
              <w:t>＜</w:t>
            </w:r>
            <w:r>
              <w:rPr>
                <w:rFonts w:ascii="SimHei" w:hAnsi="SimHei" w:eastAsia="黑体"/>
                <w:color w:val="000000"/>
                <w:sz w:val="24"/>
              </w:rPr>
              <w:t>90%</w:t>
            </w:r>
            <w:r>
              <w:rPr>
                <w:rFonts w:ascii="SimHei" w:hAnsi="SimHei" w:eastAsia="黑体"/>
                <w:color w:val="000000"/>
                <w:sz w:val="24"/>
              </w:rPr>
              <w:t>，负激励</w:t>
            </w:r>
            <w:r>
              <w:rPr>
                <w:rFonts w:ascii="SimHei" w:hAnsi="SimHei" w:eastAsia="黑体"/>
                <w:color w:val="000000"/>
                <w:sz w:val="24"/>
              </w:rPr>
              <w:t>100</w:t>
            </w:r>
            <w:r>
              <w:rPr>
                <w:rFonts w:ascii="SimHei" w:hAnsi="SimHei" w:eastAsia="黑体"/>
                <w:color w:val="000000"/>
                <w:sz w:val="24"/>
              </w:rPr>
              <w:t>元</w:t>
            </w:r>
            <w:r>
              <w:rPr>
                <w:rFonts w:ascii="SimHei" w:hAnsi="SimHei" w:eastAsia="黑体"/>
                <w:color w:val="000000"/>
                <w:sz w:val="24"/>
              </w:rPr>
              <w:t>/</w:t>
            </w:r>
            <w:r>
              <w:rPr>
                <w:rFonts w:ascii="SimHei" w:hAnsi="SimHei" w:eastAsia="黑体"/>
                <w:color w:val="000000"/>
                <w:sz w:val="24"/>
              </w:rPr>
              <w:t>人；（</w:t>
            </w:r>
            <w:r>
              <w:rPr>
                <w:rFonts w:ascii="SimHei" w:hAnsi="SimHei" w:eastAsia="黑体"/>
                <w:color w:val="000000"/>
                <w:sz w:val="24"/>
              </w:rPr>
              <w:t>7</w:t>
            </w:r>
            <w:r>
              <w:rPr>
                <w:rFonts w:ascii="SimHei" w:hAnsi="SimHei" w:eastAsia="黑体"/>
                <w:color w:val="000000"/>
                <w:sz w:val="24"/>
              </w:rPr>
              <w:t>）总销售额＜</w:t>
            </w:r>
            <w:r>
              <w:rPr>
                <w:rFonts w:ascii="SimHei" w:hAnsi="SimHei" w:eastAsia="黑体"/>
                <w:color w:val="000000"/>
                <w:sz w:val="24"/>
              </w:rPr>
              <w:t>80%</w:t>
            </w:r>
            <w:r>
              <w:rPr>
                <w:rFonts w:ascii="SimHei" w:hAnsi="SimHei" w:eastAsia="黑体"/>
                <w:color w:val="000000"/>
                <w:sz w:val="24"/>
              </w:rPr>
              <w:t>或针织区＜</w:t>
            </w:r>
            <w:r>
              <w:rPr>
                <w:rFonts w:ascii="SimHei" w:hAnsi="SimHei" w:eastAsia="黑体"/>
                <w:color w:val="000000"/>
                <w:sz w:val="24"/>
              </w:rPr>
              <w:t>80%</w:t>
            </w:r>
            <w:r>
              <w:rPr>
                <w:rFonts w:ascii="SimHei" w:hAnsi="SimHei" w:eastAsia="黑体"/>
                <w:color w:val="000000"/>
                <w:sz w:val="24"/>
              </w:rPr>
              <w:t>，负激励</w:t>
            </w:r>
            <w:r>
              <w:rPr>
                <w:rFonts w:ascii="SimHei" w:hAnsi="SimHei" w:eastAsia="黑体"/>
                <w:color w:val="000000"/>
                <w:sz w:val="24"/>
              </w:rPr>
              <w:t>200</w:t>
            </w:r>
            <w:r>
              <w:rPr>
                <w:rFonts w:ascii="SimHei" w:hAnsi="SimHei" w:eastAsia="黑体"/>
                <w:color w:val="000000"/>
                <w:sz w:val="24"/>
              </w:rPr>
              <w:t>元</w:t>
            </w:r>
            <w:r>
              <w:rPr>
                <w:rFonts w:ascii="SimHei" w:hAnsi="SimHei" w:eastAsia="黑体"/>
                <w:color w:val="000000"/>
                <w:sz w:val="24"/>
              </w:rPr>
              <w:t>/</w:t>
            </w:r>
            <w:r>
              <w:rPr>
                <w:rFonts w:ascii="SimHei" w:hAnsi="SimHei" w:eastAsia="黑体"/>
                <w:color w:val="000000"/>
                <w:sz w:val="24"/>
              </w:rPr>
              <w:t>人</w:t>
            </w:r>
            <w:r>
              <w:rPr>
                <w:rFonts w:ascii="SimHei" w:hAnsi="SimHei" w:eastAsia="黑体"/>
                <w:b/>
                <w:color w:val="000000"/>
                <w:sz w:val="24"/>
              </w:rPr>
              <w:t>；</w:t>
            </w:r>
            <w:r>
              <w:rPr>
                <w:rFonts w:ascii="SimHei" w:hAnsi="SimHei" w:eastAsia="黑体"/>
                <w:color w:val="000000"/>
                <w:sz w:val="24"/>
              </w:rPr>
              <w:t>优惠券不记销量！</w:t>
            </w:r>
            <w:r>
              <w:rPr>
                <w:rFonts w:eastAsia="黑体" w:ascii="SimHei" w:hAnsi="SimHe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SimHei" w:hAnsi="SimHei" w:eastAsia="黑体"/>
                <w:b/>
                <w:bCs/>
                <w:color w:val="000000"/>
                <w:sz w:val="24"/>
              </w:rPr>
              <w:t>5</w:t>
            </w:r>
            <w:r>
              <w:rPr>
                <w:rFonts w:ascii="SimHei" w:hAnsi="SimHei" w:eastAsia="黑体"/>
                <w:b/>
                <w:bCs/>
                <w:color w:val="000000"/>
                <w:sz w:val="24"/>
              </w:rPr>
              <w:t>、准妈咪高单</w:t>
            </w:r>
            <w:r>
              <w:rPr>
                <w:rFonts w:ascii="SimHei" w:hAnsi="SimHei" w:eastAsia="黑体"/>
                <w:color w:val="000000"/>
                <w:sz w:val="24"/>
              </w:rPr>
              <w:t>：</w:t>
            </w:r>
            <w:r>
              <w:rPr>
                <w:rFonts w:ascii="SimHei" w:hAnsi="SimHei" w:eastAsia="黑体"/>
                <w:color w:val="000000"/>
                <w:sz w:val="24"/>
              </w:rPr>
              <w:t>A</w:t>
            </w:r>
            <w:r>
              <w:rPr>
                <w:rFonts w:ascii="SimHei" w:hAnsi="SimHei" w:eastAsia="黑体"/>
                <w:color w:val="000000"/>
                <w:sz w:val="24"/>
              </w:rPr>
              <w:t>类店单笔消费满</w:t>
            </w:r>
            <w:r>
              <w:rPr>
                <w:rFonts w:ascii="SimHei" w:hAnsi="SimHei" w:eastAsia="黑体"/>
                <w:color w:val="000000"/>
                <w:sz w:val="24"/>
              </w:rPr>
              <w:t>5</w:t>
            </w:r>
            <w:r>
              <w:rPr>
                <w:rFonts w:ascii="SimHei" w:hAnsi="SimHei" w:eastAsia="黑体"/>
                <w:color w:val="000000"/>
                <w:sz w:val="24"/>
              </w:rPr>
              <w:t>00</w:t>
            </w:r>
            <w:r>
              <w:rPr>
                <w:rFonts w:ascii="SimHei" w:hAnsi="SimHei" w:eastAsia="黑体"/>
                <w:color w:val="000000"/>
                <w:sz w:val="24"/>
              </w:rPr>
              <w:t>（</w:t>
            </w:r>
            <w:r>
              <w:rPr>
                <w:rFonts w:ascii="SimHei" w:hAnsi="SimHei" w:eastAsia="黑体"/>
                <w:color w:val="000000"/>
                <w:sz w:val="24"/>
              </w:rPr>
              <w:t>B</w:t>
            </w:r>
            <w:r>
              <w:rPr>
                <w:rFonts w:ascii="SimHei" w:hAnsi="SimHei" w:eastAsia="黑体"/>
                <w:color w:val="000000"/>
                <w:sz w:val="24"/>
              </w:rPr>
              <w:t>类店</w:t>
            </w:r>
            <w:r>
              <w:rPr>
                <w:rFonts w:ascii="SimHei" w:hAnsi="SimHei" w:eastAsia="黑体"/>
                <w:color w:val="000000"/>
                <w:sz w:val="24"/>
              </w:rPr>
              <w:t>400</w:t>
            </w:r>
            <w:r>
              <w:rPr>
                <w:rFonts w:ascii="SimHei" w:hAnsi="SimHei" w:eastAsia="黑体"/>
                <w:color w:val="000000"/>
                <w:sz w:val="24"/>
              </w:rPr>
              <w:t>，</w:t>
            </w:r>
            <w:r>
              <w:rPr>
                <w:rFonts w:ascii="SimHei" w:hAnsi="SimHei" w:eastAsia="黑体"/>
                <w:color w:val="000000"/>
                <w:sz w:val="24"/>
              </w:rPr>
              <w:t>C</w:t>
            </w:r>
            <w:r>
              <w:rPr>
                <w:rFonts w:ascii="SimHei" w:hAnsi="SimHei" w:eastAsia="黑体"/>
                <w:color w:val="000000"/>
                <w:sz w:val="24"/>
              </w:rPr>
              <w:t>类店</w:t>
            </w:r>
            <w:r>
              <w:rPr>
                <w:rFonts w:ascii="SimHei" w:hAnsi="SimHei" w:eastAsia="黑体"/>
                <w:color w:val="000000"/>
                <w:sz w:val="24"/>
              </w:rPr>
              <w:t>300</w:t>
            </w:r>
            <w:r>
              <w:rPr>
                <w:rFonts w:ascii="SimHei" w:hAnsi="SimHei" w:eastAsia="黑体"/>
                <w:color w:val="000000"/>
                <w:sz w:val="24"/>
              </w:rPr>
              <w:t>）以上每单奖励</w:t>
            </w:r>
            <w:r>
              <w:rPr>
                <w:rFonts w:ascii="SimHei" w:hAnsi="SimHei" w:eastAsia="黑体"/>
                <w:color w:val="000000"/>
                <w:sz w:val="24"/>
              </w:rPr>
              <w:t>10</w:t>
            </w:r>
            <w:r>
              <w:rPr>
                <w:rFonts w:ascii="SimHei" w:hAnsi="SimHei" w:eastAsia="黑体"/>
                <w:color w:val="000000"/>
                <w:sz w:val="24"/>
              </w:rPr>
              <w:t>元（只限准妈咪产前购物，要求本单商品金额</w:t>
            </w:r>
            <w:r>
              <w:rPr>
                <w:rFonts w:ascii="SimHei" w:hAnsi="SimHei" w:eastAsia="黑体"/>
                <w:color w:val="000000"/>
                <w:sz w:val="24"/>
              </w:rPr>
              <w:t>80%</w:t>
            </w:r>
            <w:r>
              <w:rPr>
                <w:rFonts w:ascii="SimHei" w:hAnsi="SimHei" w:eastAsia="黑体"/>
                <w:color w:val="000000"/>
                <w:sz w:val="24"/>
              </w:rPr>
              <w:t>以上是产前产后所需商品，每单销售品种</w:t>
            </w:r>
            <w:r>
              <w:rPr>
                <w:rFonts w:ascii="SimHei" w:hAnsi="SimHei" w:eastAsia="黑体"/>
                <w:color w:val="000000"/>
                <w:sz w:val="24"/>
              </w:rPr>
              <w:t>5</w:t>
            </w:r>
            <w:r>
              <w:rPr>
                <w:rFonts w:ascii="SimHei" w:hAnsi="SimHei" w:eastAsia="黑体"/>
                <w:color w:val="000000"/>
                <w:sz w:val="24"/>
              </w:rPr>
              <w:t>个以上，奶粉、纸品只算成熟品牌，不算童车）。每个导购有一个准妈咪高单任务，未完成扣</w:t>
            </w:r>
            <w:r>
              <w:rPr>
                <w:rFonts w:ascii="SimHei" w:hAnsi="SimHei" w:eastAsia="黑体"/>
                <w:color w:val="000000"/>
                <w:sz w:val="24"/>
              </w:rPr>
              <w:t>50</w:t>
            </w:r>
            <w:r>
              <w:rPr>
                <w:rFonts w:ascii="SimHei" w:hAnsi="SimHei" w:eastAsia="黑体"/>
                <w:color w:val="000000"/>
                <w:sz w:val="24"/>
              </w:rPr>
              <w:t>元。</w:t>
            </w:r>
            <w:r>
              <w:rPr>
                <w:rFonts w:ascii="SimHei" w:hAnsi="SimHei" w:eastAsia="黑体"/>
                <w:b/>
                <w:bCs/>
                <w:color w:val="000000"/>
                <w:sz w:val="24"/>
              </w:rPr>
              <w:t>6</w:t>
            </w:r>
            <w:r>
              <w:rPr>
                <w:rFonts w:ascii="SimHei" w:hAnsi="SimHei" w:eastAsia="黑体"/>
                <w:b/>
                <w:bCs/>
                <w:color w:val="000000"/>
                <w:sz w:val="24"/>
              </w:rPr>
              <w:t>、任务异常调整：</w:t>
            </w:r>
            <w:r>
              <w:rPr>
                <w:rFonts w:ascii="SimHei" w:hAnsi="SimHei" w:eastAsia="黑体"/>
                <w:color w:val="000000"/>
                <w:sz w:val="24"/>
              </w:rPr>
              <w:t>导购在公休以外时间请假，当天销售任务自动平均分配到当班导购当天的任务当中，该导购当月任务不变，报请人事部备案。员工中途调岗或离职，</w:t>
            </w:r>
            <w:r>
              <w:rPr>
                <w:rFonts w:ascii="SimHei" w:hAnsi="SimHei" w:cs="宋体;SimSun" w:eastAsia="黑体"/>
                <w:color w:val="000000"/>
                <w:sz w:val="24"/>
              </w:rPr>
              <w:t>自调离之日起其任务由店长合理分配给</w:t>
            </w:r>
            <w:r>
              <w:rPr>
                <w:rFonts w:ascii="SimHei" w:hAnsi="SimHei" w:eastAsia="黑体"/>
                <w:color w:val="000000"/>
                <w:sz w:val="24"/>
              </w:rPr>
              <w:t>在职导购，报请</w:t>
            </w:r>
            <w:r>
              <w:rPr>
                <w:rFonts w:ascii="SimHei" w:hAnsi="SimHei" w:eastAsia="黑体"/>
                <w:b/>
                <w:bCs/>
                <w:color w:val="000000"/>
                <w:sz w:val="24"/>
              </w:rPr>
              <w:t>运营部</w:t>
            </w:r>
            <w:r>
              <w:rPr>
                <w:rFonts w:ascii="SimHei" w:hAnsi="SimHei" w:eastAsia="黑体"/>
                <w:color w:val="000000"/>
                <w:sz w:val="24"/>
              </w:rPr>
              <w:t>备案。</w:t>
            </w:r>
          </w:p>
          <w:p>
            <w:pPr>
              <w:pStyle w:val="Normal"/>
              <w:rPr>
                <w:color w:val="0000FF"/>
                <w:sz w:val="24"/>
              </w:rPr>
            </w:pPr>
            <w:r>
              <w:rPr>
                <w:rFonts w:ascii="SimHei" w:hAnsi="SimHei" w:eastAsia="黑体"/>
                <w:color w:val="0000FF"/>
                <w:sz w:val="24"/>
              </w:rPr>
            </w:r>
          </w:p>
        </w:tc>
      </w:tr>
    </w:tbl>
    <w:p>
      <w:pPr>
        <w:pStyle w:val="Normal"/>
        <w:rPr/>
      </w:pPr>
      <w:r>
        <w:rPr>
          <w:rFonts w:eastAsia="黑体" w:ascii="SimHei" w:hAnsi="SimHei"/>
          <w:szCs w:val="21"/>
        </w:rPr>
        <w:t xml:space="preserve">    </w:t>
      </w:r>
      <w:r>
        <w:rPr>
          <w:rFonts w:ascii="SimHei" w:hAnsi="SimHei" w:eastAsia="黑体"/>
          <w:sz w:val="28"/>
          <w:szCs w:val="28"/>
        </w:rPr>
        <w:t>摄影纪念品未完成底线负激励</w:t>
      </w:r>
      <w:r>
        <w:rPr>
          <w:rFonts w:ascii="SimHei" w:hAnsi="SimHei" w:eastAsia="黑体"/>
          <w:sz w:val="28"/>
          <w:szCs w:val="28"/>
        </w:rPr>
        <w:t>50</w:t>
      </w:r>
      <w:r>
        <w:rPr>
          <w:rFonts w:ascii="SimHei" w:hAnsi="SimHei" w:eastAsia="黑体"/>
          <w:sz w:val="28"/>
          <w:szCs w:val="28"/>
        </w:rPr>
        <w:t>元。</w:t>
      </w:r>
    </w:p>
    <w:sectPr>
      <w:headerReference w:type="default" r:id="rId4"/>
      <w:type w:val="nextPage"/>
      <w:pgSz w:w="11906" w:h="16838"/>
      <w:pgMar w:left="170" w:right="170" w:header="851" w:top="907" w:footer="0" w:bottom="79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日期"/>
    <w:basedOn w:val="Normal"/>
    <w:next w:val="Normal"/>
    <w:qFormat/>
    <w:pPr>
      <w:ind w:start="10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Style16">
    <w:name w:val="批注框文本"/>
    <w:basedOn w:val="Normal"/>
    <w:qFormat/>
    <w:pPr/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2010-08-25T16:04:00Z</dcterms:created>
  <dc:creator>unionlink</dc:creator>
  <dc:description/>
  <cp:keywords> </cp:keywords>
  <dc:language>en-US</dc:language>
  <cp:lastModifiedBy>JonMMx 2000</cp:lastModifiedBy>
  <cp:lastPrinted>2013-08-31T08:39:00Z</cp:lastPrinted>
  <dcterms:modified xsi:type="dcterms:W3CDTF">2018-11-15T20:12:00Z</dcterms:modified>
  <cp:revision>2</cp:revision>
  <dc:subject/>
  <dc:title>公司薪资结构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