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黑体;SimHei" w:hAnsi="黑体;SimHei" w:eastAsia="黑体;SimHei"/>
          <w:b/>
          <w:b/>
          <w:sz w:val="32"/>
          <w:szCs w:val="32"/>
        </w:rPr>
      </w:pPr>
      <w:r>
        <w:rPr>
          <w:rFonts w:ascii="SimHei" w:hAnsi="SimHei" w:eastAsia="黑体"/>
          <w:b/>
          <w:sz w:val="32"/>
          <w:szCs w:val="32"/>
        </w:rPr>
        <w:t>中国移动浙江公司职位职等管理办法（修订）</w:t>
      </w:r>
    </w:p>
    <w:p>
      <w:pPr>
        <w:pStyle w:val="Normal"/>
        <w:jc w:val="center"/>
        <w:rPr>
          <w:rFonts w:ascii="仿宋_GB2312;微软雅黑" w:hAnsi="仿宋_GB2312;微软雅黑" w:eastAsia="仿宋_GB2312;微软雅黑"/>
          <w:b/>
          <w:b/>
          <w:sz w:val="24"/>
          <w:szCs w:val="32"/>
        </w:rPr>
      </w:pPr>
      <w:r>
        <w:rPr>
          <w:rFonts w:eastAsia="黑体" w:ascii="SimHei" w:hAnsi="SimHei"/>
          <w:b/>
          <w:sz w:val="24"/>
          <w:szCs w:val="32"/>
        </w:rPr>
      </w:r>
    </w:p>
    <w:p>
      <w:pPr>
        <w:pStyle w:val="Normal"/>
        <w:jc w:val="center"/>
        <w:rPr>
          <w:rFonts w:ascii="仿宋_GB2312;微软雅黑" w:hAnsi="仿宋_GB2312;微软雅黑" w:eastAsia="仿宋_GB2312;微软雅黑"/>
          <w:b/>
          <w:b/>
          <w:sz w:val="24"/>
        </w:rPr>
      </w:pPr>
      <w:r>
        <w:rPr>
          <w:rFonts w:ascii="SimHei" w:hAnsi="SimHei" w:eastAsia="黑体"/>
          <w:b/>
          <w:sz w:val="24"/>
        </w:rPr>
        <w:t>第一章  总则</w:t>
      </w:r>
    </w:p>
    <w:p>
      <w:pPr>
        <w:pStyle w:val="Normal"/>
        <w:ind w:firstLine="480"/>
        <w:rPr>
          <w:rFonts w:ascii="仿宋_GB2312;微软雅黑" w:hAnsi="仿宋_GB2312;微软雅黑" w:eastAsia="仿宋_GB2312;微软雅黑"/>
          <w:b/>
          <w:b/>
          <w:sz w:val="24"/>
        </w:rPr>
      </w:pPr>
      <w:r>
        <w:rPr>
          <w:rFonts w:ascii="SimHei" w:hAnsi="SimHei" w:eastAsia="黑体"/>
          <w:b/>
          <w:sz w:val="24"/>
        </w:rPr>
        <w:t>第一条  目的</w:t>
      </w:r>
    </w:p>
    <w:p>
      <w:pPr>
        <w:pStyle w:val="Normal"/>
        <w:ind w:firstLine="480"/>
        <w:rPr/>
      </w:pPr>
      <w:r>
        <w:rPr>
          <w:rFonts w:ascii="SimHei" w:hAnsi="SimHei" w:eastAsia="黑体"/>
          <w:sz w:val="24"/>
        </w:rPr>
        <w:t>（一）通过有效的职位管理，满足公司运营管理实现的需要，促进运作流程和人力资源配置的优化。</w:t>
      </w:r>
    </w:p>
    <w:p>
      <w:pPr>
        <w:pStyle w:val="Normal"/>
        <w:ind w:firstLine="480"/>
        <w:rPr>
          <w:rFonts w:ascii="仿宋_GB2312;微软雅黑" w:hAnsi="仿宋_GB2312;微软雅黑" w:eastAsia="仿宋_GB2312;微软雅黑"/>
          <w:sz w:val="24"/>
        </w:rPr>
      </w:pPr>
      <w:r>
        <w:rPr>
          <w:rFonts w:ascii="SimHei" w:hAnsi="SimHei" w:eastAsia="黑体"/>
          <w:sz w:val="24"/>
        </w:rPr>
        <w:t>（二）规范职位和职等管理，通过职位宽带化，为员工职业发展提供通道。</w:t>
      </w:r>
    </w:p>
    <w:p>
      <w:pPr>
        <w:pStyle w:val="Normal"/>
        <w:ind w:firstLine="480"/>
        <w:rPr>
          <w:rFonts w:ascii="仿宋_GB2312;微软雅黑" w:hAnsi="仿宋_GB2312;微软雅黑" w:eastAsia="仿宋_GB2312;微软雅黑"/>
          <w:b/>
          <w:b/>
          <w:sz w:val="24"/>
        </w:rPr>
      </w:pPr>
      <w:r>
        <w:rPr>
          <w:rFonts w:ascii="SimHei" w:hAnsi="SimHei" w:eastAsia="黑体"/>
          <w:b/>
          <w:sz w:val="24"/>
        </w:rPr>
        <w:t>第二条  原则</w:t>
      </w:r>
    </w:p>
    <w:p>
      <w:pPr>
        <w:pStyle w:val="Normal"/>
        <w:ind w:firstLine="480"/>
        <w:rPr/>
      </w:pPr>
      <w:r>
        <w:rPr>
          <w:rFonts w:ascii="SimHei" w:hAnsi="SimHei" w:eastAsia="黑体"/>
          <w:sz w:val="24"/>
        </w:rPr>
        <w:t>（一）满足战略、架构与业务流程需要原则。职位职等的设置与管理应在满足公司经营发展战略需要的前提下，依托组织架构的框架，致力于保障业务流程的实现与优化。</w:t>
      </w:r>
    </w:p>
    <w:p>
      <w:pPr>
        <w:pStyle w:val="Normal"/>
        <w:ind w:firstLine="480"/>
        <w:rPr/>
      </w:pPr>
      <w:r>
        <w:rPr>
          <w:rFonts w:ascii="SimHei" w:hAnsi="SimHei" w:eastAsia="黑体"/>
          <w:sz w:val="24"/>
        </w:rPr>
        <w:t>（二）动态管理原则。根据公司运营发展和人力资源数量与质量的变化，对职位职等和任职人员进行动态跟踪与调整，不断探索人力资源优化配置的方法与思路。</w:t>
      </w:r>
    </w:p>
    <w:p>
      <w:pPr>
        <w:pStyle w:val="Normal"/>
        <w:ind w:firstLine="480"/>
        <w:rPr/>
      </w:pPr>
      <w:r>
        <w:rPr>
          <w:rFonts w:ascii="SimHei" w:hAnsi="SimHei" w:eastAsia="黑体"/>
          <w:sz w:val="24"/>
        </w:rPr>
        <w:t>（三）效率优先，兼顾人员现状原则。职位职等的设置与管理应以运作效率的提升为目标，同时考虑现有人员状况。</w:t>
      </w:r>
    </w:p>
    <w:p>
      <w:pPr>
        <w:pStyle w:val="Normal"/>
        <w:ind w:firstLine="480"/>
        <w:rPr/>
      </w:pPr>
      <w:r>
        <w:rPr>
          <w:rFonts w:ascii="SimHei" w:hAnsi="SimHei" w:eastAsia="黑体"/>
          <w:sz w:val="24"/>
        </w:rPr>
        <w:t>（四）双因素原则。职位职等管理中同时体现职位价值因素与人员贡献度因素。</w:t>
      </w:r>
    </w:p>
    <w:p>
      <w:pPr>
        <w:pStyle w:val="Normal"/>
        <w:ind w:firstLine="480"/>
        <w:rPr>
          <w:rFonts w:ascii="仿宋_GB2312;微软雅黑" w:hAnsi="仿宋_GB2312;微软雅黑" w:eastAsia="仿宋_GB2312;微软雅黑"/>
          <w:b/>
          <w:b/>
          <w:sz w:val="24"/>
        </w:rPr>
      </w:pPr>
      <w:r>
        <w:rPr>
          <w:rFonts w:ascii="SimHei" w:hAnsi="SimHei" w:eastAsia="黑体"/>
          <w:b/>
          <w:sz w:val="24"/>
        </w:rPr>
        <w:t>第三条  适用范围</w:t>
      </w:r>
    </w:p>
    <w:p>
      <w:pPr>
        <w:pStyle w:val="Normal"/>
        <w:ind w:firstLine="480"/>
        <w:rPr/>
      </w:pPr>
      <w:r>
        <w:rPr>
          <w:rFonts w:ascii="SimHei" w:hAnsi="SimHei" w:eastAsia="黑体"/>
          <w:bCs/>
          <w:sz w:val="24"/>
        </w:rPr>
        <w:t>本办法适用于公司全体员工（不含离岗退养员工）职位职等的管理，其中省公司党组及分公司党委管理中层只纳入职位族经理条线及相应主族和子族，不纳入职位系列及职位水平等级，仍按原职务系列管理。</w:t>
      </w:r>
    </w:p>
    <w:p>
      <w:pPr>
        <w:pStyle w:val="Normal"/>
        <w:ind w:firstLine="480"/>
        <w:rPr>
          <w:rFonts w:ascii="仿宋_GB2312;微软雅黑" w:hAnsi="仿宋_GB2312;微软雅黑" w:eastAsia="仿宋_GB2312;微软雅黑"/>
          <w:b/>
          <w:b/>
          <w:sz w:val="24"/>
        </w:rPr>
      </w:pPr>
      <w:r>
        <w:rPr>
          <w:rFonts w:ascii="SimHei" w:hAnsi="SimHei" w:eastAsia="黑体"/>
          <w:b/>
          <w:sz w:val="24"/>
        </w:rPr>
        <w:t>第四条  职责与分工</w:t>
      </w:r>
    </w:p>
    <w:p>
      <w:pPr>
        <w:pStyle w:val="Normal"/>
        <w:ind w:firstLine="480"/>
        <w:rPr/>
      </w:pPr>
      <w:r>
        <w:rPr>
          <w:rFonts w:ascii="SimHei" w:hAnsi="SimHei" w:eastAsia="黑体"/>
          <w:sz w:val="24"/>
        </w:rPr>
        <w:t>省公司人力资源部负责职位职等管理相关制度及办法的制定与管理，并对职位职等管理工作进行指导。</w:t>
      </w:r>
    </w:p>
    <w:p>
      <w:pPr>
        <w:pStyle w:val="Normal"/>
        <w:ind w:firstLine="480"/>
        <w:rPr>
          <w:rFonts w:ascii="仿宋_GB2312;微软雅黑" w:hAnsi="仿宋_GB2312;微软雅黑" w:eastAsia="仿宋_GB2312;微软雅黑"/>
          <w:sz w:val="24"/>
        </w:rPr>
      </w:pPr>
      <w:r>
        <w:rPr>
          <w:rFonts w:ascii="SimHei" w:hAnsi="SimHei" w:eastAsia="黑体"/>
          <w:sz w:val="24"/>
        </w:rPr>
        <w:t>各市分公司人力资源部负责职位日常管理与指导。</w:t>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jc w:val="center"/>
        <w:rPr/>
      </w:pPr>
      <w:r>
        <w:rPr>
          <w:rFonts w:ascii="SimHei" w:hAnsi="SimHei" w:eastAsia="黑体"/>
          <w:b/>
          <w:sz w:val="24"/>
        </w:rPr>
        <w:t>第二章  职位体系及定义</w:t>
      </w:r>
    </w:p>
    <w:p>
      <w:pPr>
        <w:pStyle w:val="Normal"/>
        <w:ind w:firstLine="480"/>
        <w:rPr>
          <w:rFonts w:ascii="仿宋_GB2312;微软雅黑" w:hAnsi="仿宋_GB2312;微软雅黑" w:eastAsia="仿宋_GB2312;微软雅黑"/>
          <w:b/>
          <w:b/>
          <w:sz w:val="24"/>
        </w:rPr>
      </w:pPr>
      <w:r>
        <w:rPr>
          <w:rFonts w:ascii="SimHei" w:hAnsi="SimHei" w:eastAsia="黑体"/>
          <w:b/>
          <w:sz w:val="24"/>
        </w:rPr>
        <w:t>第五条  职位</w:t>
      </w:r>
    </w:p>
    <w:p>
      <w:pPr>
        <w:pStyle w:val="Normal"/>
        <w:ind w:firstLine="480"/>
        <w:rPr>
          <w:rFonts w:ascii="仿宋_GB2312;微软雅黑" w:hAnsi="仿宋_GB2312;微软雅黑" w:eastAsia="仿宋_GB2312;微软雅黑"/>
          <w:sz w:val="24"/>
        </w:rPr>
      </w:pPr>
      <w:r>
        <w:rPr>
          <w:rFonts w:ascii="SimHei" w:hAnsi="SimHei" w:eastAsia="黑体"/>
          <w:sz w:val="24"/>
        </w:rPr>
        <w:t>职位即岗位，是一定的任务和职责的有机组合。每个职位应有唯一的职位名称。不同的员工可以从事同一个职位。省公司统一制订下发公司典型职位。</w:t>
      </w:r>
    </w:p>
    <w:p>
      <w:pPr>
        <w:pStyle w:val="Normal"/>
        <w:numPr>
          <w:ilvl w:val="0"/>
          <w:numId w:val="2"/>
        </w:numPr>
        <w:rPr>
          <w:rFonts w:ascii="仿宋_GB2312;微软雅黑" w:hAnsi="仿宋_GB2312;微软雅黑" w:eastAsia="仿宋_GB2312;微软雅黑"/>
          <w:b/>
          <w:b/>
          <w:sz w:val="24"/>
        </w:rPr>
      </w:pPr>
      <w:r>
        <w:rPr>
          <w:rFonts w:ascii="SimHei" w:hAnsi="SimHei" w:eastAsia="黑体"/>
          <w:b/>
          <w:sz w:val="24"/>
        </w:rPr>
        <w:t>职位条线</w:t>
      </w:r>
    </w:p>
    <w:p>
      <w:pPr>
        <w:pStyle w:val="Normal"/>
        <w:ind w:firstLine="480"/>
        <w:rPr>
          <w:rFonts w:ascii="仿宋_GB2312;微软雅黑" w:hAnsi="仿宋_GB2312;微软雅黑" w:eastAsia="仿宋_GB2312;微软雅黑"/>
          <w:sz w:val="24"/>
        </w:rPr>
      </w:pPr>
      <w:r>
        <w:rPr>
          <w:rFonts w:ascii="SimHei" w:hAnsi="SimHei" w:eastAsia="黑体"/>
          <w:sz w:val="24"/>
        </w:rPr>
        <w:t>根据工作性质和工作能力要求相似性，公司职位分成综合、市场、技术、经理四大职位条线。</w:t>
      </w:r>
    </w:p>
    <w:p>
      <w:pPr>
        <w:pStyle w:val="Normal"/>
        <w:numPr>
          <w:ilvl w:val="0"/>
          <w:numId w:val="2"/>
        </w:numPr>
        <w:rPr>
          <w:rFonts w:ascii="仿宋_GB2312;微软雅黑" w:hAnsi="仿宋_GB2312;微软雅黑" w:eastAsia="仿宋_GB2312;微软雅黑"/>
          <w:b/>
          <w:b/>
          <w:sz w:val="24"/>
        </w:rPr>
      </w:pPr>
      <w:r>
        <w:rPr>
          <w:rFonts w:ascii="SimHei" w:hAnsi="SimHei" w:eastAsia="黑体"/>
          <w:b/>
          <w:sz w:val="24"/>
        </w:rPr>
        <w:t>职位主族</w:t>
      </w:r>
    </w:p>
    <w:p>
      <w:pPr>
        <w:pStyle w:val="Normal"/>
        <w:ind w:firstLine="480"/>
        <w:rPr/>
      </w:pPr>
      <w:r>
        <w:rPr>
          <w:rFonts w:ascii="SimHei" w:hAnsi="SimHei" w:eastAsia="黑体"/>
          <w:sz w:val="24"/>
        </w:rPr>
        <w:t>根据职能相似性，每一职位条线分成相应的职位主族，具体十三主族为：</w:t>
      </w:r>
    </w:p>
    <w:p>
      <w:pPr>
        <w:pStyle w:val="Normal"/>
        <w:ind w:firstLine="480"/>
        <w:rPr>
          <w:rFonts w:ascii="仿宋_GB2312;微软雅黑" w:hAnsi="仿宋_GB2312;微软雅黑" w:eastAsia="仿宋_GB2312;微软雅黑"/>
          <w:sz w:val="24"/>
        </w:rPr>
      </w:pPr>
      <w:r>
        <w:rPr>
          <w:rFonts w:ascii="SimHei" w:hAnsi="SimHei" w:cs="宋体;SimSun" w:eastAsia="黑体"/>
          <w:bCs/>
          <w:kern w:val="0"/>
          <w:sz w:val="24"/>
        </w:rPr>
        <w:t>（一）综合线分成战略运营、人力资源、财务管理、党群工会、风险管理、行政后勤六个职位主族：</w:t>
      </w:r>
    </w:p>
    <w:p>
      <w:pPr>
        <w:pStyle w:val="Normal"/>
        <w:ind w:firstLine="480"/>
        <w:rPr>
          <w:rFonts w:ascii="仿宋_GB2312;微软雅黑" w:hAnsi="仿宋_GB2312;微软雅黑" w:eastAsia="仿宋_GB2312;微软雅黑" w:cs="宋体;SimSun"/>
          <w:bCs/>
          <w:kern w:val="0"/>
          <w:sz w:val="24"/>
        </w:rPr>
      </w:pPr>
      <w:r>
        <w:rPr>
          <w:rFonts w:eastAsia="黑体" w:cs="宋体;SimSun" w:ascii="SimHei" w:hAnsi="SimHei"/>
          <w:bCs/>
          <w:kern w:val="0"/>
          <w:sz w:val="24"/>
        </w:rPr>
        <w:t>1</w:t>
      </w:r>
      <w:r>
        <w:rPr>
          <w:rFonts w:ascii="SimHei" w:hAnsi="SimHei" w:cs="宋体;SimSun" w:eastAsia="黑体"/>
          <w:bCs/>
          <w:kern w:val="0"/>
          <w:sz w:val="24"/>
        </w:rPr>
        <w:t>、战略运营：负责战略研究与管理、组织绩效等涉及公司战略运营方面的工作，以及创新管理、流程管理、知识管理、咨询项目管理、企业责任管理等涉及企业管理方面的工作。</w:t>
      </w:r>
    </w:p>
    <w:p>
      <w:pPr>
        <w:pStyle w:val="Normal"/>
        <w:ind w:firstLine="480"/>
        <w:rPr>
          <w:rFonts w:ascii="仿宋_GB2312;微软雅黑" w:hAnsi="仿宋_GB2312;微软雅黑" w:eastAsia="仿宋_GB2312;微软雅黑" w:cs="宋体;SimSun"/>
          <w:bCs/>
          <w:kern w:val="0"/>
          <w:sz w:val="24"/>
        </w:rPr>
      </w:pPr>
      <w:r>
        <w:rPr>
          <w:rFonts w:eastAsia="黑体" w:cs="宋体;SimSun" w:ascii="SimHei" w:hAnsi="SimHei"/>
          <w:bCs/>
          <w:kern w:val="0"/>
          <w:sz w:val="24"/>
        </w:rPr>
        <w:t>2</w:t>
      </w:r>
      <w:r>
        <w:rPr>
          <w:rFonts w:ascii="SimHei" w:hAnsi="SimHei" w:cs="宋体;SimSun" w:eastAsia="黑体"/>
          <w:bCs/>
          <w:kern w:val="0"/>
          <w:sz w:val="24"/>
        </w:rPr>
        <w:t>、人力资源：负责人力资源规划、人力资源管理体系建设与运营等方面的管理，包括人力资源规划管理、岗位管理、招聘管理、绩效管理、培训管理、薪酬管理、员工档案管理等工作。</w:t>
      </w:r>
    </w:p>
    <w:p>
      <w:pPr>
        <w:pStyle w:val="Normal"/>
        <w:ind w:firstLine="480"/>
        <w:rPr>
          <w:rFonts w:ascii="仿宋_GB2312;微软雅黑" w:hAnsi="仿宋_GB2312;微软雅黑" w:eastAsia="仿宋_GB2312;微软雅黑" w:cs="宋体;SimSun"/>
          <w:bCs/>
          <w:kern w:val="0"/>
          <w:sz w:val="24"/>
        </w:rPr>
      </w:pPr>
      <w:r>
        <w:rPr>
          <w:rFonts w:eastAsia="黑体" w:cs="宋体;SimSun" w:ascii="SimHei" w:hAnsi="SimHei"/>
          <w:bCs/>
          <w:kern w:val="0"/>
          <w:sz w:val="24"/>
        </w:rPr>
        <w:t>3</w:t>
      </w:r>
      <w:r>
        <w:rPr>
          <w:rFonts w:ascii="SimHei" w:hAnsi="SimHei" w:cs="宋体;SimSun" w:eastAsia="黑体"/>
          <w:bCs/>
          <w:kern w:val="0"/>
          <w:sz w:val="24"/>
        </w:rPr>
        <w:t>、财务管理：负责财务管理方面的制度制定、决策执行以及相关事务性工作。</w:t>
      </w:r>
    </w:p>
    <w:p>
      <w:pPr>
        <w:pStyle w:val="Normal"/>
        <w:ind w:firstLine="480"/>
        <w:rPr/>
      </w:pPr>
      <w:r>
        <w:rPr>
          <w:rFonts w:eastAsia="黑体" w:cs="宋体;SimSun" w:ascii="SimHei" w:hAnsi="SimHei"/>
          <w:bCs/>
          <w:kern w:val="0"/>
          <w:sz w:val="24"/>
        </w:rPr>
        <w:t>4</w:t>
      </w:r>
      <w:r>
        <w:rPr>
          <w:rFonts w:ascii="SimHei" w:hAnsi="SimHei" w:cs="宋体;SimSun" w:eastAsia="黑体"/>
          <w:bCs/>
          <w:kern w:val="0"/>
          <w:sz w:val="24"/>
        </w:rPr>
        <w:t>、党群工会：负责开展企业文化建设、精神文明建设和创建文明行业工作，开展员工的思想政治教育和疏导工作。组织公司民主、劳模、评先、劳动竞赛活动的开展，处理协调员工关系，保证员工的合法权益。</w:t>
      </w:r>
    </w:p>
    <w:p>
      <w:pPr>
        <w:pStyle w:val="Normal"/>
        <w:ind w:firstLine="480"/>
        <w:rPr>
          <w:rFonts w:ascii="仿宋_GB2312;微软雅黑" w:hAnsi="仿宋_GB2312;微软雅黑" w:eastAsia="仿宋_GB2312;微软雅黑" w:cs="宋体;SimSun"/>
          <w:bCs/>
          <w:kern w:val="0"/>
          <w:sz w:val="24"/>
        </w:rPr>
      </w:pPr>
      <w:r>
        <w:rPr>
          <w:rFonts w:eastAsia="黑体" w:cs="宋体;SimSun" w:ascii="SimHei" w:hAnsi="SimHei"/>
          <w:bCs/>
          <w:kern w:val="0"/>
          <w:sz w:val="24"/>
        </w:rPr>
        <w:t>5</w:t>
      </w:r>
      <w:r>
        <w:rPr>
          <w:rFonts w:ascii="SimHei" w:hAnsi="SimHei" w:cs="宋体;SimSun" w:eastAsia="黑体"/>
          <w:bCs/>
          <w:kern w:val="0"/>
          <w:sz w:val="24"/>
        </w:rPr>
        <w:t>、风险管理：负责全面风险管理基础平台建设、廉政风险、</w:t>
      </w:r>
      <w:r>
        <w:rPr>
          <w:rFonts w:eastAsia="黑体" w:cs="宋体;SimSun" w:ascii="SimHei" w:hAnsi="SimHei"/>
          <w:bCs/>
          <w:kern w:val="0"/>
          <w:sz w:val="24"/>
        </w:rPr>
        <w:t>SOX</w:t>
      </w:r>
      <w:r>
        <w:rPr>
          <w:rFonts w:ascii="SimHei" w:hAnsi="SimHei" w:cs="宋体;SimSun" w:eastAsia="黑体"/>
          <w:bCs/>
          <w:kern w:val="0"/>
          <w:sz w:val="24"/>
        </w:rPr>
        <w:t>风险、法律风险等可能涉及到企业经营风险的管理工作。主要包括审计、纪检、监察、内控、法律事务等工作。</w:t>
      </w:r>
    </w:p>
    <w:p>
      <w:pPr>
        <w:pStyle w:val="Normal"/>
        <w:ind w:firstLine="480"/>
        <w:rPr>
          <w:rFonts w:ascii="仿宋_GB2312;微软雅黑" w:hAnsi="仿宋_GB2312;微软雅黑" w:eastAsia="仿宋_GB2312;微软雅黑" w:cs="宋体;SimSun"/>
          <w:bCs/>
          <w:kern w:val="0"/>
          <w:sz w:val="24"/>
        </w:rPr>
      </w:pPr>
      <w:r>
        <w:rPr>
          <w:rFonts w:eastAsia="黑体" w:cs="宋体;SimSun" w:ascii="SimHei" w:hAnsi="SimHei"/>
          <w:bCs/>
          <w:kern w:val="0"/>
          <w:sz w:val="24"/>
        </w:rPr>
        <w:t>6</w:t>
      </w:r>
      <w:r>
        <w:rPr>
          <w:rFonts w:ascii="SimHei" w:hAnsi="SimHei" w:cs="宋体;SimSun" w:eastAsia="黑体"/>
          <w:bCs/>
          <w:kern w:val="0"/>
          <w:sz w:val="24"/>
        </w:rPr>
        <w:t>、行政后勤：负责对公司的综合行政、后勤采购等进行管理，包括公文管理、文秘事务、新闻宣传、物资采购、接待事务、安全管理、档案管理、后勤管理等工作。</w:t>
      </w:r>
    </w:p>
    <w:p>
      <w:pPr>
        <w:pStyle w:val="Normal"/>
        <w:ind w:firstLine="480"/>
        <w:rPr>
          <w:rFonts w:ascii="仿宋_GB2312;微软雅黑" w:hAnsi="仿宋_GB2312;微软雅黑" w:eastAsia="仿宋_GB2312;微软雅黑"/>
          <w:sz w:val="24"/>
        </w:rPr>
      </w:pPr>
      <w:r>
        <w:rPr>
          <w:rFonts w:ascii="SimHei" w:hAnsi="SimHei" w:eastAsia="黑体"/>
          <w:sz w:val="24"/>
        </w:rPr>
        <w:t>（二）市场线分成</w:t>
      </w:r>
      <w:r>
        <w:rPr>
          <w:rFonts w:ascii="SimHei" w:hAnsi="SimHei" w:cs="宋体;SimSun" w:eastAsia="黑体"/>
          <w:bCs/>
          <w:kern w:val="0"/>
          <w:sz w:val="24"/>
        </w:rPr>
        <w:t>营销策划、运营管理、销售服务三个职位主族：</w:t>
      </w:r>
    </w:p>
    <w:p>
      <w:pPr>
        <w:pStyle w:val="Normal"/>
        <w:ind w:firstLine="480"/>
        <w:rPr>
          <w:rFonts w:ascii="仿宋_GB2312;微软雅黑" w:hAnsi="仿宋_GB2312;微软雅黑" w:eastAsia="仿宋_GB2312;微软雅黑"/>
          <w:sz w:val="24"/>
        </w:rPr>
      </w:pPr>
      <w:r>
        <w:rPr>
          <w:rFonts w:eastAsia="黑体" w:ascii="SimHei" w:hAnsi="SimHei"/>
          <w:sz w:val="24"/>
        </w:rPr>
        <w:t>1</w:t>
      </w:r>
      <w:r>
        <w:rPr>
          <w:rFonts w:ascii="SimHei" w:hAnsi="SimHei" w:eastAsia="黑体"/>
          <w:sz w:val="24"/>
        </w:rPr>
        <w:t>、营销策划：负责在内外部环境分析的基础上，确定营销策略（包括整体营销策略和各细分市场的营销策略。策略内容包括品牌、产品、资费、服务、渠道的策略）和营销资源规划。</w:t>
      </w:r>
    </w:p>
    <w:p>
      <w:pPr>
        <w:pStyle w:val="Normal"/>
        <w:ind w:firstLine="480"/>
        <w:rPr>
          <w:rFonts w:ascii="仿宋_GB2312;微软雅黑" w:hAnsi="仿宋_GB2312;微软雅黑" w:eastAsia="仿宋_GB2312;微软雅黑"/>
          <w:sz w:val="24"/>
        </w:rPr>
      </w:pPr>
      <w:r>
        <w:rPr>
          <w:rFonts w:eastAsia="黑体" w:ascii="SimHei" w:hAnsi="SimHei"/>
          <w:sz w:val="24"/>
        </w:rPr>
        <w:t>2</w:t>
      </w:r>
      <w:r>
        <w:rPr>
          <w:rFonts w:ascii="SimHei" w:hAnsi="SimHei" w:eastAsia="黑体"/>
          <w:sz w:val="24"/>
        </w:rPr>
        <w:t>、运营管理：负责营销运营的管理工作，包括运营体系建设和营销策略执行的计划、组织、监控工作，以及各类市场和客户的产品管理、渠道管理、业务流程和服务管理等。</w:t>
      </w:r>
    </w:p>
    <w:p>
      <w:pPr>
        <w:pStyle w:val="Normal"/>
        <w:ind w:firstLine="480"/>
        <w:rPr>
          <w:rFonts w:ascii="仿宋_GB2312;微软雅黑" w:hAnsi="仿宋_GB2312;微软雅黑" w:eastAsia="仿宋_GB2312;微软雅黑"/>
          <w:sz w:val="24"/>
        </w:rPr>
      </w:pPr>
      <w:r>
        <w:rPr>
          <w:rFonts w:eastAsia="黑体" w:ascii="SimHei" w:hAnsi="SimHei"/>
          <w:sz w:val="24"/>
        </w:rPr>
        <w:t>3</w:t>
      </w:r>
      <w:r>
        <w:rPr>
          <w:rFonts w:ascii="SimHei" w:hAnsi="SimHei" w:eastAsia="黑体"/>
          <w:sz w:val="24"/>
        </w:rPr>
        <w:t>、销售服务：负责各类产品、业务的销售执行和服务实施工作。包括销售服务的操作性工作和直接支持性工作。</w:t>
      </w:r>
    </w:p>
    <w:p>
      <w:pPr>
        <w:pStyle w:val="Normal"/>
        <w:ind w:firstLine="480"/>
        <w:rPr>
          <w:rFonts w:ascii="仿宋_GB2312;微软雅黑" w:hAnsi="仿宋_GB2312;微软雅黑" w:eastAsia="仿宋_GB2312;微软雅黑" w:cs="宋体;SimSun"/>
          <w:bCs/>
          <w:kern w:val="0"/>
          <w:sz w:val="24"/>
        </w:rPr>
      </w:pPr>
      <w:r>
        <w:rPr>
          <w:rFonts w:ascii="SimHei" w:hAnsi="SimHei" w:eastAsia="黑体"/>
          <w:sz w:val="24"/>
        </w:rPr>
        <w:t>（三）技术线分成</w:t>
      </w:r>
      <w:r>
        <w:rPr>
          <w:rFonts w:ascii="SimHei" w:hAnsi="SimHei" w:cs="宋体;SimSun" w:eastAsia="黑体"/>
          <w:bCs/>
          <w:kern w:val="0"/>
          <w:sz w:val="24"/>
        </w:rPr>
        <w:t>系统支撑、业务开发与支持、网络运营三个职位主族：</w:t>
      </w:r>
    </w:p>
    <w:p>
      <w:pPr>
        <w:pStyle w:val="Normal"/>
        <w:ind w:firstLine="480"/>
        <w:rPr>
          <w:rFonts w:ascii="仿宋_GB2312;微软雅黑" w:hAnsi="仿宋_GB2312;微软雅黑" w:eastAsia="仿宋_GB2312;微软雅黑" w:cs="宋体;SimSun"/>
          <w:bCs/>
          <w:kern w:val="0"/>
          <w:sz w:val="24"/>
        </w:rPr>
      </w:pPr>
      <w:r>
        <w:rPr>
          <w:rFonts w:eastAsia="黑体" w:cs="宋体;SimSun" w:ascii="SimHei" w:hAnsi="SimHei"/>
          <w:bCs/>
          <w:kern w:val="0"/>
          <w:sz w:val="24"/>
        </w:rPr>
        <w:t>1</w:t>
      </w:r>
      <w:r>
        <w:rPr>
          <w:rFonts w:ascii="SimHei" w:hAnsi="SimHei" w:cs="宋体;SimSun" w:eastAsia="黑体"/>
          <w:bCs/>
          <w:kern w:val="0"/>
          <w:sz w:val="24"/>
        </w:rPr>
        <w:t>、系统支撑：负责在技术层面，为公司在信息化管理、业务运营方面提供信息系统支持，实现管理与运营的高效率。</w:t>
      </w:r>
    </w:p>
    <w:p>
      <w:pPr>
        <w:pStyle w:val="Normal"/>
        <w:ind w:firstLine="480"/>
        <w:rPr/>
      </w:pPr>
      <w:r>
        <w:rPr>
          <w:rFonts w:eastAsia="黑体" w:cs="宋体;SimSun" w:ascii="SimHei" w:hAnsi="SimHei"/>
          <w:bCs/>
          <w:kern w:val="0"/>
          <w:sz w:val="24"/>
        </w:rPr>
        <w:t>2</w:t>
      </w:r>
      <w:r>
        <w:rPr>
          <w:rFonts w:ascii="SimHei" w:hAnsi="SimHei" w:cs="宋体;SimSun" w:eastAsia="黑体"/>
          <w:bCs/>
          <w:kern w:val="0"/>
          <w:sz w:val="24"/>
        </w:rPr>
        <w:t>、业务开发与支持：负责建立完善业务开发体系，研究客户消费行为，开发适应市场变化的新业务，某集团市场的产品研发、优化及支撑工作，为业务发展提供技术及资源的支撑，实现快速响应客户需求的目的。</w:t>
      </w:r>
    </w:p>
    <w:p>
      <w:pPr>
        <w:pStyle w:val="Normal"/>
        <w:ind w:firstLine="480"/>
        <w:rPr/>
      </w:pPr>
      <w:r>
        <w:rPr>
          <w:rFonts w:eastAsia="黑体" w:cs="宋体;SimSun" w:ascii="SimHei" w:hAnsi="SimHei"/>
          <w:bCs/>
          <w:kern w:val="0"/>
          <w:sz w:val="24"/>
        </w:rPr>
        <w:t>3</w:t>
      </w:r>
      <w:r>
        <w:rPr>
          <w:rFonts w:ascii="SimHei" w:hAnsi="SimHei" w:cs="宋体;SimSun" w:eastAsia="黑体"/>
          <w:bCs/>
          <w:kern w:val="0"/>
          <w:sz w:val="24"/>
        </w:rPr>
        <w:t>、网络运营：负责通信网络的规划、建设、监控、维护、优化及网络运营管理，满足市场发展需求，确保网络高质量运行。</w:t>
      </w:r>
    </w:p>
    <w:p>
      <w:pPr>
        <w:pStyle w:val="Normal"/>
        <w:ind w:firstLine="480"/>
        <w:rPr>
          <w:rFonts w:ascii="仿宋_GB2312;微软雅黑" w:hAnsi="仿宋_GB2312;微软雅黑" w:eastAsia="仿宋_GB2312;微软雅黑" w:cs="宋体;SimSun"/>
          <w:bCs/>
          <w:kern w:val="0"/>
          <w:sz w:val="24"/>
        </w:rPr>
      </w:pPr>
      <w:r>
        <w:rPr>
          <w:rFonts w:ascii="SimHei" w:hAnsi="SimHei" w:cs="宋体;SimSun" w:eastAsia="黑体"/>
          <w:bCs/>
          <w:kern w:val="0"/>
          <w:sz w:val="24"/>
        </w:rPr>
        <w:t>（四）经理线分为经理族一个职位主族：</w:t>
      </w:r>
    </w:p>
    <w:p>
      <w:pPr>
        <w:pStyle w:val="Normal"/>
        <w:ind w:firstLine="480"/>
        <w:rPr>
          <w:rFonts w:ascii="仿宋_GB2312;微软雅黑" w:hAnsi="仿宋_GB2312;微软雅黑" w:eastAsia="仿宋_GB2312;微软雅黑"/>
          <w:sz w:val="24"/>
        </w:rPr>
      </w:pPr>
      <w:r>
        <w:rPr>
          <w:rFonts w:ascii="SimHei" w:hAnsi="SimHei" w:eastAsia="黑体"/>
          <w:sz w:val="24"/>
        </w:rPr>
        <w:t>经理族：指具有管理职责（即有下属汇报路径），通过指挥、协调他人的工作，实现组织目标。</w:t>
      </w:r>
    </w:p>
    <w:p>
      <w:pPr>
        <w:pStyle w:val="Normal"/>
        <w:ind w:firstLine="470"/>
        <w:rPr/>
      </w:pPr>
      <w:r>
        <w:rPr>
          <w:rFonts w:ascii="SimHei" w:hAnsi="SimHei" w:eastAsia="黑体"/>
          <w:b/>
          <w:sz w:val="24"/>
        </w:rPr>
        <w:t>第八条  职位子族</w:t>
      </w:r>
    </w:p>
    <w:p>
      <w:pPr>
        <w:pStyle w:val="Normal"/>
        <w:ind w:firstLine="470"/>
        <w:rPr/>
      </w:pPr>
      <w:r>
        <w:rPr>
          <w:rFonts w:ascii="SimHei" w:hAnsi="SimHei" w:eastAsia="黑体"/>
          <w:sz w:val="24"/>
        </w:rPr>
        <w:t>综合考虑职能、流程、专业、业务等相似性，每个职位主族分成相应的职位子族，具体二十九个职位子族为：</w:t>
      </w:r>
    </w:p>
    <w:p>
      <w:pPr>
        <w:pStyle w:val="Normal"/>
        <w:ind w:firstLine="480"/>
        <w:rPr>
          <w:rFonts w:ascii="仿宋_GB2312;微软雅黑" w:hAnsi="仿宋_GB2312;微软雅黑" w:eastAsia="仿宋_GB2312;微软雅黑" w:cs="宋体;SimSun"/>
          <w:bCs/>
          <w:kern w:val="0"/>
          <w:sz w:val="24"/>
        </w:rPr>
      </w:pPr>
      <w:r>
        <w:rPr>
          <w:rFonts w:ascii="SimHei" w:hAnsi="SimHei" w:eastAsia="黑体"/>
          <w:sz w:val="24"/>
        </w:rPr>
        <w:t>（一）</w:t>
      </w:r>
      <w:r>
        <w:rPr>
          <w:rFonts w:ascii="SimHei" w:hAnsi="SimHei" w:cs="宋体;SimSun" w:eastAsia="黑体"/>
          <w:bCs/>
          <w:kern w:val="0"/>
          <w:sz w:val="24"/>
        </w:rPr>
        <w:t>战略运营主族分成战略运营一个职位子族：</w:t>
      </w:r>
    </w:p>
    <w:p>
      <w:pPr>
        <w:pStyle w:val="Normal"/>
        <w:ind w:firstLine="480"/>
        <w:rPr>
          <w:rFonts w:ascii="仿宋_GB2312;微软雅黑" w:hAnsi="仿宋_GB2312;微软雅黑" w:eastAsia="仿宋_GB2312;微软雅黑"/>
          <w:sz w:val="24"/>
        </w:rPr>
      </w:pPr>
      <w:r>
        <w:rPr>
          <w:rFonts w:ascii="SimHei" w:hAnsi="SimHei" w:cs="宋体;SimSun" w:eastAsia="黑体"/>
          <w:bCs/>
          <w:kern w:val="0"/>
          <w:sz w:val="24"/>
        </w:rPr>
        <w:t xml:space="preserve">战略运营：负责战略研究与管理、组织绩效等涉及公司战略运营方面的工作，以及创新管理、流程管理、知识管理、咨询项目管理、企业责任管理等涉及企业管理方面的工作。 </w:t>
      </w:r>
    </w:p>
    <w:p>
      <w:pPr>
        <w:pStyle w:val="Normal"/>
        <w:ind w:firstLine="470"/>
        <w:rPr>
          <w:rFonts w:ascii="仿宋_GB2312;微软雅黑" w:hAnsi="仿宋_GB2312;微软雅黑" w:eastAsia="仿宋_GB2312;微软雅黑" w:cs="宋体;SimSun"/>
          <w:bCs/>
          <w:kern w:val="0"/>
          <w:sz w:val="24"/>
        </w:rPr>
      </w:pPr>
      <w:r>
        <w:rPr>
          <w:rFonts w:ascii="SimHei" w:hAnsi="SimHei" w:eastAsia="黑体"/>
          <w:sz w:val="24"/>
        </w:rPr>
        <w:t>（二）</w:t>
      </w:r>
      <w:r>
        <w:rPr>
          <w:rFonts w:ascii="SimHei" w:hAnsi="SimHei" w:cs="宋体;SimSun" w:eastAsia="黑体"/>
          <w:bCs/>
          <w:kern w:val="0"/>
          <w:sz w:val="24"/>
        </w:rPr>
        <w:t>人力资源主族分为人力资源一个职位子族：</w:t>
      </w:r>
    </w:p>
    <w:p>
      <w:pPr>
        <w:pStyle w:val="Normal"/>
        <w:ind w:firstLine="470"/>
        <w:rPr>
          <w:rFonts w:ascii="仿宋_GB2312;微软雅黑" w:hAnsi="仿宋_GB2312;微软雅黑" w:eastAsia="仿宋_GB2312;微软雅黑"/>
          <w:sz w:val="24"/>
        </w:rPr>
      </w:pPr>
      <w:r>
        <w:rPr>
          <w:rFonts w:ascii="SimHei" w:hAnsi="SimHei" w:eastAsia="黑体"/>
          <w:sz w:val="24"/>
        </w:rPr>
        <w:t>人力资源：负责人力资源规划、人力资源管理体系建设与运营等方面的管理，包括人力资源规划管理、岗位管理、招聘管理、绩效管理、培训管理、薪酬管理、员工档案管理等工作。</w:t>
      </w:r>
    </w:p>
    <w:p>
      <w:pPr>
        <w:pStyle w:val="Normal"/>
        <w:ind w:firstLine="470"/>
        <w:rPr>
          <w:rFonts w:ascii="仿宋_GB2312;微软雅黑" w:hAnsi="仿宋_GB2312;微软雅黑" w:eastAsia="仿宋_GB2312;微软雅黑" w:cs="宋体;SimSun"/>
          <w:bCs/>
          <w:kern w:val="0"/>
          <w:sz w:val="24"/>
        </w:rPr>
      </w:pPr>
      <w:r>
        <w:rPr>
          <w:rFonts w:ascii="SimHei" w:hAnsi="SimHei" w:eastAsia="黑体"/>
          <w:sz w:val="24"/>
        </w:rPr>
        <w:t>（三）</w:t>
      </w:r>
      <w:r>
        <w:rPr>
          <w:rFonts w:ascii="SimHei" w:hAnsi="SimHei" w:cs="宋体;SimSun" w:eastAsia="黑体"/>
          <w:bCs/>
          <w:kern w:val="0"/>
          <w:sz w:val="24"/>
        </w:rPr>
        <w:t>财务管理主族分为财务管理、核算管理二个职位子族：</w:t>
      </w:r>
    </w:p>
    <w:p>
      <w:pPr>
        <w:pStyle w:val="Normal"/>
        <w:ind w:firstLine="470"/>
        <w:rPr/>
      </w:pPr>
      <w:r>
        <w:rPr>
          <w:rFonts w:eastAsia="黑体" w:cs="宋体;SimSun" w:ascii="SimHei" w:hAnsi="SimHei"/>
          <w:bCs/>
          <w:kern w:val="0"/>
          <w:sz w:val="24"/>
        </w:rPr>
        <w:t>1</w:t>
      </w:r>
      <w:r>
        <w:rPr>
          <w:rFonts w:ascii="SimHei" w:hAnsi="SimHei" w:cs="宋体;SimSun" w:eastAsia="黑体"/>
          <w:bCs/>
          <w:kern w:val="0"/>
          <w:sz w:val="24"/>
        </w:rPr>
        <w:t>、财务管理：负责公司预算的制定，规划、分解、跟踪公司年度经营目标，完善公司经营业绩考核体系；建立、优化公司统计管理，编写财务分析报告，防范运营风险，确保报告信息质量及按时完成披露。</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2</w:t>
      </w:r>
      <w:r>
        <w:rPr>
          <w:rFonts w:ascii="SimHei" w:hAnsi="SimHei" w:cs="宋体;SimSun" w:eastAsia="黑体"/>
          <w:bCs/>
          <w:kern w:val="0"/>
          <w:sz w:val="24"/>
        </w:rPr>
        <w:t>、核算管理：负责制定会计核算的流程、规范、管理办法，开展会计核算工作，及时、完整、真实披露会计信息，满足管理者信息需求。</w:t>
      </w:r>
    </w:p>
    <w:p>
      <w:pPr>
        <w:pStyle w:val="Normal"/>
        <w:ind w:firstLine="470"/>
        <w:rPr>
          <w:rFonts w:ascii="仿宋_GB2312;微软雅黑" w:hAnsi="仿宋_GB2312;微软雅黑" w:eastAsia="仿宋_GB2312;微软雅黑" w:cs="宋体;SimSun"/>
          <w:bCs/>
          <w:kern w:val="0"/>
          <w:sz w:val="24"/>
        </w:rPr>
      </w:pPr>
      <w:r>
        <w:rPr>
          <w:rFonts w:ascii="SimHei" w:hAnsi="SimHei" w:eastAsia="黑体"/>
          <w:sz w:val="24"/>
        </w:rPr>
        <w:t>（四）</w:t>
      </w:r>
      <w:r>
        <w:rPr>
          <w:rFonts w:ascii="SimHei" w:hAnsi="SimHei" w:cs="宋体;SimSun" w:eastAsia="黑体"/>
          <w:bCs/>
          <w:kern w:val="0"/>
          <w:sz w:val="24"/>
        </w:rPr>
        <w:t>党群工会主族分为党群工会一个职位子族：</w:t>
      </w:r>
    </w:p>
    <w:p>
      <w:pPr>
        <w:pStyle w:val="Normal"/>
        <w:ind w:firstLine="470"/>
        <w:rPr/>
      </w:pPr>
      <w:r>
        <w:rPr>
          <w:rFonts w:ascii="SimHei" w:hAnsi="SimHei" w:cs="宋体;SimSun" w:eastAsia="黑体"/>
          <w:bCs/>
          <w:kern w:val="0"/>
          <w:sz w:val="24"/>
        </w:rPr>
        <w:t>党群工会：</w:t>
      </w:r>
      <w:r>
        <w:rPr>
          <w:rFonts w:ascii="SimHei" w:hAnsi="SimHei" w:eastAsia="黑体"/>
          <w:sz w:val="24"/>
        </w:rPr>
        <w:t>负责开展企业文化建设、精神文明建设和创建文明行业工作 ，开展员工的思想政治教育和疏导工作。组织公司民主、劳模、评先、劳动竞赛活动的开展，处理协调员工关系，保证员工的合法权益。</w:t>
      </w:r>
    </w:p>
    <w:p>
      <w:pPr>
        <w:pStyle w:val="Normal"/>
        <w:ind w:firstLine="470"/>
        <w:rPr>
          <w:rFonts w:ascii="仿宋_GB2312;微软雅黑" w:hAnsi="仿宋_GB2312;微软雅黑" w:eastAsia="仿宋_GB2312;微软雅黑" w:cs="宋体;SimSun"/>
          <w:bCs/>
          <w:kern w:val="0"/>
          <w:sz w:val="24"/>
        </w:rPr>
      </w:pPr>
      <w:r>
        <w:rPr>
          <w:rFonts w:ascii="SimHei" w:hAnsi="SimHei" w:eastAsia="黑体"/>
          <w:sz w:val="24"/>
        </w:rPr>
        <w:t>（五）</w:t>
      </w:r>
      <w:r>
        <w:rPr>
          <w:rFonts w:ascii="SimHei" w:hAnsi="SimHei" w:cs="宋体;SimSun" w:eastAsia="黑体"/>
          <w:bCs/>
          <w:kern w:val="0"/>
          <w:sz w:val="24"/>
        </w:rPr>
        <w:t>风险管理主族分为风险管理一个职位子族：</w:t>
      </w:r>
    </w:p>
    <w:p>
      <w:pPr>
        <w:pStyle w:val="Normal"/>
        <w:ind w:firstLine="470"/>
        <w:rPr>
          <w:rFonts w:ascii="仿宋_GB2312;微软雅黑" w:hAnsi="仿宋_GB2312;微软雅黑" w:eastAsia="仿宋_GB2312;微软雅黑" w:cs="宋体;SimSun"/>
          <w:bCs/>
          <w:kern w:val="0"/>
          <w:sz w:val="24"/>
        </w:rPr>
      </w:pPr>
      <w:r>
        <w:rPr>
          <w:rFonts w:ascii="SimHei" w:hAnsi="SimHei" w:cs="宋体;SimSun" w:eastAsia="黑体"/>
          <w:bCs/>
          <w:kern w:val="0"/>
          <w:sz w:val="24"/>
        </w:rPr>
        <w:t>风险管理：负责全面风险管理基础平台建设、廉政风险、</w:t>
      </w:r>
      <w:r>
        <w:rPr>
          <w:rFonts w:eastAsia="黑体" w:cs="宋体;SimSun" w:ascii="SimHei" w:hAnsi="SimHei"/>
          <w:bCs/>
          <w:kern w:val="0"/>
          <w:sz w:val="24"/>
        </w:rPr>
        <w:t>SOX</w:t>
      </w:r>
      <w:r>
        <w:rPr>
          <w:rFonts w:ascii="SimHei" w:hAnsi="SimHei" w:cs="宋体;SimSun" w:eastAsia="黑体"/>
          <w:bCs/>
          <w:kern w:val="0"/>
          <w:sz w:val="24"/>
        </w:rPr>
        <w:t>风险、法律风险等可能涉及到企业经营风险的管理工作。主要包括审计、纪检、监察、内控、法律事务等工作。</w:t>
      </w:r>
    </w:p>
    <w:p>
      <w:pPr>
        <w:pStyle w:val="Normal"/>
        <w:ind w:firstLine="470"/>
        <w:rPr>
          <w:rFonts w:ascii="仿宋_GB2312;微软雅黑" w:hAnsi="仿宋_GB2312;微软雅黑" w:eastAsia="仿宋_GB2312;微软雅黑" w:cs="宋体;SimSun"/>
          <w:bCs/>
          <w:kern w:val="0"/>
          <w:sz w:val="24"/>
        </w:rPr>
      </w:pPr>
      <w:r>
        <w:rPr>
          <w:rFonts w:ascii="SimHei" w:hAnsi="SimHei" w:eastAsia="黑体"/>
          <w:sz w:val="24"/>
        </w:rPr>
        <w:t>（六）</w:t>
      </w:r>
      <w:r>
        <w:rPr>
          <w:rFonts w:ascii="SimHei" w:hAnsi="SimHei" w:cs="宋体;SimSun" w:eastAsia="黑体"/>
          <w:bCs/>
          <w:kern w:val="0"/>
          <w:sz w:val="24"/>
        </w:rPr>
        <w:t>行政后勤主族分为综合行政、采购管理、后勤服务三个职位子族：</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1</w:t>
      </w:r>
      <w:r>
        <w:rPr>
          <w:rFonts w:ascii="SimHei" w:hAnsi="SimHei" w:cs="宋体;SimSun" w:eastAsia="黑体"/>
          <w:bCs/>
          <w:kern w:val="0"/>
          <w:sz w:val="24"/>
        </w:rPr>
        <w:t>、综合行政：负责建立各项行政服务管理制度和工作流程，开展行政服务工作，包括公文管理、档案管理、新闻管理、会务组织、公关接待等日常工作，以及完成领导临时交办的相关事项。</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2</w:t>
      </w:r>
      <w:r>
        <w:rPr>
          <w:rFonts w:ascii="SimHei" w:hAnsi="SimHei" w:cs="宋体;SimSun" w:eastAsia="黑体"/>
          <w:bCs/>
          <w:kern w:val="0"/>
          <w:sz w:val="24"/>
        </w:rPr>
        <w:t>、采购管理：负责制定公司采购的相关规范、政策及物流管理制度，组织开展采购招投标管理、采购供应商管理工作，承担公司各类物资的采购、配送管理以及仓库物资的日常库存管理等工作。</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3</w:t>
      </w:r>
      <w:r>
        <w:rPr>
          <w:rFonts w:ascii="SimHei" w:hAnsi="SimHei" w:cs="宋体;SimSun" w:eastAsia="黑体"/>
          <w:bCs/>
          <w:kern w:val="0"/>
          <w:sz w:val="24"/>
        </w:rPr>
        <w:t>、后勤服务：负责车辆管理、物业管理、安全管理等后勤服务相关工作，制定公司安全生产、通信保卫的相关制度、规范，组织开展安全生产、通信保卫等工作。</w:t>
      </w:r>
    </w:p>
    <w:p>
      <w:pPr>
        <w:pStyle w:val="Normal"/>
        <w:ind w:firstLine="470"/>
        <w:rPr>
          <w:rFonts w:ascii="仿宋_GB2312;微软雅黑" w:hAnsi="仿宋_GB2312;微软雅黑" w:eastAsia="仿宋_GB2312;微软雅黑" w:cs="宋体;SimSun"/>
          <w:bCs/>
          <w:kern w:val="0"/>
          <w:sz w:val="24"/>
        </w:rPr>
      </w:pPr>
      <w:r>
        <w:rPr>
          <w:rFonts w:ascii="SimHei" w:hAnsi="SimHei" w:eastAsia="黑体"/>
          <w:sz w:val="24"/>
        </w:rPr>
        <w:t>（七）</w:t>
      </w:r>
      <w:r>
        <w:rPr>
          <w:rFonts w:ascii="SimHei" w:hAnsi="SimHei" w:cs="宋体;SimSun" w:eastAsia="黑体"/>
          <w:bCs/>
          <w:kern w:val="0"/>
          <w:sz w:val="24"/>
        </w:rPr>
        <w:t>营销策划主族分为经营分析、市场策划二个职位子族：</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1</w:t>
      </w:r>
      <w:r>
        <w:rPr>
          <w:rFonts w:ascii="SimHei" w:hAnsi="SimHei" w:cs="宋体;SimSun" w:eastAsia="黑体"/>
          <w:bCs/>
          <w:kern w:val="0"/>
          <w:sz w:val="24"/>
        </w:rPr>
        <w:t>、经营分析：负责市场经营环境分析，组织开展市场调研工作，提供市场统计分析报告。针对公司的运营数据进行分析，为公司提供决策支持。</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2</w:t>
      </w:r>
      <w:r>
        <w:rPr>
          <w:rFonts w:ascii="SimHei" w:hAnsi="SimHei" w:cs="宋体;SimSun" w:eastAsia="黑体"/>
          <w:bCs/>
          <w:kern w:val="0"/>
          <w:sz w:val="24"/>
        </w:rPr>
        <w:t>、市场策划：根据市场发展状况和客户需求，负责制定市场发展规划及发展策略。负责公司的品牌管理、资费政策、产品组合、终端营销、营销方案策划、市场宣传推广等工作，合理配置、协调各类资源，提升公司的整体营销水平。</w:t>
      </w:r>
    </w:p>
    <w:p>
      <w:pPr>
        <w:pStyle w:val="Normal"/>
        <w:ind w:firstLine="470"/>
        <w:rPr>
          <w:rFonts w:ascii="仿宋_GB2312;微软雅黑" w:hAnsi="仿宋_GB2312;微软雅黑" w:eastAsia="仿宋_GB2312;微软雅黑" w:cs="宋体;SimSun"/>
          <w:bCs/>
          <w:kern w:val="0"/>
          <w:sz w:val="24"/>
        </w:rPr>
      </w:pPr>
      <w:r>
        <w:rPr>
          <w:rFonts w:ascii="SimHei" w:hAnsi="SimHei" w:eastAsia="黑体"/>
          <w:sz w:val="24"/>
        </w:rPr>
        <w:t>（八）</w:t>
      </w:r>
      <w:r>
        <w:rPr>
          <w:rFonts w:ascii="SimHei" w:hAnsi="SimHei" w:cs="宋体;SimSun" w:eastAsia="黑体"/>
          <w:bCs/>
          <w:kern w:val="0"/>
          <w:sz w:val="24"/>
        </w:rPr>
        <w:t>运营管理主族分为业务管理、服务管理、渠道管理三个职位子族：</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1</w:t>
      </w:r>
      <w:r>
        <w:rPr>
          <w:rFonts w:ascii="SimHei" w:hAnsi="SimHei" w:cs="宋体;SimSun" w:eastAsia="黑体"/>
          <w:bCs/>
          <w:kern w:val="0"/>
          <w:sz w:val="24"/>
        </w:rPr>
        <w:t>、业务管理：负责制定、完善和监督执行各类业务运作的规则、流程，根据管理规范组织开展相关工作。包括资费管理、终端管理、欠费管理、业务稽核管理，合作伙伴的拓展、维系，以及号卡资源的规划、分配、监控等工作。</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2</w:t>
      </w:r>
      <w:r>
        <w:rPr>
          <w:rFonts w:ascii="SimHei" w:hAnsi="SimHei" w:cs="宋体;SimSun" w:eastAsia="黑体"/>
          <w:bCs/>
          <w:kern w:val="0"/>
          <w:sz w:val="24"/>
        </w:rPr>
        <w:t>、服务管理：负责制定完善各项服务管理制度、流程、规范和标准，开展各项服务质量检查、监督、考核和评比工作，制定服务提升方案和服务短板改善计划，提高服务质量</w:t>
      </w:r>
      <w:r>
        <w:rPr>
          <w:rFonts w:eastAsia="黑体" w:cs="宋体;SimSun" w:ascii="SimHei" w:hAnsi="SimHei"/>
          <w:bCs/>
          <w:kern w:val="0"/>
          <w:sz w:val="24"/>
        </w:rPr>
        <w:t>,</w:t>
      </w:r>
      <w:r>
        <w:rPr>
          <w:rFonts w:ascii="SimHei" w:hAnsi="SimHei" w:cs="宋体;SimSun" w:eastAsia="黑体"/>
          <w:bCs/>
          <w:kern w:val="0"/>
          <w:sz w:val="24"/>
        </w:rPr>
        <w:t>协调并持续优化服务流程，不断提升服务水平和客户满意度。</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3</w:t>
      </w:r>
      <w:r>
        <w:rPr>
          <w:rFonts w:ascii="SimHei" w:hAnsi="SimHei" w:cs="宋体;SimSun" w:eastAsia="黑体"/>
          <w:bCs/>
          <w:kern w:val="0"/>
          <w:sz w:val="24"/>
        </w:rPr>
        <w:t>、渠道管理：负责制定自有、社会、电子渠道的规划，组织开展新型营销和服务渠道的建设、拓展工作，收集、分析、记录、更新各类渠道相关信息，监控渠道的运营状况，确保渠道指标的达成。</w:t>
      </w:r>
    </w:p>
    <w:p>
      <w:pPr>
        <w:pStyle w:val="Normal"/>
        <w:ind w:firstLine="470"/>
        <w:rPr>
          <w:rFonts w:ascii="仿宋_GB2312;微软雅黑" w:hAnsi="仿宋_GB2312;微软雅黑" w:eastAsia="仿宋_GB2312;微软雅黑" w:cs="宋体;SimSun"/>
          <w:bCs/>
          <w:kern w:val="0"/>
          <w:sz w:val="24"/>
        </w:rPr>
      </w:pPr>
      <w:r>
        <w:rPr>
          <w:rFonts w:ascii="SimHei" w:hAnsi="SimHei" w:eastAsia="黑体"/>
          <w:sz w:val="24"/>
        </w:rPr>
        <w:t>（九）</w:t>
      </w:r>
      <w:r>
        <w:rPr>
          <w:rFonts w:ascii="SimHei" w:hAnsi="SimHei" w:cs="宋体;SimSun" w:eastAsia="黑体"/>
          <w:bCs/>
          <w:kern w:val="0"/>
          <w:sz w:val="24"/>
        </w:rPr>
        <w:t>销售服务主族分为电子销售服务、大客户销售服务、营业厅销售服务三个职位子族：</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1</w:t>
      </w:r>
      <w:r>
        <w:rPr>
          <w:rFonts w:ascii="SimHei" w:hAnsi="SimHei" w:cs="宋体;SimSun" w:eastAsia="黑体"/>
          <w:bCs/>
          <w:kern w:val="0"/>
          <w:sz w:val="24"/>
        </w:rPr>
        <w:t>、电子销售服务：负责通过各种电子渠道向客户提供信息咨询、业务办理、投诉受理等服务，并开展客户关怀、主动呼出等活动。</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2</w:t>
      </w:r>
      <w:r>
        <w:rPr>
          <w:rFonts w:ascii="SimHei" w:hAnsi="SimHei" w:cs="宋体;SimSun" w:eastAsia="黑体"/>
          <w:bCs/>
          <w:kern w:val="0"/>
          <w:sz w:val="24"/>
        </w:rPr>
        <w:t>、大客户销售服务：某集团客户的需求，配合相关部门进行技术方案、应用方案的开发。向客户推荐各类信息化产品和服务，开展客户的拓展、关怀和日常回访等工作，提供顾问式服务。</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3</w:t>
      </w:r>
      <w:r>
        <w:rPr>
          <w:rFonts w:ascii="SimHei" w:hAnsi="SimHei" w:cs="宋体;SimSun" w:eastAsia="黑体"/>
          <w:bCs/>
          <w:kern w:val="0"/>
          <w:sz w:val="24"/>
        </w:rPr>
        <w:t>、营业厅销售服务：负责通过营业厅渠道，为客户提供业务办理、咨询、投诉受理等相关服务。</w:t>
      </w:r>
    </w:p>
    <w:p>
      <w:pPr>
        <w:pStyle w:val="Normal"/>
        <w:ind w:firstLine="470"/>
        <w:rPr>
          <w:rFonts w:ascii="仿宋_GB2312;微软雅黑" w:hAnsi="仿宋_GB2312;微软雅黑" w:eastAsia="仿宋_GB2312;微软雅黑" w:cs="宋体;SimSun"/>
          <w:bCs/>
          <w:kern w:val="0"/>
          <w:sz w:val="24"/>
        </w:rPr>
      </w:pPr>
      <w:r>
        <w:rPr>
          <w:rFonts w:ascii="SimHei" w:hAnsi="SimHei" w:eastAsia="黑体"/>
          <w:sz w:val="24"/>
        </w:rPr>
        <w:t>（十）</w:t>
      </w:r>
      <w:r>
        <w:rPr>
          <w:rFonts w:ascii="SimHei" w:hAnsi="SimHei" w:cs="宋体;SimSun" w:eastAsia="黑体"/>
          <w:bCs/>
          <w:kern w:val="0"/>
          <w:sz w:val="24"/>
        </w:rPr>
        <w:t>系统支撑主族分为系统开发管理、系统运维管理二个职位子族：</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1</w:t>
      </w:r>
      <w:r>
        <w:rPr>
          <w:rFonts w:ascii="SimHei" w:hAnsi="SimHei" w:cs="宋体;SimSun" w:eastAsia="黑体"/>
          <w:bCs/>
          <w:kern w:val="0"/>
          <w:sz w:val="24"/>
        </w:rPr>
        <w:t>、系统开发管理：负责管理信息系统及业务支撑系统（</w:t>
      </w:r>
      <w:r>
        <w:rPr>
          <w:rFonts w:eastAsia="黑体" w:cs="宋体;SimSun" w:ascii="SimHei" w:hAnsi="SimHei"/>
          <w:bCs/>
          <w:kern w:val="0"/>
          <w:sz w:val="24"/>
        </w:rPr>
        <w:t>BOSS</w:t>
      </w:r>
      <w:r>
        <w:rPr>
          <w:rFonts w:ascii="SimHei" w:hAnsi="SimHei" w:cs="宋体;SimSun" w:eastAsia="黑体"/>
          <w:bCs/>
          <w:kern w:val="0"/>
          <w:sz w:val="24"/>
        </w:rPr>
        <w:t>系统、经分系统、客服系统等）的规划、开发与测试，包括系统规划、软件开发、软件测试、业务开发、业务测试，组织完成支撑系统的扩容扩建工作。</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2</w:t>
      </w:r>
      <w:r>
        <w:rPr>
          <w:rFonts w:ascii="SimHei" w:hAnsi="SimHei" w:cs="宋体;SimSun" w:eastAsia="黑体"/>
          <w:bCs/>
          <w:kern w:val="0"/>
          <w:sz w:val="24"/>
        </w:rPr>
        <w:t>、系统运维管理：主要负责管理信息系统及业务支撑系统（</w:t>
      </w:r>
      <w:r>
        <w:rPr>
          <w:rFonts w:eastAsia="黑体" w:cs="宋体;SimSun" w:ascii="SimHei" w:hAnsi="SimHei"/>
          <w:bCs/>
          <w:kern w:val="0"/>
          <w:sz w:val="24"/>
        </w:rPr>
        <w:t>BOSS</w:t>
      </w:r>
      <w:r>
        <w:rPr>
          <w:rFonts w:ascii="SimHei" w:hAnsi="SimHei" w:cs="宋体;SimSun" w:eastAsia="黑体"/>
          <w:bCs/>
          <w:kern w:val="0"/>
          <w:sz w:val="24"/>
        </w:rPr>
        <w:t>系统、经分系统、客服系统等）的监控、维护和优化，包括数据库管理、平台维护、硬件维护、应用系统维护等工作，保障系统功能的正常运行和实现。</w:t>
      </w:r>
    </w:p>
    <w:p>
      <w:pPr>
        <w:pStyle w:val="Normal"/>
        <w:ind w:firstLine="470"/>
        <w:rPr>
          <w:rFonts w:ascii="仿宋_GB2312;微软雅黑" w:hAnsi="仿宋_GB2312;微软雅黑" w:eastAsia="仿宋_GB2312;微软雅黑" w:cs="宋体;SimSun"/>
          <w:bCs/>
          <w:kern w:val="0"/>
          <w:sz w:val="24"/>
        </w:rPr>
      </w:pPr>
      <w:r>
        <w:rPr>
          <w:rFonts w:ascii="SimHei" w:hAnsi="SimHei" w:eastAsia="黑体"/>
          <w:sz w:val="24"/>
        </w:rPr>
        <w:t>（十一）</w:t>
      </w:r>
      <w:r>
        <w:rPr>
          <w:rFonts w:ascii="SimHei" w:hAnsi="SimHei" w:cs="宋体;SimSun" w:eastAsia="黑体"/>
          <w:bCs/>
          <w:kern w:val="0"/>
          <w:sz w:val="24"/>
        </w:rPr>
        <w:t>业务开发与支持主族分为业务开发与支持一个职位子族：</w:t>
      </w:r>
    </w:p>
    <w:p>
      <w:pPr>
        <w:pStyle w:val="Normal"/>
        <w:ind w:firstLine="470"/>
        <w:rPr>
          <w:rFonts w:ascii="仿宋_GB2312;微软雅黑" w:hAnsi="仿宋_GB2312;微软雅黑" w:eastAsia="仿宋_GB2312;微软雅黑" w:cs="宋体;SimSun"/>
          <w:bCs/>
          <w:kern w:val="0"/>
          <w:sz w:val="24"/>
        </w:rPr>
      </w:pPr>
      <w:r>
        <w:rPr>
          <w:rFonts w:ascii="SimHei" w:hAnsi="SimHei" w:cs="宋体;SimSun" w:eastAsia="黑体"/>
          <w:bCs/>
          <w:kern w:val="0"/>
          <w:sz w:val="24"/>
        </w:rPr>
        <w:t>业务开发与支持：负责建立完善业务开发体系，研究客户消费行为，开发适应市场变化的新业务，某集团市场的产品研发、优化及支撑工作。为业务发展提供技术及资源的支撑，实现快速响应客户需求的目的。</w:t>
      </w:r>
    </w:p>
    <w:p>
      <w:pPr>
        <w:pStyle w:val="Normal"/>
        <w:ind w:firstLine="470"/>
        <w:rPr>
          <w:rFonts w:ascii="仿宋_GB2312;微软雅黑" w:hAnsi="仿宋_GB2312;微软雅黑" w:eastAsia="仿宋_GB2312;微软雅黑" w:cs="宋体;SimSun"/>
          <w:bCs/>
          <w:kern w:val="0"/>
          <w:sz w:val="24"/>
        </w:rPr>
      </w:pPr>
      <w:r>
        <w:rPr>
          <w:rFonts w:ascii="SimHei" w:hAnsi="SimHei" w:eastAsia="黑体"/>
          <w:sz w:val="24"/>
        </w:rPr>
        <w:t>（十二）</w:t>
      </w:r>
      <w:r>
        <w:rPr>
          <w:rFonts w:ascii="SimHei" w:hAnsi="SimHei" w:cs="宋体;SimSun" w:eastAsia="黑体"/>
          <w:bCs/>
          <w:kern w:val="0"/>
          <w:sz w:val="24"/>
        </w:rPr>
        <w:t>网络运营主族分为网络规划、工程建设、网络运营管理、网络监控、网络维护、网络优化六个职位子族：</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1</w:t>
      </w:r>
      <w:r>
        <w:rPr>
          <w:rFonts w:ascii="SimHei" w:hAnsi="SimHei" w:cs="宋体;SimSun" w:eastAsia="黑体"/>
          <w:bCs/>
          <w:kern w:val="0"/>
          <w:sz w:val="24"/>
        </w:rPr>
        <w:t>、网络规划：负责跟踪研究信息产业新技术、新趋势，规划公司整体网络建设，科学制定网络规划和建设方案。制定网络的年度投资计划和扩容方案，做好项目建设前期工作，满足市场发展需求。</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2</w:t>
      </w:r>
      <w:r>
        <w:rPr>
          <w:rFonts w:ascii="SimHei" w:hAnsi="SimHei" w:cs="宋体;SimSun" w:eastAsia="黑体"/>
          <w:bCs/>
          <w:kern w:val="0"/>
          <w:sz w:val="24"/>
        </w:rPr>
        <w:t>、工程建设：负责组织开展公司各类网络、基础设施的建设工作，包括工程的宏观管理、招投标管理、工程实施管理、工程监控等，开展工程技术研究工作，保障公司各类工程建设的顺利开展。</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3</w:t>
      </w:r>
      <w:r>
        <w:rPr>
          <w:rFonts w:ascii="SimHei" w:hAnsi="SimHei" w:cs="宋体;SimSun" w:eastAsia="黑体"/>
          <w:bCs/>
          <w:kern w:val="0"/>
          <w:sz w:val="24"/>
        </w:rPr>
        <w:t>、网络运营管理：负责网络安全生产宏观管理工作，组织开展网间互联管理及战备应急通信工作，完成特殊通信工作任务。制定网络质量管理工作目标与规章制度，开展全网网络分析工作，为公司经营决策提供参考依据。</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4</w:t>
      </w:r>
      <w:r>
        <w:rPr>
          <w:rFonts w:ascii="SimHei" w:hAnsi="SimHei" w:cs="宋体;SimSun" w:eastAsia="黑体"/>
          <w:bCs/>
          <w:kern w:val="0"/>
          <w:sz w:val="24"/>
        </w:rPr>
        <w:t>、网络监控：负责对各专业通信网实施实时监控和网络投诉处理，及时组织处理网络运行中出现的故障和网络投诉等异常情况，实现网络故障和投诉的闭环管理。</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5</w:t>
      </w:r>
      <w:r>
        <w:rPr>
          <w:rFonts w:ascii="SimHei" w:hAnsi="SimHei" w:cs="宋体;SimSun" w:eastAsia="黑体"/>
          <w:bCs/>
          <w:kern w:val="0"/>
          <w:sz w:val="24"/>
        </w:rPr>
        <w:t>、网络维护：负责各专业通信网络的运营、维护、安全工作，保证通信网络正常运行。</w:t>
      </w:r>
    </w:p>
    <w:p>
      <w:pPr>
        <w:pStyle w:val="Normal"/>
        <w:ind w:firstLine="470"/>
        <w:rPr>
          <w:rFonts w:ascii="仿宋_GB2312;微软雅黑" w:hAnsi="仿宋_GB2312;微软雅黑" w:eastAsia="仿宋_GB2312;微软雅黑" w:cs="宋体;SimSun"/>
          <w:bCs/>
          <w:kern w:val="0"/>
          <w:sz w:val="24"/>
        </w:rPr>
      </w:pPr>
      <w:r>
        <w:rPr>
          <w:rFonts w:eastAsia="黑体" w:cs="宋体;SimSun" w:ascii="SimHei" w:hAnsi="SimHei"/>
          <w:bCs/>
          <w:kern w:val="0"/>
          <w:sz w:val="24"/>
        </w:rPr>
        <w:t>6</w:t>
      </w:r>
      <w:r>
        <w:rPr>
          <w:rFonts w:ascii="SimHei" w:hAnsi="SimHei" w:cs="宋体;SimSun" w:eastAsia="黑体"/>
          <w:bCs/>
          <w:kern w:val="0"/>
          <w:sz w:val="24"/>
        </w:rPr>
        <w:t>、网络优化：负责开展网优技术的研究，制定网络资源优化配置与调整的方案，并组织开展日常网络优化工作，确保网络质量。</w:t>
      </w:r>
    </w:p>
    <w:p>
      <w:pPr>
        <w:pStyle w:val="Normal"/>
        <w:ind w:firstLine="470"/>
        <w:rPr>
          <w:rFonts w:ascii="仿宋_GB2312;微软雅黑" w:hAnsi="仿宋_GB2312;微软雅黑" w:eastAsia="仿宋_GB2312;微软雅黑"/>
          <w:sz w:val="24"/>
        </w:rPr>
      </w:pPr>
      <w:r>
        <w:rPr>
          <w:rFonts w:ascii="SimHei" w:hAnsi="SimHei" w:eastAsia="黑体"/>
          <w:sz w:val="24"/>
        </w:rPr>
        <w:t>（十三）经理族主族分为一级经理、二级经理、三级经理三个职位子族：</w:t>
      </w:r>
    </w:p>
    <w:p>
      <w:pPr>
        <w:pStyle w:val="Normal"/>
        <w:numPr>
          <w:ilvl w:val="0"/>
          <w:numId w:val="1"/>
        </w:numPr>
        <w:rPr>
          <w:rFonts w:ascii="仿宋_GB2312;微软雅黑" w:hAnsi="仿宋_GB2312;微软雅黑" w:eastAsia="仿宋_GB2312;微软雅黑"/>
          <w:bCs/>
          <w:sz w:val="24"/>
        </w:rPr>
      </w:pPr>
      <w:r>
        <w:rPr>
          <w:rFonts w:ascii="SimHei" w:hAnsi="SimHei" w:eastAsia="黑体"/>
          <w:bCs/>
          <w:sz w:val="24"/>
        </w:rPr>
        <w:t>一级经理：省公司管理层。</w:t>
      </w:r>
    </w:p>
    <w:p>
      <w:pPr>
        <w:pStyle w:val="Normal"/>
        <w:numPr>
          <w:ilvl w:val="0"/>
          <w:numId w:val="1"/>
        </w:numPr>
        <w:rPr>
          <w:rFonts w:ascii="仿宋_GB2312;微软雅黑" w:hAnsi="仿宋_GB2312;微软雅黑" w:eastAsia="仿宋_GB2312;微软雅黑"/>
          <w:sz w:val="24"/>
        </w:rPr>
      </w:pPr>
      <w:r>
        <w:rPr>
          <w:rFonts w:ascii="SimHei" w:hAnsi="SimHei" w:eastAsia="黑体"/>
          <w:bCs/>
          <w:sz w:val="24"/>
        </w:rPr>
        <w:t>二级经理：市分公司管理层、省公司部门中层。</w:t>
      </w:r>
    </w:p>
    <w:p>
      <w:pPr>
        <w:pStyle w:val="Normal"/>
        <w:numPr>
          <w:ilvl w:val="0"/>
          <w:numId w:val="1"/>
        </w:numPr>
        <w:rPr>
          <w:rFonts w:ascii="仿宋_GB2312;微软雅黑" w:hAnsi="仿宋_GB2312;微软雅黑" w:eastAsia="仿宋_GB2312;微软雅黑"/>
          <w:sz w:val="24"/>
        </w:rPr>
      </w:pPr>
      <w:r>
        <w:rPr>
          <w:rFonts w:ascii="SimHei" w:hAnsi="SimHei" w:eastAsia="黑体"/>
          <w:bCs/>
          <w:sz w:val="24"/>
        </w:rPr>
        <w:t>三级经理：县</w:t>
      </w:r>
      <w:r>
        <w:rPr>
          <w:rFonts w:eastAsia="黑体" w:ascii="SimHei" w:hAnsi="SimHei"/>
          <w:bCs/>
          <w:sz w:val="24"/>
        </w:rPr>
        <w:t>(</w:t>
      </w:r>
      <w:r>
        <w:rPr>
          <w:rFonts w:ascii="SimHei" w:hAnsi="SimHei" w:eastAsia="黑体"/>
          <w:bCs/>
          <w:sz w:val="24"/>
        </w:rPr>
        <w:t>市、区</w:t>
      </w:r>
      <w:r>
        <w:rPr>
          <w:rFonts w:eastAsia="黑体" w:ascii="SimHei" w:hAnsi="SimHei"/>
          <w:bCs/>
          <w:sz w:val="24"/>
        </w:rPr>
        <w:t>)</w:t>
      </w:r>
      <w:r>
        <w:rPr>
          <w:rFonts w:ascii="SimHei" w:hAnsi="SimHei" w:eastAsia="黑体"/>
          <w:bCs/>
          <w:sz w:val="24"/>
        </w:rPr>
        <w:t>分公司管理层、市分公司中层。</w:t>
      </w:r>
    </w:p>
    <w:p>
      <w:pPr>
        <w:pStyle w:val="Normal"/>
        <w:ind w:firstLine="470"/>
        <w:rPr>
          <w:rFonts w:ascii="仿宋_GB2312;微软雅黑" w:hAnsi="仿宋_GB2312;微软雅黑" w:eastAsia="仿宋_GB2312;微软雅黑"/>
          <w:sz w:val="24"/>
        </w:rPr>
      </w:pPr>
      <w:r>
        <w:rPr>
          <w:rFonts w:eastAsia="黑体" w:ascii="SimHei" w:hAnsi="SimHei"/>
          <w:sz w:val="24"/>
        </w:rPr>
      </w:r>
    </w:p>
    <w:p>
      <w:pPr>
        <w:pStyle w:val="Normal"/>
        <w:ind w:firstLine="555"/>
        <w:rPr>
          <w:rFonts w:ascii="仿宋_GB2312;微软雅黑" w:hAnsi="仿宋_GB2312;微软雅黑" w:eastAsia="仿宋_GB2312;微软雅黑"/>
          <w:b/>
          <w:b/>
          <w:sz w:val="24"/>
        </w:rPr>
      </w:pPr>
      <w:r>
        <w:rPr>
          <w:rFonts w:ascii="SimHei" w:hAnsi="SimHei" w:eastAsia="黑体"/>
          <w:b/>
          <w:sz w:val="24"/>
        </w:rPr>
        <w:t>第九条  职位系列</w:t>
      </w:r>
    </w:p>
    <w:p>
      <w:pPr>
        <w:pStyle w:val="Normal"/>
        <w:ind w:firstLine="480"/>
        <w:rPr>
          <w:rFonts w:ascii="仿宋_GB2312;微软雅黑" w:hAnsi="仿宋_GB2312;微软雅黑" w:eastAsia="仿宋_GB2312;微软雅黑"/>
          <w:b/>
          <w:b/>
          <w:sz w:val="24"/>
        </w:rPr>
      </w:pPr>
      <w:r>
        <w:rPr>
          <w:rFonts w:ascii="SimHei" w:hAnsi="SimHei" w:eastAsia="黑体"/>
          <w:sz w:val="24"/>
        </w:rPr>
        <w:t>根据实际职位的角色定位和任职标准，每个典型职位分为管理、主办和助理三个职位系列。</w:t>
      </w:r>
    </w:p>
    <w:p>
      <w:pPr>
        <w:pStyle w:val="Normal"/>
        <w:ind w:firstLine="391"/>
        <w:rPr/>
      </w:pPr>
      <w:r>
        <w:rPr>
          <w:rFonts w:ascii="SimHei" w:hAnsi="SimHei" w:eastAsia="黑体"/>
          <w:sz w:val="24"/>
        </w:rPr>
        <w:t>根据公司内部职位性质差异，分为职能管理类和生产服务类来界定职位系列的角色定</w:t>
      </w:r>
      <w:r>
        <w:rPr>
          <w:rFonts w:ascii="SimHei" w:hAnsi="SimHei" w:eastAsia="黑体"/>
        </w:rPr>
        <w:t>位和任职标准。</w:t>
      </w:r>
    </w:p>
    <w:tbl>
      <w:tblPr>
        <w:tblW w:w="7920" w:type="dxa"/>
        <w:jc w:val="start"/>
        <w:tblInd w:w="108" w:type="dxa"/>
        <w:tblLayout w:type="fixed"/>
        <w:tblCellMar>
          <w:top w:w="0" w:type="dxa"/>
          <w:start w:w="108" w:type="dxa"/>
          <w:bottom w:w="0" w:type="dxa"/>
          <w:end w:w="108" w:type="dxa"/>
        </w:tblCellMar>
      </w:tblPr>
      <w:tblGrid>
        <w:gridCol w:w="1980"/>
        <w:gridCol w:w="1980"/>
        <w:gridCol w:w="1620"/>
        <w:gridCol w:w="2340"/>
      </w:tblGrid>
      <w:tr>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仿宋_GB2312;微软雅黑" w:hAnsi="仿宋_GB2312;微软雅黑" w:eastAsia="仿宋_GB2312;微软雅黑"/>
                <w:sz w:val="24"/>
              </w:rPr>
            </w:pPr>
            <w:r>
              <w:rPr>
                <w:rFonts w:eastAsia="黑体" w:ascii="SimHei" w:hAnsi="SimHei"/>
                <w:sz w:val="24"/>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微软雅黑" w:hAnsi="仿宋_GB2312;微软雅黑" w:eastAsia="仿宋_GB2312;微软雅黑"/>
                <w:sz w:val="24"/>
              </w:rPr>
            </w:pPr>
            <w:r>
              <w:rPr>
                <w:rFonts w:ascii="SimHei" w:hAnsi="SimHei" w:eastAsia="黑体"/>
                <w:sz w:val="24"/>
              </w:rPr>
              <w:t>管理</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微软雅黑" w:hAnsi="仿宋_GB2312;微软雅黑" w:eastAsia="仿宋_GB2312;微软雅黑"/>
                <w:sz w:val="24"/>
              </w:rPr>
            </w:pPr>
            <w:r>
              <w:rPr>
                <w:rFonts w:ascii="SimHei" w:hAnsi="SimHei" w:eastAsia="黑体"/>
                <w:sz w:val="24"/>
              </w:rPr>
              <w:t>主办</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微软雅黑" w:hAnsi="仿宋_GB2312;微软雅黑" w:eastAsia="仿宋_GB2312;微软雅黑"/>
                <w:sz w:val="24"/>
              </w:rPr>
            </w:pPr>
            <w:r>
              <w:rPr>
                <w:rFonts w:ascii="SimHei" w:hAnsi="SimHei" w:eastAsia="黑体"/>
                <w:sz w:val="24"/>
              </w:rPr>
              <w:t>助理</w:t>
            </w:r>
          </w:p>
        </w:tc>
      </w:tr>
      <w:tr>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微软雅黑" w:hAnsi="仿宋_GB2312;微软雅黑" w:eastAsia="仿宋_GB2312;微软雅黑"/>
                <w:sz w:val="24"/>
              </w:rPr>
            </w:pPr>
            <w:r>
              <w:rPr>
                <w:rFonts w:ascii="SimHei" w:hAnsi="SimHei" w:eastAsia="黑体"/>
                <w:sz w:val="24"/>
              </w:rPr>
              <w:t>职能管理类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sz w:val="24"/>
              </w:rPr>
              <w:t>规划指导</w:t>
            </w:r>
            <w:r>
              <w:rPr>
                <w:rFonts w:eastAsia="黑体" w:ascii="SimHei" w:hAnsi="SimHei"/>
                <w:sz w:val="24"/>
              </w:rPr>
              <w:t>/</w:t>
            </w:r>
            <w:r>
              <w:rPr>
                <w:rFonts w:ascii="SimHei" w:hAnsi="SimHei" w:eastAsia="黑体"/>
                <w:sz w:val="24"/>
              </w:rPr>
              <w:t>管理协调</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微软雅黑" w:hAnsi="仿宋_GB2312;微软雅黑" w:eastAsia="仿宋_GB2312;微软雅黑"/>
                <w:sz w:val="24"/>
              </w:rPr>
            </w:pPr>
            <w:r>
              <w:rPr>
                <w:rFonts w:ascii="SimHei" w:hAnsi="SimHei" w:eastAsia="黑体"/>
                <w:sz w:val="24"/>
              </w:rPr>
              <w:t>专业执行</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微软雅黑" w:hAnsi="仿宋_GB2312;微软雅黑" w:eastAsia="仿宋_GB2312;微软雅黑"/>
                <w:sz w:val="24"/>
              </w:rPr>
            </w:pPr>
            <w:r>
              <w:rPr>
                <w:rFonts w:ascii="SimHei" w:hAnsi="SimHei" w:eastAsia="黑体"/>
                <w:sz w:val="24"/>
              </w:rPr>
              <w:t>操作实施</w:t>
            </w:r>
            <w:r>
              <w:rPr>
                <w:rFonts w:eastAsia="黑体" w:ascii="SimHei" w:hAnsi="SimHei"/>
                <w:sz w:val="24"/>
              </w:rPr>
              <w:t>/</w:t>
            </w:r>
            <w:r>
              <w:rPr>
                <w:rFonts w:ascii="SimHei" w:hAnsi="SimHei" w:eastAsia="黑体"/>
                <w:sz w:val="24"/>
              </w:rPr>
              <w:t>专业辅助</w:t>
            </w:r>
          </w:p>
        </w:tc>
      </w:tr>
      <w:tr>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微软雅黑" w:hAnsi="仿宋_GB2312;微软雅黑" w:eastAsia="仿宋_GB2312;微软雅黑"/>
                <w:sz w:val="24"/>
              </w:rPr>
            </w:pPr>
            <w:r>
              <w:rPr>
                <w:rFonts w:ascii="SimHei" w:hAnsi="SimHei" w:eastAsia="黑体"/>
                <w:sz w:val="24"/>
              </w:rPr>
              <w:t>生产服务类</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sz w:val="24"/>
              </w:rPr>
              <w:t>生产管理</w:t>
            </w:r>
            <w:r>
              <w:rPr>
                <w:rFonts w:eastAsia="黑体" w:ascii="SimHei" w:hAnsi="SimHei"/>
                <w:sz w:val="24"/>
              </w:rPr>
              <w:t>/</w:t>
            </w:r>
            <w:r>
              <w:rPr>
                <w:rFonts w:ascii="SimHei" w:hAnsi="SimHei" w:eastAsia="黑体"/>
                <w:sz w:val="24"/>
              </w:rPr>
              <w:t>专业生产</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微软雅黑" w:hAnsi="仿宋_GB2312;微软雅黑" w:eastAsia="仿宋_GB2312;微软雅黑"/>
                <w:sz w:val="24"/>
              </w:rPr>
            </w:pPr>
            <w:r>
              <w:rPr>
                <w:rFonts w:ascii="SimHei" w:hAnsi="SimHei" w:eastAsia="黑体"/>
                <w:sz w:val="24"/>
              </w:rPr>
              <w:t>高级操作</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微软雅黑" w:hAnsi="仿宋_GB2312;微软雅黑" w:eastAsia="仿宋_GB2312;微软雅黑"/>
                <w:sz w:val="24"/>
              </w:rPr>
            </w:pPr>
            <w:r>
              <w:rPr>
                <w:rFonts w:ascii="SimHei" w:hAnsi="SimHei" w:eastAsia="黑体"/>
                <w:sz w:val="24"/>
              </w:rPr>
              <w:t>基本操作</w:t>
            </w:r>
          </w:p>
        </w:tc>
      </w:tr>
    </w:tbl>
    <w:p>
      <w:pPr>
        <w:pStyle w:val="Normal"/>
        <w:ind w:firstLine="480"/>
        <w:rPr>
          <w:rFonts w:ascii="仿宋_GB2312;微软雅黑" w:hAnsi="仿宋_GB2312;微软雅黑" w:eastAsia="仿宋_GB2312;微软雅黑"/>
          <w:color w:val="FF0000"/>
          <w:sz w:val="24"/>
        </w:rPr>
      </w:pPr>
      <w:r>
        <w:rPr>
          <w:rFonts w:eastAsia="黑体" w:ascii="SimHei" w:hAnsi="SimHei"/>
          <w:color w:val="FF0000"/>
          <w:sz w:val="24"/>
        </w:rPr>
      </w:r>
    </w:p>
    <w:p>
      <w:pPr>
        <w:pStyle w:val="Normal"/>
        <w:ind w:firstLine="480"/>
        <w:rPr>
          <w:rFonts w:ascii="仿宋_GB2312;微软雅黑" w:hAnsi="仿宋_GB2312;微软雅黑" w:eastAsia="仿宋_GB2312;微软雅黑"/>
          <w:b/>
          <w:b/>
          <w:sz w:val="24"/>
        </w:rPr>
      </w:pPr>
      <w:r>
        <w:rPr>
          <w:rFonts w:ascii="SimHei" w:hAnsi="SimHei" w:eastAsia="黑体"/>
          <w:b/>
          <w:sz w:val="24"/>
        </w:rPr>
        <w:t>第十条  职位职等及职位水平等级</w:t>
      </w:r>
    </w:p>
    <w:p>
      <w:pPr>
        <w:pStyle w:val="Normal"/>
        <w:ind w:firstLine="480"/>
        <w:rPr/>
      </w:pPr>
      <w:r>
        <w:rPr>
          <w:rFonts w:ascii="SimHei" w:hAnsi="SimHei" w:eastAsia="黑体"/>
          <w:sz w:val="24"/>
        </w:rPr>
        <w:t>职等代表职位在公司内部的相对价值地位。公司把职等确定为</w:t>
      </w:r>
      <w:r>
        <w:rPr>
          <w:rFonts w:eastAsia="黑体" w:ascii="SimHei" w:hAnsi="SimHei"/>
          <w:sz w:val="24"/>
        </w:rPr>
        <w:t>1-19</w:t>
      </w:r>
      <w:r>
        <w:rPr>
          <w:rFonts w:ascii="SimHei" w:hAnsi="SimHei" w:eastAsia="黑体"/>
          <w:sz w:val="24"/>
        </w:rPr>
        <w:t>等，最低为</w:t>
      </w:r>
      <w:r>
        <w:rPr>
          <w:rFonts w:eastAsia="黑体" w:ascii="SimHei" w:hAnsi="SimHei"/>
          <w:sz w:val="24"/>
        </w:rPr>
        <w:t>1</w:t>
      </w:r>
      <w:r>
        <w:rPr>
          <w:rFonts w:ascii="SimHei" w:hAnsi="SimHei" w:eastAsia="黑体"/>
          <w:sz w:val="24"/>
        </w:rPr>
        <w:t>等，最高为</w:t>
      </w:r>
      <w:r>
        <w:rPr>
          <w:rFonts w:eastAsia="黑体" w:ascii="SimHei" w:hAnsi="SimHei"/>
          <w:sz w:val="24"/>
        </w:rPr>
        <w:t>19</w:t>
      </w:r>
      <w:r>
        <w:rPr>
          <w:rFonts w:ascii="SimHei" w:hAnsi="SimHei" w:eastAsia="黑体"/>
          <w:sz w:val="24"/>
        </w:rPr>
        <w:t>等。公司使用惠悦全球职等系统对职位进行评估所确定的职等称为该职位的标准职等，该职位的拓展职等—水平等级具体规定如下：</w:t>
      </w:r>
    </w:p>
    <w:p>
      <w:pPr>
        <w:pStyle w:val="Normal"/>
        <w:ind w:firstLine="480"/>
        <w:rPr>
          <w:rFonts w:ascii="仿宋_GB2312;微软雅黑" w:hAnsi="仿宋_GB2312;微软雅黑" w:eastAsia="仿宋_GB2312;微软雅黑"/>
          <w:sz w:val="24"/>
        </w:rPr>
      </w:pPr>
      <w:r>
        <w:rPr>
          <w:rFonts w:ascii="SimHei" w:hAnsi="SimHei" w:eastAsia="黑体"/>
          <w:sz w:val="24"/>
        </w:rPr>
        <w:t>（一）管理、主办、助理系列设高级、标准级、中级、初级四个水平等级；</w:t>
      </w:r>
      <w:r>
        <w:rPr>
          <w:rFonts w:ascii="SimHei" w:hAnsi="SimHei" w:cs="宋体-18030;宋体" w:eastAsia="黑体"/>
          <w:color w:val="000000"/>
          <w:sz w:val="24"/>
        </w:rPr>
        <w:t>该职位标准职</w:t>
      </w:r>
      <w:r>
        <w:rPr>
          <w:rFonts w:ascii="SimHei" w:hAnsi="SimHei" w:eastAsia="黑体"/>
          <w:sz w:val="24"/>
        </w:rPr>
        <w:t>等</w:t>
      </w:r>
      <w:r>
        <w:rPr>
          <w:rFonts w:ascii="SimHei" w:hAnsi="SimHei" w:cs="宋体-18030;宋体" w:eastAsia="黑体"/>
          <w:color w:val="000000"/>
          <w:sz w:val="24"/>
        </w:rPr>
        <w:t>为标准级。</w:t>
      </w:r>
    </w:p>
    <w:p>
      <w:pPr>
        <w:pStyle w:val="Normal"/>
        <w:ind w:firstLine="480"/>
        <w:rPr>
          <w:rFonts w:ascii="仿宋_GB2312;微软雅黑" w:hAnsi="仿宋_GB2312;微软雅黑" w:eastAsia="仿宋_GB2312;微软雅黑"/>
          <w:color w:val="FF0000"/>
          <w:sz w:val="24"/>
        </w:rPr>
      </w:pPr>
      <w:r>
        <w:rPr>
          <w:rFonts w:ascii="SimHei" w:hAnsi="SimHei" w:eastAsia="黑体"/>
          <w:sz w:val="24"/>
        </w:rPr>
        <w:t>（二）管理系列职位标准职等即为惠悦全球职等系统对职位进行评估所确定的职等；主办系列职位标准职等为管理系列职位标准职等下延</w:t>
      </w:r>
      <w:r>
        <w:rPr>
          <w:rFonts w:eastAsia="黑体" w:ascii="SimHei" w:hAnsi="SimHei"/>
          <w:sz w:val="24"/>
        </w:rPr>
        <w:t>2</w:t>
      </w:r>
      <w:r>
        <w:rPr>
          <w:rFonts w:ascii="SimHei" w:hAnsi="SimHei" w:eastAsia="黑体"/>
          <w:sz w:val="24"/>
        </w:rPr>
        <w:t>个职等；助理系列职位标准职等为管理系列职位标准职等下延</w:t>
      </w:r>
      <w:r>
        <w:rPr>
          <w:rFonts w:eastAsia="黑体" w:ascii="SimHei" w:hAnsi="SimHei"/>
          <w:sz w:val="24"/>
        </w:rPr>
        <w:t>3</w:t>
      </w:r>
      <w:r>
        <w:rPr>
          <w:rFonts w:ascii="SimHei" w:hAnsi="SimHei" w:eastAsia="黑体"/>
          <w:sz w:val="24"/>
        </w:rPr>
        <w:t>个职等。</w:t>
      </w:r>
      <w:r>
        <w:rPr>
          <w:rFonts w:ascii="SimHei" w:hAnsi="SimHei" w:eastAsia="黑体"/>
          <w:b/>
          <w:bCs/>
          <w:sz w:val="24"/>
        </w:rPr>
        <w:t xml:space="preserve"> </w:t>
      </w:r>
    </w:p>
    <w:p>
      <w:pPr>
        <w:pStyle w:val="Normal"/>
        <w:ind w:firstLine="480"/>
        <w:rPr>
          <w:rFonts w:ascii="仿宋_GB2312;微软雅黑" w:hAnsi="仿宋_GB2312;微软雅黑" w:eastAsia="仿宋_GB2312;微软雅黑" w:cs="宋体-18030;宋体"/>
          <w:color w:val="000000"/>
          <w:sz w:val="24"/>
        </w:rPr>
      </w:pPr>
      <w:r>
        <w:rPr>
          <w:rFonts w:ascii="SimHei" w:hAnsi="SimHei" w:eastAsia="黑体"/>
          <w:bCs/>
          <w:sz w:val="24"/>
        </w:rPr>
        <w:t>（三）</w:t>
      </w:r>
      <w:r>
        <w:rPr>
          <w:rFonts w:ascii="SimHei" w:hAnsi="SimHei" w:cs="宋体-18030;宋体" w:eastAsia="黑体"/>
          <w:bCs/>
          <w:color w:val="000000"/>
          <w:sz w:val="24"/>
        </w:rPr>
        <w:t>各系列职位水平等级对应的职等最低为１等，如标准职等为１的系列职位只设标准级、高级水平等级；标准职等为</w:t>
      </w:r>
      <w:r>
        <w:rPr>
          <w:rFonts w:eastAsia="黑体" w:cs="宋体-18030;宋体" w:ascii="SimHei" w:hAnsi="SimHei"/>
          <w:bCs/>
          <w:color w:val="000000"/>
          <w:sz w:val="24"/>
        </w:rPr>
        <w:t>2</w:t>
      </w:r>
      <w:r>
        <w:rPr>
          <w:rFonts w:ascii="SimHei" w:hAnsi="SimHei" w:cs="宋体-18030;宋体" w:eastAsia="黑体"/>
          <w:bCs/>
          <w:color w:val="000000"/>
          <w:sz w:val="24"/>
        </w:rPr>
        <w:t>的系列职位只设初级、标准级、高级水平等级。</w:t>
      </w:r>
    </w:p>
    <w:p>
      <w:pPr>
        <w:pStyle w:val="Normal"/>
        <w:ind w:firstLine="480"/>
        <w:rPr>
          <w:rFonts w:ascii="仿宋_GB2312;微软雅黑" w:hAnsi="仿宋_GB2312;微软雅黑" w:eastAsia="仿宋_GB2312;微软雅黑" w:cs="宋体-18030;宋体"/>
          <w:color w:val="000000"/>
          <w:sz w:val="24"/>
        </w:rPr>
      </w:pPr>
      <w:r>
        <w:rPr>
          <w:rFonts w:ascii="SimHei" w:hAnsi="SimHei" w:cs="宋体-18030;宋体" w:eastAsia="黑体"/>
          <w:color w:val="000000"/>
          <w:sz w:val="24"/>
        </w:rPr>
        <w:t>下文中若不特别说明，职位职等一般指该职位标准职等。</w:t>
      </w:r>
    </w:p>
    <w:p>
      <w:pPr>
        <w:pStyle w:val="Normal"/>
        <w:ind w:firstLine="480"/>
        <w:rPr>
          <w:rFonts w:ascii="仿宋_GB2312;微软雅黑" w:hAnsi="仿宋_GB2312;微软雅黑" w:eastAsia="仿宋_GB2312;微软雅黑" w:cs="宋体-18030;宋体"/>
          <w:color w:val="000000"/>
          <w:sz w:val="24"/>
        </w:rPr>
      </w:pPr>
      <w:r>
        <w:rPr>
          <w:rFonts w:eastAsia="黑体" w:cs="宋体-18030;宋体" w:ascii="SimHei" w:hAnsi="SimHei"/>
          <w:color w:val="000000"/>
          <w:sz w:val="24"/>
        </w:rPr>
      </w:r>
    </w:p>
    <w:p>
      <w:pPr>
        <w:pStyle w:val="Normal"/>
        <w:ind w:firstLine="555"/>
        <w:rPr/>
      </w:pPr>
      <w:r>
        <w:rPr>
          <w:rFonts w:ascii="SimHei" w:hAnsi="SimHei" w:eastAsia="黑体"/>
          <w:b/>
          <w:sz w:val="24"/>
        </w:rPr>
        <w:t>第十一条  职位体系</w:t>
      </w:r>
    </w:p>
    <w:p>
      <w:pPr>
        <w:pStyle w:val="Normal"/>
        <w:ind w:firstLine="555"/>
        <w:rPr/>
      </w:pPr>
      <w:r>
        <w:rPr>
          <w:rFonts w:ascii="SimHei" w:hAnsi="SimHei" w:eastAsia="黑体"/>
          <w:sz w:val="24"/>
        </w:rPr>
        <w:t>由职位条线、职位主族、职位子族、典型职位，同时结合职位系列、职位水平等级对应的职位晋升通道，构成公司的职位体系。</w:t>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jc w:val="center"/>
        <w:rPr>
          <w:rFonts w:ascii="仿宋_GB2312;微软雅黑" w:hAnsi="仿宋_GB2312;微软雅黑" w:eastAsia="仿宋_GB2312;微软雅黑"/>
          <w:b/>
          <w:b/>
          <w:sz w:val="24"/>
        </w:rPr>
      </w:pPr>
      <w:r>
        <w:rPr>
          <w:rFonts w:ascii="SimHei" w:hAnsi="SimHei" w:eastAsia="黑体"/>
          <w:b/>
          <w:sz w:val="24"/>
        </w:rPr>
        <w:t>第三章  职位管理</w:t>
      </w:r>
    </w:p>
    <w:p>
      <w:pPr>
        <w:pStyle w:val="Normal"/>
        <w:ind w:firstLine="480"/>
        <w:rPr/>
      </w:pPr>
      <w:r>
        <w:rPr>
          <w:rFonts w:ascii="SimHei" w:hAnsi="SimHei" w:eastAsia="黑体"/>
          <w:b/>
          <w:sz w:val="24"/>
        </w:rPr>
        <w:t>第十二条  职位增设</w:t>
      </w:r>
    </w:p>
    <w:p>
      <w:pPr>
        <w:pStyle w:val="Normal"/>
        <w:ind w:firstLine="480"/>
        <w:rPr>
          <w:rFonts w:ascii="仿宋_GB2312;微软雅黑" w:hAnsi="仿宋_GB2312;微软雅黑" w:eastAsia="仿宋_GB2312;微软雅黑"/>
          <w:sz w:val="24"/>
        </w:rPr>
      </w:pPr>
      <w:r>
        <w:rPr>
          <w:rFonts w:ascii="SimHei" w:hAnsi="SimHei" w:eastAsia="黑体"/>
          <w:sz w:val="24"/>
        </w:rPr>
        <w:t>职位增设是指公司组织架构发生调整或业务流程发生重大变化时，设计新增职位，并明确其职责和标准职等的过程。职位增设应严格履行审批程序：</w:t>
      </w:r>
    </w:p>
    <w:p>
      <w:pPr>
        <w:pStyle w:val="Normal"/>
        <w:ind w:firstLine="480"/>
        <w:rPr/>
      </w:pPr>
      <w:r>
        <w:rPr>
          <w:rFonts w:eastAsia="黑体" w:ascii="SimHei" w:hAnsi="SimHei"/>
          <w:sz w:val="24"/>
        </w:rPr>
        <w:t>1</w:t>
      </w:r>
      <w:r>
        <w:rPr>
          <w:rFonts w:ascii="SimHei" w:hAnsi="SimHei" w:eastAsia="黑体"/>
          <w:sz w:val="24"/>
        </w:rPr>
        <w:t>、职位增设需求部门提出职位增设申请，申请应包括职位说明书、设立依据、建议职等等。</w:t>
      </w:r>
    </w:p>
    <w:p>
      <w:pPr>
        <w:pStyle w:val="Normal"/>
        <w:ind w:firstLine="480"/>
        <w:rPr>
          <w:rFonts w:ascii="仿宋_GB2312;微软雅黑" w:hAnsi="仿宋_GB2312;微软雅黑" w:eastAsia="仿宋_GB2312;微软雅黑"/>
          <w:sz w:val="24"/>
        </w:rPr>
      </w:pPr>
      <w:r>
        <w:rPr>
          <w:rFonts w:eastAsia="黑体" w:ascii="SimHei" w:hAnsi="SimHei"/>
          <w:sz w:val="24"/>
        </w:rPr>
        <w:t>2</w:t>
      </w:r>
      <w:r>
        <w:rPr>
          <w:rFonts w:ascii="SimHei" w:hAnsi="SimHei" w:eastAsia="黑体"/>
          <w:sz w:val="24"/>
        </w:rPr>
        <w:t>、所在公司人力资源部在调研分析的基础上，提出设置或调整建议。</w:t>
      </w:r>
    </w:p>
    <w:p>
      <w:pPr>
        <w:pStyle w:val="Normal"/>
        <w:ind w:firstLine="480"/>
        <w:rPr/>
      </w:pPr>
      <w:r>
        <w:rPr>
          <w:rFonts w:eastAsia="黑体" w:ascii="SimHei" w:hAnsi="SimHei"/>
          <w:sz w:val="24"/>
        </w:rPr>
        <w:t>3</w:t>
      </w:r>
      <w:r>
        <w:rPr>
          <w:rFonts w:ascii="SimHei" w:hAnsi="SimHei" w:eastAsia="黑体"/>
          <w:sz w:val="24"/>
        </w:rPr>
        <w:t>、所在公司领导同意后，人力资源部组织落实。</w:t>
      </w:r>
    </w:p>
    <w:p>
      <w:pPr>
        <w:pStyle w:val="Normal"/>
        <w:ind w:firstLine="480"/>
        <w:rPr/>
      </w:pPr>
      <w:r>
        <w:rPr>
          <w:rFonts w:ascii="SimHei" w:hAnsi="SimHei" w:eastAsia="黑体"/>
          <w:b/>
          <w:sz w:val="24"/>
        </w:rPr>
        <w:t>第十三条  职位维护</w:t>
      </w:r>
    </w:p>
    <w:p>
      <w:pPr>
        <w:pStyle w:val="Normal"/>
        <w:ind w:firstLine="480"/>
        <w:rPr/>
      </w:pPr>
      <w:r>
        <w:rPr>
          <w:rFonts w:ascii="SimHei" w:hAnsi="SimHei" w:eastAsia="黑体"/>
          <w:sz w:val="24"/>
        </w:rPr>
        <w:t>职位维护是指对已有职位的职位职责、任职资格等根据实际变化进行维护，并对职位说明书加以修订的过程。职位维护一般每年进行一次，由所在公司人力资源部统一组织开展。</w:t>
      </w:r>
    </w:p>
    <w:p>
      <w:pPr>
        <w:pStyle w:val="Normal"/>
        <w:ind w:firstLine="480"/>
        <w:rPr/>
      </w:pPr>
      <w:r>
        <w:rPr>
          <w:rFonts w:ascii="SimHei" w:hAnsi="SimHei" w:eastAsia="黑体"/>
          <w:b/>
          <w:sz w:val="24"/>
        </w:rPr>
        <w:t>第十四条　职位调整</w:t>
      </w:r>
    </w:p>
    <w:p>
      <w:pPr>
        <w:pStyle w:val="Normal"/>
        <w:ind w:firstLine="480"/>
        <w:rPr/>
      </w:pPr>
      <w:r>
        <w:rPr>
          <w:rFonts w:ascii="SimHei" w:hAnsi="SimHei" w:eastAsia="黑体"/>
          <w:sz w:val="24"/>
        </w:rPr>
        <w:t>职位调整是指对已有职位的职位名称、职责、标准职等、任职资格等依据实际情况和发展需要进行调整并重新确定的过程。职位调整可以根据实际需要随时进行。</w:t>
      </w:r>
    </w:p>
    <w:p>
      <w:pPr>
        <w:pStyle w:val="Normal"/>
        <w:ind w:firstLine="480"/>
        <w:rPr/>
      </w:pPr>
      <w:r>
        <w:rPr>
          <w:rFonts w:ascii="SimHei" w:hAnsi="SimHei" w:eastAsia="黑体"/>
          <w:sz w:val="24"/>
        </w:rPr>
        <w:t>（一）职位调整需求部门提出职位调整申请，申请应包括调整后的职位说明书、调整依据、建议新职等（标准职等）等。</w:t>
      </w:r>
    </w:p>
    <w:p>
      <w:pPr>
        <w:pStyle w:val="Normal"/>
        <w:ind w:firstLine="480"/>
        <w:rPr>
          <w:rFonts w:ascii="仿宋_GB2312;微软雅黑" w:hAnsi="仿宋_GB2312;微软雅黑" w:eastAsia="仿宋_GB2312;微软雅黑"/>
          <w:sz w:val="24"/>
        </w:rPr>
      </w:pPr>
      <w:r>
        <w:rPr>
          <w:rFonts w:ascii="SimHei" w:hAnsi="SimHei" w:eastAsia="黑体"/>
          <w:sz w:val="24"/>
        </w:rPr>
        <w:t>（二）所在公司人力资源部在调研的基础上，提出调整建议。</w:t>
      </w:r>
    </w:p>
    <w:p>
      <w:pPr>
        <w:pStyle w:val="Normal"/>
        <w:ind w:firstLine="480"/>
        <w:rPr>
          <w:rFonts w:ascii="仿宋_GB2312;微软雅黑" w:hAnsi="仿宋_GB2312;微软雅黑" w:eastAsia="仿宋_GB2312;微软雅黑"/>
          <w:sz w:val="24"/>
        </w:rPr>
      </w:pPr>
      <w:r>
        <w:rPr>
          <w:rFonts w:ascii="SimHei" w:hAnsi="SimHei" w:eastAsia="黑体"/>
          <w:sz w:val="24"/>
        </w:rPr>
        <w:t>（三）所在公司领导同意后，人力资源部组织落实。</w:t>
      </w:r>
    </w:p>
    <w:p>
      <w:pPr>
        <w:pStyle w:val="Normal"/>
        <w:ind w:firstLine="480"/>
        <w:rPr>
          <w:rFonts w:ascii="仿宋_GB2312;微软雅黑" w:hAnsi="仿宋_GB2312;微软雅黑" w:eastAsia="仿宋_GB2312;微软雅黑"/>
          <w:sz w:val="24"/>
        </w:rPr>
      </w:pPr>
      <w:r>
        <w:rPr>
          <w:rFonts w:ascii="SimHei" w:hAnsi="SimHei" w:eastAsia="黑体"/>
          <w:sz w:val="24"/>
        </w:rPr>
        <w:t>职位调整适用于部门分工、业务流程、人员配置等有重大变化，影响到职位核心职责及价值的情况；对于非核心职责的分工调整，一般只做职位维护。</w:t>
      </w:r>
    </w:p>
    <w:p>
      <w:pPr>
        <w:pStyle w:val="Normal"/>
        <w:ind w:firstLine="480"/>
        <w:rPr>
          <w:rFonts w:ascii="仿宋_GB2312;微软雅黑" w:hAnsi="仿宋_GB2312;微软雅黑" w:eastAsia="仿宋_GB2312;微软雅黑"/>
          <w:sz w:val="24"/>
        </w:rPr>
      </w:pPr>
      <w:r>
        <w:rPr>
          <w:rFonts w:ascii="SimHei" w:hAnsi="SimHei" w:eastAsia="黑体"/>
          <w:sz w:val="24"/>
        </w:rPr>
        <w:t>职位职等设置、调整的审批应以省公司下发的典型职位和职位职等确定相关原则为依据。如所设职位或调整后职位不在省公司下发的典型职位内，应报省公司人力资源部审批。</w:t>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jc w:val="center"/>
        <w:rPr>
          <w:rFonts w:ascii="仿宋_GB2312;微软雅黑" w:hAnsi="仿宋_GB2312;微软雅黑" w:eastAsia="仿宋_GB2312;微软雅黑"/>
          <w:b/>
          <w:b/>
          <w:sz w:val="24"/>
        </w:rPr>
      </w:pPr>
      <w:r>
        <w:rPr>
          <w:rFonts w:ascii="SimHei" w:hAnsi="SimHei" w:eastAsia="黑体"/>
          <w:b/>
          <w:sz w:val="24"/>
        </w:rPr>
        <w:t>第四章  人员配置与调整</w:t>
      </w:r>
    </w:p>
    <w:p>
      <w:pPr>
        <w:pStyle w:val="Normal"/>
        <w:ind w:firstLine="480"/>
        <w:rPr>
          <w:rFonts w:ascii="仿宋_GB2312;微软雅黑" w:hAnsi="仿宋_GB2312;微软雅黑" w:eastAsia="仿宋_GB2312;微软雅黑"/>
          <w:b/>
          <w:b/>
          <w:sz w:val="24"/>
        </w:rPr>
      </w:pPr>
      <w:r>
        <w:rPr>
          <w:rFonts w:ascii="SimHei" w:hAnsi="SimHei" w:eastAsia="黑体"/>
          <w:b/>
          <w:sz w:val="24"/>
        </w:rPr>
        <w:t>第十五条  新进公司员工职位水平等级</w:t>
      </w:r>
      <w:r>
        <w:rPr>
          <w:rFonts w:eastAsia="黑体" w:ascii="SimHei" w:hAnsi="SimHei"/>
          <w:b/>
          <w:sz w:val="24"/>
        </w:rPr>
        <w:t>/</w:t>
      </w:r>
      <w:r>
        <w:rPr>
          <w:rFonts w:ascii="SimHei" w:hAnsi="SimHei" w:eastAsia="黑体"/>
          <w:b/>
          <w:sz w:val="24"/>
        </w:rPr>
        <w:t>个人职等确定</w:t>
      </w:r>
    </w:p>
    <w:p>
      <w:pPr>
        <w:pStyle w:val="Normal"/>
        <w:ind w:firstLine="480"/>
        <w:rPr/>
      </w:pPr>
      <w:r>
        <w:rPr>
          <w:rFonts w:ascii="SimHei" w:hAnsi="SimHei" w:eastAsia="黑体"/>
          <w:sz w:val="24"/>
        </w:rPr>
        <w:t>新进员工录用后及试岗期</w:t>
      </w:r>
      <w:r>
        <w:rPr>
          <w:rFonts w:eastAsia="黑体" w:ascii="SimHei" w:hAnsi="SimHei"/>
          <w:sz w:val="24"/>
        </w:rPr>
        <w:t>/</w:t>
      </w:r>
      <w:r>
        <w:rPr>
          <w:rFonts w:ascii="SimHei" w:hAnsi="SimHei" w:eastAsia="黑体"/>
          <w:sz w:val="24"/>
        </w:rPr>
        <w:t>见习期满转正后，应通过人员配置确认其职位、职位系列、职位水平等级及个人职等。</w:t>
      </w:r>
    </w:p>
    <w:p>
      <w:pPr>
        <w:pStyle w:val="Normal"/>
        <w:ind w:firstLine="480"/>
        <w:rPr/>
      </w:pPr>
      <w:r>
        <w:rPr>
          <w:rFonts w:ascii="SimHei" w:hAnsi="SimHei" w:eastAsia="黑体"/>
          <w:sz w:val="24"/>
        </w:rPr>
        <w:t>员工职位水平等级与员工个人职等相对应，将确定员工薪酬标准，员工个人职等确定需根据员工本人工作年限的最低要求（详见附件一）和所任岗位的岗位标准职等确定。工作年限包含试岗期时间。</w:t>
      </w:r>
    </w:p>
    <w:p>
      <w:pPr>
        <w:pStyle w:val="Normal"/>
        <w:ind w:firstLine="480"/>
        <w:rPr>
          <w:rFonts w:ascii="仿宋_GB2312;微软雅黑" w:hAnsi="仿宋_GB2312;微软雅黑" w:eastAsia="仿宋_GB2312;微软雅黑"/>
          <w:sz w:val="24"/>
        </w:rPr>
      </w:pPr>
      <w:r>
        <w:rPr>
          <w:rFonts w:ascii="SimHei" w:hAnsi="SimHei" w:eastAsia="黑体"/>
          <w:sz w:val="24"/>
        </w:rPr>
        <w:t>（一）管理系列职位新进员工个人职等确定（员工职位水平等级由个人职等对应确定）：</w:t>
      </w:r>
    </w:p>
    <w:p>
      <w:pPr>
        <w:pStyle w:val="3"/>
        <w:spacing w:before="0" w:after="0"/>
        <w:ind w:start="1" w:firstLine="480"/>
        <w:rPr/>
      </w:pPr>
      <w:r>
        <w:rPr>
          <w:rFonts w:eastAsia="黑体" w:ascii="SimHei" w:hAnsi="SimHei"/>
          <w:b/>
          <w:sz w:val="24"/>
          <w:szCs w:val="24"/>
        </w:rPr>
        <w:t>1</w:t>
      </w:r>
      <w:r>
        <w:rPr>
          <w:rFonts w:ascii="SimHei" w:hAnsi="SimHei" w:eastAsia="黑体"/>
          <w:b/>
          <w:sz w:val="24"/>
          <w:szCs w:val="24"/>
        </w:rPr>
        <w:t>、应届毕业全日制博士研究生</w:t>
      </w:r>
    </w:p>
    <w:p>
      <w:pPr>
        <w:pStyle w:val="3"/>
        <w:spacing w:before="0" w:after="0"/>
        <w:ind w:start="1" w:firstLine="480"/>
        <w:rPr/>
      </w:pPr>
      <w:r>
        <w:rPr>
          <w:rFonts w:ascii="SimHei" w:hAnsi="SimHei" w:eastAsia="黑体"/>
          <w:sz w:val="24"/>
          <w:szCs w:val="24"/>
        </w:rPr>
        <w:t>自进入移动公司工作起三个月为试岗期，试岗期员工个人职等对应</w:t>
      </w:r>
      <w:r>
        <w:rPr>
          <w:rFonts w:eastAsia="黑体" w:ascii="SimHei" w:hAnsi="SimHei"/>
          <w:sz w:val="24"/>
          <w:szCs w:val="24"/>
        </w:rPr>
        <w:t>19</w:t>
      </w:r>
      <w:r>
        <w:rPr>
          <w:rFonts w:ascii="SimHei" w:hAnsi="SimHei" w:eastAsia="黑体"/>
          <w:sz w:val="24"/>
          <w:szCs w:val="24"/>
        </w:rPr>
        <w:t>等薪酬按</w:t>
      </w:r>
      <w:r>
        <w:rPr>
          <w:rFonts w:eastAsia="黑体" w:ascii="SimHei" w:hAnsi="SimHei"/>
          <w:sz w:val="24"/>
          <w:szCs w:val="24"/>
        </w:rPr>
        <w:t>7</w:t>
      </w:r>
      <w:r>
        <w:rPr>
          <w:rFonts w:ascii="SimHei" w:hAnsi="SimHei" w:eastAsia="黑体"/>
          <w:sz w:val="24"/>
          <w:szCs w:val="24"/>
        </w:rPr>
        <w:t>等</w:t>
      </w:r>
      <w:r>
        <w:rPr>
          <w:rFonts w:eastAsia="黑体" w:ascii="SimHei" w:hAnsi="SimHei"/>
          <w:sz w:val="24"/>
          <w:szCs w:val="24"/>
        </w:rPr>
        <w:t>0</w:t>
      </w:r>
      <w:r>
        <w:rPr>
          <w:rFonts w:ascii="SimHei" w:hAnsi="SimHei" w:eastAsia="黑体"/>
          <w:sz w:val="24"/>
          <w:szCs w:val="24"/>
        </w:rPr>
        <w:t>分位确定。试岗期满，经试岗期考核良好及以上，员工个人职等对应</w:t>
      </w:r>
      <w:r>
        <w:rPr>
          <w:rFonts w:eastAsia="黑体" w:ascii="SimHei" w:hAnsi="SimHei"/>
          <w:sz w:val="24"/>
          <w:szCs w:val="24"/>
        </w:rPr>
        <w:t>19</w:t>
      </w:r>
      <w:r>
        <w:rPr>
          <w:rFonts w:ascii="SimHei" w:hAnsi="SimHei" w:eastAsia="黑体"/>
          <w:sz w:val="24"/>
          <w:szCs w:val="24"/>
        </w:rPr>
        <w:t>等薪酬按</w:t>
      </w:r>
      <w:r>
        <w:rPr>
          <w:rFonts w:eastAsia="黑体" w:ascii="SimHei" w:hAnsi="SimHei"/>
          <w:sz w:val="24"/>
          <w:szCs w:val="24"/>
        </w:rPr>
        <w:t>8</w:t>
      </w:r>
      <w:r>
        <w:rPr>
          <w:rFonts w:ascii="SimHei" w:hAnsi="SimHei" w:eastAsia="黑体"/>
          <w:sz w:val="24"/>
          <w:szCs w:val="24"/>
        </w:rPr>
        <w:t>等</w:t>
      </w:r>
      <w:r>
        <w:rPr>
          <w:rFonts w:eastAsia="黑体" w:ascii="SimHei" w:hAnsi="SimHei"/>
          <w:sz w:val="24"/>
          <w:szCs w:val="24"/>
        </w:rPr>
        <w:t>0</w:t>
      </w:r>
      <w:r>
        <w:rPr>
          <w:rFonts w:ascii="SimHei" w:hAnsi="SimHei" w:eastAsia="黑体"/>
          <w:sz w:val="24"/>
          <w:szCs w:val="24"/>
        </w:rPr>
        <w:t>分位定等，另加该员工的工龄分位值；试岗期考核良好以下的，员工个人职等不作调整，另加该员工的工龄分位值。工龄分位值的计算详见《中国移动浙江公司</w:t>
      </w:r>
      <w:r>
        <w:rPr>
          <w:rFonts w:eastAsia="黑体" w:ascii="SimHei" w:hAnsi="SimHei"/>
          <w:sz w:val="24"/>
          <w:szCs w:val="24"/>
        </w:rPr>
        <w:t>19</w:t>
      </w:r>
      <w:r>
        <w:rPr>
          <w:rFonts w:ascii="SimHei" w:hAnsi="SimHei" w:eastAsia="黑体"/>
          <w:sz w:val="24"/>
          <w:szCs w:val="24"/>
        </w:rPr>
        <w:t>等薪酬管理办法》。</w:t>
      </w:r>
    </w:p>
    <w:p>
      <w:pPr>
        <w:pStyle w:val="3"/>
        <w:spacing w:before="0" w:after="0"/>
        <w:ind w:start="1" w:firstLine="480"/>
        <w:rPr/>
      </w:pPr>
      <w:r>
        <w:rPr>
          <w:rFonts w:eastAsia="黑体" w:ascii="SimHei" w:hAnsi="SimHei"/>
          <w:b/>
          <w:sz w:val="24"/>
          <w:szCs w:val="24"/>
        </w:rPr>
        <w:t>2</w:t>
      </w:r>
      <w:r>
        <w:rPr>
          <w:rFonts w:ascii="SimHei" w:hAnsi="SimHei" w:eastAsia="黑体"/>
          <w:b/>
          <w:sz w:val="24"/>
          <w:szCs w:val="24"/>
        </w:rPr>
        <w:t>、应届毕业全日制硕士研究生</w:t>
      </w:r>
    </w:p>
    <w:p>
      <w:pPr>
        <w:pStyle w:val="3"/>
        <w:spacing w:before="0" w:after="0"/>
        <w:ind w:start="1" w:firstLine="480"/>
        <w:rPr/>
      </w:pPr>
      <w:r>
        <w:rPr>
          <w:rFonts w:ascii="SimHei" w:hAnsi="SimHei" w:eastAsia="黑体"/>
          <w:sz w:val="24"/>
          <w:szCs w:val="24"/>
        </w:rPr>
        <w:t>自进入移动公司工作起六个月为试岗期，试岗期员工个人职等对应</w:t>
      </w:r>
      <w:r>
        <w:rPr>
          <w:rFonts w:eastAsia="黑体" w:ascii="SimHei" w:hAnsi="SimHei"/>
          <w:sz w:val="24"/>
          <w:szCs w:val="24"/>
        </w:rPr>
        <w:t>19</w:t>
      </w:r>
      <w:r>
        <w:rPr>
          <w:rFonts w:ascii="SimHei" w:hAnsi="SimHei" w:eastAsia="黑体"/>
          <w:sz w:val="24"/>
          <w:szCs w:val="24"/>
        </w:rPr>
        <w:t>等薪酬按</w:t>
      </w:r>
      <w:r>
        <w:rPr>
          <w:rFonts w:eastAsia="黑体" w:ascii="SimHei" w:hAnsi="SimHei"/>
          <w:sz w:val="24"/>
          <w:szCs w:val="24"/>
        </w:rPr>
        <w:t>6</w:t>
      </w:r>
      <w:r>
        <w:rPr>
          <w:rFonts w:ascii="SimHei" w:hAnsi="SimHei" w:eastAsia="黑体"/>
          <w:sz w:val="24"/>
          <w:szCs w:val="24"/>
        </w:rPr>
        <w:t>等</w:t>
      </w:r>
      <w:r>
        <w:rPr>
          <w:rFonts w:eastAsia="黑体" w:ascii="SimHei" w:hAnsi="SimHei"/>
          <w:sz w:val="24"/>
          <w:szCs w:val="24"/>
        </w:rPr>
        <w:t>0</w:t>
      </w:r>
      <w:r>
        <w:rPr>
          <w:rFonts w:ascii="SimHei" w:hAnsi="SimHei" w:eastAsia="黑体"/>
          <w:sz w:val="24"/>
          <w:szCs w:val="24"/>
        </w:rPr>
        <w:t>分位确定。试岗期满，经试岗期考核良好及以上，员工个人职等对应</w:t>
      </w:r>
      <w:r>
        <w:rPr>
          <w:rFonts w:eastAsia="黑体" w:ascii="SimHei" w:hAnsi="SimHei"/>
          <w:sz w:val="24"/>
          <w:szCs w:val="24"/>
        </w:rPr>
        <w:t>19</w:t>
      </w:r>
      <w:r>
        <w:rPr>
          <w:rFonts w:ascii="SimHei" w:hAnsi="SimHei" w:eastAsia="黑体"/>
          <w:sz w:val="24"/>
          <w:szCs w:val="24"/>
        </w:rPr>
        <w:t>等薪酬按</w:t>
      </w:r>
      <w:r>
        <w:rPr>
          <w:rFonts w:eastAsia="黑体" w:ascii="SimHei" w:hAnsi="SimHei"/>
          <w:sz w:val="24"/>
          <w:szCs w:val="24"/>
        </w:rPr>
        <w:t>7</w:t>
      </w:r>
      <w:r>
        <w:rPr>
          <w:rFonts w:ascii="SimHei" w:hAnsi="SimHei" w:eastAsia="黑体"/>
          <w:sz w:val="24"/>
          <w:szCs w:val="24"/>
        </w:rPr>
        <w:t>等</w:t>
      </w:r>
      <w:r>
        <w:rPr>
          <w:rFonts w:eastAsia="黑体" w:ascii="SimHei" w:hAnsi="SimHei"/>
          <w:sz w:val="24"/>
          <w:szCs w:val="24"/>
        </w:rPr>
        <w:t>0</w:t>
      </w:r>
      <w:r>
        <w:rPr>
          <w:rFonts w:ascii="SimHei" w:hAnsi="SimHei" w:eastAsia="黑体"/>
          <w:sz w:val="24"/>
          <w:szCs w:val="24"/>
        </w:rPr>
        <w:t>分位定等，另加该员工的工龄分位值；试岗期考核良好以下的，员工个人职等不作调整，另加该员工的工龄分位值。</w:t>
      </w:r>
    </w:p>
    <w:p>
      <w:pPr>
        <w:pStyle w:val="3"/>
        <w:spacing w:before="0" w:after="0"/>
        <w:ind w:start="1" w:firstLine="480"/>
        <w:rPr/>
      </w:pPr>
      <w:r>
        <w:rPr>
          <w:rFonts w:eastAsia="黑体" w:ascii="SimHei" w:hAnsi="SimHei"/>
          <w:b/>
          <w:sz w:val="24"/>
          <w:szCs w:val="24"/>
        </w:rPr>
        <w:t>3</w:t>
      </w:r>
      <w:r>
        <w:rPr>
          <w:rFonts w:ascii="SimHei" w:hAnsi="SimHei" w:eastAsia="黑体"/>
          <w:b/>
          <w:sz w:val="24"/>
          <w:szCs w:val="24"/>
        </w:rPr>
        <w:t>、应届毕业全日制大学本科毕业生及以下（含双学位本科毕业生）</w:t>
      </w:r>
    </w:p>
    <w:p>
      <w:pPr>
        <w:pStyle w:val="3"/>
        <w:spacing w:before="0" w:after="0"/>
        <w:ind w:start="1" w:firstLine="480"/>
        <w:rPr/>
      </w:pPr>
      <w:r>
        <w:rPr>
          <w:rFonts w:ascii="SimHei" w:hAnsi="SimHei" w:eastAsia="黑体"/>
          <w:sz w:val="24"/>
          <w:szCs w:val="24"/>
        </w:rPr>
        <w:t>自进入移动公司工作起</w:t>
      </w:r>
      <w:r>
        <w:rPr>
          <w:rFonts w:eastAsia="黑体" w:ascii="SimHei" w:hAnsi="SimHei"/>
          <w:sz w:val="24"/>
          <w:szCs w:val="24"/>
        </w:rPr>
        <w:t>1</w:t>
      </w:r>
      <w:r>
        <w:rPr>
          <w:rFonts w:ascii="SimHei" w:hAnsi="SimHei" w:eastAsia="黑体"/>
          <w:sz w:val="24"/>
          <w:szCs w:val="24"/>
        </w:rPr>
        <w:t>年内为见习期，</w:t>
      </w:r>
      <w:r>
        <w:rPr>
          <w:rFonts w:ascii="SimHei" w:hAnsi="SimHei" w:cs="Arial" w:eastAsia="黑体"/>
          <w:sz w:val="24"/>
          <w:szCs w:val="24"/>
        </w:rPr>
        <w:t>本科毕业生</w:t>
      </w:r>
      <w:r>
        <w:rPr>
          <w:rFonts w:ascii="SimHei" w:hAnsi="SimHei" w:eastAsia="黑体"/>
          <w:sz w:val="24"/>
          <w:szCs w:val="24"/>
        </w:rPr>
        <w:t>对应</w:t>
      </w:r>
      <w:r>
        <w:rPr>
          <w:rFonts w:eastAsia="黑体" w:ascii="SimHei" w:hAnsi="SimHei"/>
          <w:sz w:val="24"/>
          <w:szCs w:val="24"/>
        </w:rPr>
        <w:t>19</w:t>
      </w:r>
      <w:r>
        <w:rPr>
          <w:rFonts w:ascii="SimHei" w:hAnsi="SimHei" w:eastAsia="黑体"/>
          <w:sz w:val="24"/>
          <w:szCs w:val="24"/>
        </w:rPr>
        <w:t>等薪酬</w:t>
      </w:r>
      <w:r>
        <w:rPr>
          <w:rFonts w:ascii="SimHei" w:hAnsi="SimHei" w:cs="Arial" w:eastAsia="黑体"/>
          <w:sz w:val="24"/>
          <w:szCs w:val="24"/>
        </w:rPr>
        <w:t>按</w:t>
      </w:r>
      <w:r>
        <w:rPr>
          <w:rFonts w:eastAsia="黑体" w:cs="Arial" w:ascii="SimHei" w:hAnsi="SimHei"/>
          <w:sz w:val="24"/>
          <w:szCs w:val="24"/>
        </w:rPr>
        <w:t>4B</w:t>
      </w:r>
      <w:r>
        <w:rPr>
          <w:rFonts w:ascii="SimHei" w:hAnsi="SimHei" w:cs="Arial" w:eastAsia="黑体"/>
          <w:sz w:val="24"/>
          <w:szCs w:val="24"/>
        </w:rPr>
        <w:t>的</w:t>
      </w:r>
      <w:r>
        <w:rPr>
          <w:rFonts w:eastAsia="黑体" w:cs="Arial" w:ascii="SimHei" w:hAnsi="SimHei"/>
          <w:sz w:val="24"/>
          <w:szCs w:val="24"/>
        </w:rPr>
        <w:t>70</w:t>
      </w:r>
      <w:r>
        <w:rPr>
          <w:rFonts w:ascii="SimHei" w:hAnsi="SimHei" w:cs="Arial" w:eastAsia="黑体"/>
          <w:sz w:val="24"/>
          <w:szCs w:val="24"/>
        </w:rPr>
        <w:t>分位值确定；大专毕业生</w:t>
      </w:r>
      <w:r>
        <w:rPr>
          <w:rFonts w:ascii="SimHei" w:hAnsi="SimHei" w:eastAsia="黑体"/>
          <w:sz w:val="24"/>
          <w:szCs w:val="24"/>
        </w:rPr>
        <w:t>对应</w:t>
      </w:r>
      <w:r>
        <w:rPr>
          <w:rFonts w:eastAsia="黑体" w:ascii="SimHei" w:hAnsi="SimHei"/>
          <w:sz w:val="24"/>
          <w:szCs w:val="24"/>
        </w:rPr>
        <w:t>19</w:t>
      </w:r>
      <w:r>
        <w:rPr>
          <w:rFonts w:ascii="SimHei" w:hAnsi="SimHei" w:eastAsia="黑体"/>
          <w:sz w:val="24"/>
          <w:szCs w:val="24"/>
        </w:rPr>
        <w:t>等薪酬</w:t>
      </w:r>
      <w:r>
        <w:rPr>
          <w:rFonts w:ascii="SimHei" w:hAnsi="SimHei" w:cs="Arial" w:eastAsia="黑体"/>
          <w:sz w:val="24"/>
          <w:szCs w:val="24"/>
        </w:rPr>
        <w:t>按</w:t>
      </w:r>
      <w:r>
        <w:rPr>
          <w:rFonts w:eastAsia="黑体" w:cs="Arial" w:ascii="SimHei" w:hAnsi="SimHei"/>
          <w:sz w:val="24"/>
          <w:szCs w:val="24"/>
        </w:rPr>
        <w:t>4B</w:t>
      </w:r>
      <w:r>
        <w:rPr>
          <w:rFonts w:ascii="SimHei" w:hAnsi="SimHei" w:cs="Arial" w:eastAsia="黑体"/>
          <w:sz w:val="24"/>
          <w:szCs w:val="24"/>
        </w:rPr>
        <w:t>的</w:t>
      </w:r>
      <w:r>
        <w:rPr>
          <w:rFonts w:eastAsia="黑体" w:cs="Arial" w:ascii="SimHei" w:hAnsi="SimHei"/>
          <w:sz w:val="24"/>
          <w:szCs w:val="24"/>
        </w:rPr>
        <w:t>50</w:t>
      </w:r>
      <w:r>
        <w:rPr>
          <w:rFonts w:ascii="SimHei" w:hAnsi="SimHei" w:cs="Arial" w:eastAsia="黑体"/>
          <w:sz w:val="24"/>
          <w:szCs w:val="24"/>
        </w:rPr>
        <w:t>分位值确定；中专及以下毕业生</w:t>
      </w:r>
      <w:r>
        <w:rPr>
          <w:rFonts w:ascii="SimHei" w:hAnsi="SimHei" w:eastAsia="黑体"/>
          <w:sz w:val="24"/>
          <w:szCs w:val="24"/>
        </w:rPr>
        <w:t>对应</w:t>
      </w:r>
      <w:r>
        <w:rPr>
          <w:rFonts w:eastAsia="黑体" w:ascii="SimHei" w:hAnsi="SimHei"/>
          <w:sz w:val="24"/>
          <w:szCs w:val="24"/>
        </w:rPr>
        <w:t>19</w:t>
      </w:r>
      <w:r>
        <w:rPr>
          <w:rFonts w:ascii="SimHei" w:hAnsi="SimHei" w:eastAsia="黑体"/>
          <w:sz w:val="24"/>
          <w:szCs w:val="24"/>
        </w:rPr>
        <w:t>等薪酬</w:t>
      </w:r>
      <w:r>
        <w:rPr>
          <w:rFonts w:ascii="SimHei" w:hAnsi="SimHei" w:cs="Arial" w:eastAsia="黑体"/>
          <w:sz w:val="24"/>
          <w:szCs w:val="24"/>
        </w:rPr>
        <w:t>按</w:t>
      </w:r>
      <w:r>
        <w:rPr>
          <w:rFonts w:eastAsia="黑体" w:cs="Arial" w:ascii="SimHei" w:hAnsi="SimHei"/>
          <w:sz w:val="24"/>
          <w:szCs w:val="24"/>
        </w:rPr>
        <w:t>4B</w:t>
      </w:r>
      <w:r>
        <w:rPr>
          <w:rFonts w:ascii="SimHei" w:hAnsi="SimHei" w:cs="Arial" w:eastAsia="黑体"/>
          <w:sz w:val="24"/>
          <w:szCs w:val="24"/>
        </w:rPr>
        <w:t>的</w:t>
      </w:r>
      <w:r>
        <w:rPr>
          <w:rFonts w:eastAsia="黑体" w:cs="Arial" w:ascii="SimHei" w:hAnsi="SimHei"/>
          <w:sz w:val="24"/>
          <w:szCs w:val="24"/>
        </w:rPr>
        <w:t>30</w:t>
      </w:r>
      <w:r>
        <w:rPr>
          <w:rFonts w:ascii="SimHei" w:hAnsi="SimHei" w:cs="Arial" w:eastAsia="黑体"/>
          <w:sz w:val="24"/>
          <w:szCs w:val="24"/>
        </w:rPr>
        <w:t>分位值确定</w:t>
      </w:r>
      <w:r>
        <w:rPr>
          <w:rFonts w:ascii="SimHei" w:hAnsi="SimHei" w:eastAsia="黑体"/>
          <w:sz w:val="24"/>
          <w:szCs w:val="24"/>
        </w:rPr>
        <w:t>。见习期满后，考核良好以下，员工个人职等对应</w:t>
      </w:r>
      <w:r>
        <w:rPr>
          <w:rFonts w:eastAsia="黑体" w:ascii="SimHei" w:hAnsi="SimHei"/>
          <w:sz w:val="24"/>
          <w:szCs w:val="24"/>
        </w:rPr>
        <w:t>19</w:t>
      </w:r>
      <w:r>
        <w:rPr>
          <w:rFonts w:ascii="SimHei" w:hAnsi="SimHei" w:eastAsia="黑体"/>
          <w:sz w:val="24"/>
          <w:szCs w:val="24"/>
        </w:rPr>
        <w:t>等薪酬按</w:t>
      </w:r>
      <w:r>
        <w:rPr>
          <w:rFonts w:eastAsia="黑体" w:ascii="SimHei" w:hAnsi="SimHei"/>
          <w:sz w:val="24"/>
          <w:szCs w:val="24"/>
        </w:rPr>
        <w:t>5</w:t>
      </w:r>
      <w:r>
        <w:rPr>
          <w:rFonts w:ascii="SimHei" w:hAnsi="SimHei" w:eastAsia="黑体"/>
          <w:sz w:val="24"/>
          <w:szCs w:val="24"/>
        </w:rPr>
        <w:t>等</w:t>
      </w:r>
      <w:r>
        <w:rPr>
          <w:rFonts w:eastAsia="黑体" w:ascii="SimHei" w:hAnsi="SimHei"/>
          <w:sz w:val="24"/>
          <w:szCs w:val="24"/>
        </w:rPr>
        <w:t>0</w:t>
      </w:r>
      <w:r>
        <w:rPr>
          <w:rFonts w:ascii="SimHei" w:hAnsi="SimHei" w:eastAsia="黑体"/>
          <w:sz w:val="24"/>
          <w:szCs w:val="24"/>
        </w:rPr>
        <w:t>分位值定等，另加该员工的工龄分位值；考核良好及以上，员工个人职等对应</w:t>
      </w:r>
      <w:r>
        <w:rPr>
          <w:rFonts w:eastAsia="黑体" w:ascii="SimHei" w:hAnsi="SimHei"/>
          <w:sz w:val="24"/>
          <w:szCs w:val="24"/>
        </w:rPr>
        <w:t>19</w:t>
      </w:r>
      <w:r>
        <w:rPr>
          <w:rFonts w:ascii="SimHei" w:hAnsi="SimHei" w:eastAsia="黑体"/>
          <w:sz w:val="24"/>
          <w:szCs w:val="24"/>
        </w:rPr>
        <w:t>等薪酬按</w:t>
      </w:r>
      <w:r>
        <w:rPr>
          <w:rFonts w:eastAsia="黑体" w:ascii="SimHei" w:hAnsi="SimHei"/>
          <w:sz w:val="24"/>
          <w:szCs w:val="24"/>
        </w:rPr>
        <w:t>6</w:t>
      </w:r>
      <w:r>
        <w:rPr>
          <w:rFonts w:ascii="SimHei" w:hAnsi="SimHei" w:eastAsia="黑体"/>
          <w:sz w:val="24"/>
          <w:szCs w:val="24"/>
        </w:rPr>
        <w:t>等</w:t>
      </w:r>
      <w:r>
        <w:rPr>
          <w:rFonts w:eastAsia="黑体" w:ascii="SimHei" w:hAnsi="SimHei"/>
          <w:sz w:val="24"/>
          <w:szCs w:val="24"/>
        </w:rPr>
        <w:t>0</w:t>
      </w:r>
      <w:r>
        <w:rPr>
          <w:rFonts w:ascii="SimHei" w:hAnsi="SimHei" w:eastAsia="黑体"/>
          <w:sz w:val="24"/>
          <w:szCs w:val="24"/>
        </w:rPr>
        <w:t>分位定等，另加该员工的工龄分位值。</w:t>
      </w:r>
    </w:p>
    <w:p>
      <w:pPr>
        <w:pStyle w:val="3"/>
        <w:spacing w:before="0" w:after="0"/>
        <w:ind w:start="1" w:firstLine="480"/>
        <w:rPr/>
      </w:pPr>
      <w:r>
        <w:rPr>
          <w:rFonts w:eastAsia="黑体" w:ascii="SimHei" w:hAnsi="SimHei"/>
          <w:b/>
          <w:sz w:val="24"/>
          <w:szCs w:val="24"/>
        </w:rPr>
        <w:t>4</w:t>
      </w:r>
      <w:r>
        <w:rPr>
          <w:rFonts w:ascii="SimHei" w:hAnsi="SimHei" w:eastAsia="黑体"/>
          <w:b/>
          <w:sz w:val="24"/>
          <w:szCs w:val="24"/>
        </w:rPr>
        <w:t>、社会招聘人员（含军转人员）</w:t>
      </w:r>
    </w:p>
    <w:p>
      <w:pPr>
        <w:pStyle w:val="3"/>
        <w:spacing w:before="0" w:after="0"/>
        <w:ind w:start="1" w:firstLine="524"/>
        <w:rPr>
          <w:rFonts w:ascii="仿宋_GB2312;微软雅黑" w:hAnsi="仿宋_GB2312;微软雅黑" w:eastAsia="仿宋_GB2312;微软雅黑" w:cs="Arial"/>
          <w:sz w:val="24"/>
          <w:szCs w:val="24"/>
        </w:rPr>
      </w:pPr>
      <w:r>
        <w:rPr>
          <w:rFonts w:ascii="SimHei" w:hAnsi="SimHei" w:cs="Arial" w:eastAsia="黑体"/>
          <w:sz w:val="24"/>
          <w:szCs w:val="24"/>
        </w:rPr>
        <w:t>自进入移动公司工作起六个月为试岗期（学历为博士研究生的，试岗期三个月）。</w:t>
      </w:r>
    </w:p>
    <w:p>
      <w:pPr>
        <w:pStyle w:val="Normal"/>
        <w:tabs>
          <w:tab w:val="clear" w:pos="420"/>
          <w:tab w:val="left" w:pos="360" w:leader="none"/>
          <w:tab w:val="left" w:pos="540" w:leader="none"/>
        </w:tabs>
        <w:snapToGrid w:val="false"/>
        <w:ind w:start="1" w:firstLine="524"/>
        <w:rPr/>
      </w:pPr>
      <w:r>
        <w:rPr>
          <w:rFonts w:ascii="SimHei" w:hAnsi="SimHei" w:cs="Arial" w:eastAsia="黑体"/>
          <w:sz w:val="24"/>
        </w:rPr>
        <w:t>员工个人职等根据附件一</w:t>
      </w:r>
      <w:r>
        <w:rPr>
          <w:rFonts w:ascii="SimHei" w:hAnsi="SimHei" w:eastAsia="黑体"/>
          <w:sz w:val="24"/>
        </w:rPr>
        <w:t>和所任岗位的岗位标准职等</w:t>
      </w:r>
      <w:r>
        <w:rPr>
          <w:rFonts w:ascii="SimHei" w:hAnsi="SimHei" w:cs="Arial" w:eastAsia="黑体"/>
          <w:sz w:val="24"/>
        </w:rPr>
        <w:t>定等，另加该员工的工龄分位值。试岗期员工个人职等按低一等</w:t>
      </w:r>
      <w:r>
        <w:rPr>
          <w:rFonts w:eastAsia="黑体" w:cs="Arial" w:ascii="SimHei" w:hAnsi="SimHei"/>
          <w:sz w:val="24"/>
        </w:rPr>
        <w:t>0</w:t>
      </w:r>
      <w:r>
        <w:rPr>
          <w:rFonts w:ascii="SimHei" w:hAnsi="SimHei" w:cs="Arial" w:eastAsia="黑体"/>
          <w:sz w:val="24"/>
        </w:rPr>
        <w:t>分位值执行。其中社会招聘人员的工作年限按以下标准计算：</w:t>
      </w:r>
    </w:p>
    <w:p>
      <w:pPr>
        <w:pStyle w:val="Normal"/>
        <w:tabs>
          <w:tab w:val="clear" w:pos="420"/>
          <w:tab w:val="left" w:pos="360" w:leader="none"/>
          <w:tab w:val="left" w:pos="540" w:leader="none"/>
        </w:tabs>
        <w:snapToGrid w:val="false"/>
        <w:ind w:start="1" w:firstLine="524"/>
        <w:rPr>
          <w:rFonts w:ascii="仿宋_GB2312;微软雅黑" w:hAnsi="仿宋_GB2312;微软雅黑" w:eastAsia="仿宋_GB2312;微软雅黑" w:cs="Arial"/>
          <w:sz w:val="24"/>
        </w:rPr>
      </w:pPr>
      <w:r>
        <w:rPr>
          <w:rFonts w:ascii="SimHei" w:hAnsi="SimHei" w:cs="Arial" w:eastAsia="黑体"/>
          <w:sz w:val="24"/>
        </w:rPr>
        <w:t>在外单位（非移动系统）工作年限按</w:t>
      </w:r>
      <w:r>
        <w:rPr>
          <w:rFonts w:eastAsia="黑体" w:cs="Arial" w:ascii="SimHei" w:hAnsi="SimHei"/>
          <w:sz w:val="24"/>
        </w:rPr>
        <w:t>75%</w:t>
      </w:r>
      <w:r>
        <w:rPr>
          <w:rFonts w:ascii="SimHei" w:hAnsi="SimHei" w:cs="Arial" w:eastAsia="黑体"/>
          <w:sz w:val="24"/>
        </w:rPr>
        <w:t>计算；在移动公司工作年限（含部队军龄）按</w:t>
      </w:r>
      <w:r>
        <w:rPr>
          <w:rFonts w:eastAsia="黑体" w:cs="Arial" w:ascii="SimHei" w:hAnsi="SimHei"/>
          <w:sz w:val="24"/>
        </w:rPr>
        <w:t>100%</w:t>
      </w:r>
      <w:r>
        <w:rPr>
          <w:rFonts w:ascii="SimHei" w:hAnsi="SimHei" w:cs="Arial" w:eastAsia="黑体"/>
          <w:sz w:val="24"/>
        </w:rPr>
        <w:t>计算。工作年限计算采取四舍五入的方式。</w:t>
      </w:r>
    </w:p>
    <w:p>
      <w:pPr>
        <w:pStyle w:val="3"/>
        <w:spacing w:before="0" w:after="0"/>
        <w:ind w:start="1" w:firstLine="524"/>
        <w:rPr>
          <w:rFonts w:ascii="仿宋_GB2312;微软雅黑" w:hAnsi="仿宋_GB2312;微软雅黑" w:eastAsia="仿宋_GB2312;微软雅黑" w:cs="Arial"/>
          <w:sz w:val="24"/>
          <w:szCs w:val="24"/>
        </w:rPr>
      </w:pPr>
      <w:r>
        <w:rPr>
          <w:rFonts w:ascii="SimHei" w:hAnsi="SimHei" w:cs="Arial" w:eastAsia="黑体"/>
          <w:sz w:val="24"/>
          <w:szCs w:val="24"/>
        </w:rPr>
        <w:t>对于引进的特殊人才由公司管理层确定定等。</w:t>
      </w:r>
    </w:p>
    <w:p>
      <w:pPr>
        <w:pStyle w:val="Normal"/>
        <w:snapToGrid w:val="false"/>
        <w:ind w:firstLine="470"/>
        <w:rPr>
          <w:rFonts w:ascii="仿宋_GB2312;微软雅黑" w:hAnsi="仿宋_GB2312;微软雅黑" w:eastAsia="仿宋_GB2312;微软雅黑" w:cs="Arial"/>
          <w:sz w:val="24"/>
        </w:rPr>
      </w:pPr>
      <w:r>
        <w:rPr>
          <w:rFonts w:ascii="SimHei" w:hAnsi="SimHei" w:cs="Arial" w:eastAsia="黑体"/>
          <w:sz w:val="24"/>
        </w:rPr>
        <w:t>（二）主办系列职位新进员工个人职等按管理系列职位确定职等下延</w:t>
      </w:r>
      <w:r>
        <w:rPr>
          <w:rFonts w:eastAsia="黑体" w:cs="Arial" w:ascii="SimHei" w:hAnsi="SimHei"/>
          <w:sz w:val="24"/>
        </w:rPr>
        <w:t>2</w:t>
      </w:r>
      <w:r>
        <w:rPr>
          <w:rFonts w:ascii="SimHei" w:hAnsi="SimHei" w:cs="Arial" w:eastAsia="黑体"/>
          <w:sz w:val="24"/>
        </w:rPr>
        <w:t>等确定；助理系列职位新进员工个人职等按管理系列职位确定职等下延</w:t>
      </w:r>
      <w:r>
        <w:rPr>
          <w:rFonts w:eastAsia="黑体" w:cs="Arial" w:ascii="SimHei" w:hAnsi="SimHei"/>
          <w:sz w:val="24"/>
        </w:rPr>
        <w:t>3</w:t>
      </w:r>
      <w:r>
        <w:rPr>
          <w:rFonts w:ascii="SimHei" w:hAnsi="SimHei" w:cs="Arial" w:eastAsia="黑体"/>
          <w:sz w:val="24"/>
        </w:rPr>
        <w:t>等确定。其中，如所任职位在管理系列中标准职等为</w:t>
      </w:r>
      <w:r>
        <w:rPr>
          <w:rFonts w:eastAsia="黑体" w:cs="Arial" w:ascii="SimHei" w:hAnsi="SimHei"/>
          <w:sz w:val="24"/>
        </w:rPr>
        <w:t>5</w:t>
      </w:r>
      <w:r>
        <w:rPr>
          <w:rFonts w:ascii="SimHei" w:hAnsi="SimHei" w:cs="Arial" w:eastAsia="黑体"/>
          <w:sz w:val="24"/>
        </w:rPr>
        <w:t>等及以下的，主办、助理系列职位新进员工个人按所任职位系列职位标准职等</w:t>
      </w:r>
      <w:r>
        <w:rPr>
          <w:rFonts w:eastAsia="黑体" w:cs="Arial" w:ascii="SimHei" w:hAnsi="SimHei"/>
          <w:sz w:val="24"/>
        </w:rPr>
        <w:t>0</w:t>
      </w:r>
      <w:r>
        <w:rPr>
          <w:rFonts w:ascii="SimHei" w:hAnsi="SimHei" w:cs="Arial" w:eastAsia="黑体"/>
          <w:sz w:val="24"/>
        </w:rPr>
        <w:t>分位定岗，最低为</w:t>
      </w:r>
      <w:r>
        <w:rPr>
          <w:rFonts w:eastAsia="黑体" w:cs="Arial" w:ascii="SimHei" w:hAnsi="SimHei"/>
          <w:sz w:val="24"/>
        </w:rPr>
        <w:t>1</w:t>
      </w:r>
      <w:r>
        <w:rPr>
          <w:rFonts w:ascii="SimHei" w:hAnsi="SimHei" w:cs="Arial" w:eastAsia="黑体"/>
          <w:sz w:val="24"/>
        </w:rPr>
        <w:t>等。</w:t>
      </w:r>
      <w:r>
        <w:rPr>
          <w:rFonts w:ascii="SimHei" w:hAnsi="SimHei" w:eastAsia="黑体"/>
          <w:sz w:val="24"/>
        </w:rPr>
        <w:t>员工职位水平等级由个人职等对应确定。</w:t>
      </w:r>
    </w:p>
    <w:p>
      <w:pPr>
        <w:pStyle w:val="3"/>
        <w:spacing w:before="0" w:after="0"/>
        <w:ind w:start="1" w:firstLine="480"/>
        <w:rPr>
          <w:rFonts w:ascii="仿宋_GB2312;微软雅黑" w:hAnsi="仿宋_GB2312;微软雅黑" w:eastAsia="仿宋_GB2312;微软雅黑"/>
          <w:sz w:val="24"/>
          <w:szCs w:val="24"/>
        </w:rPr>
      </w:pPr>
      <w:r>
        <w:rPr>
          <w:rFonts w:ascii="SimHei" w:hAnsi="SimHei" w:eastAsia="黑体"/>
          <w:sz w:val="24"/>
          <w:szCs w:val="24"/>
        </w:rPr>
        <w:t>对于部分计件</w:t>
      </w:r>
      <w:r>
        <w:rPr>
          <w:rFonts w:eastAsia="黑体" w:ascii="SimHei" w:hAnsi="SimHei"/>
          <w:sz w:val="24"/>
          <w:szCs w:val="24"/>
        </w:rPr>
        <w:t>/</w:t>
      </w:r>
      <w:r>
        <w:rPr>
          <w:rFonts w:ascii="SimHei" w:hAnsi="SimHei" w:eastAsia="黑体"/>
          <w:sz w:val="24"/>
          <w:szCs w:val="24"/>
        </w:rPr>
        <w:t>量等职位（营业员、话务员、客户经理、驾驶员等）可根据实际不确定具体水平等级及个人职等，按计件</w:t>
      </w:r>
      <w:r>
        <w:rPr>
          <w:rFonts w:eastAsia="黑体" w:ascii="SimHei" w:hAnsi="SimHei"/>
          <w:sz w:val="24"/>
          <w:szCs w:val="24"/>
        </w:rPr>
        <w:t>/</w:t>
      </w:r>
      <w:r>
        <w:rPr>
          <w:rFonts w:ascii="SimHei" w:hAnsi="SimHei" w:eastAsia="黑体"/>
          <w:sz w:val="24"/>
          <w:szCs w:val="24"/>
        </w:rPr>
        <w:t>量相关办法确定薪酬标准。</w:t>
      </w:r>
    </w:p>
    <w:p>
      <w:pPr>
        <w:pStyle w:val="3"/>
        <w:spacing w:before="0" w:after="0"/>
        <w:ind w:start="1" w:firstLine="480"/>
        <w:rPr>
          <w:rFonts w:ascii="仿宋_GB2312;微软雅黑" w:hAnsi="仿宋_GB2312;微软雅黑" w:eastAsia="仿宋_GB2312;微软雅黑"/>
          <w:b/>
          <w:b/>
          <w:sz w:val="24"/>
          <w:szCs w:val="24"/>
        </w:rPr>
      </w:pPr>
      <w:r>
        <w:rPr>
          <w:rFonts w:ascii="SimHei" w:hAnsi="SimHei" w:eastAsia="黑体"/>
          <w:b/>
          <w:sz w:val="24"/>
          <w:szCs w:val="24"/>
        </w:rPr>
        <w:t>第十六条  员工职位调整</w:t>
      </w:r>
    </w:p>
    <w:p>
      <w:pPr>
        <w:pStyle w:val="3"/>
        <w:spacing w:before="0" w:after="0"/>
        <w:ind w:start="1" w:firstLine="480"/>
        <w:rPr/>
      </w:pPr>
      <w:r>
        <w:rPr>
          <w:rFonts w:ascii="SimHei" w:hAnsi="SimHei" w:eastAsia="黑体"/>
          <w:sz w:val="24"/>
          <w:szCs w:val="24"/>
        </w:rPr>
        <w:t>因工作需要，员工进行职位调整时，需由部门填写《中国移动浙江公司员工职位调整审批表》</w:t>
      </w:r>
      <w:r>
        <w:rPr>
          <w:rFonts w:eastAsia="黑体" w:ascii="SimHei" w:hAnsi="SimHei"/>
          <w:sz w:val="24"/>
          <w:szCs w:val="24"/>
        </w:rPr>
        <w:t>(</w:t>
      </w:r>
      <w:r>
        <w:rPr>
          <w:rFonts w:ascii="SimHei" w:hAnsi="SimHei" w:eastAsia="黑体"/>
          <w:sz w:val="24"/>
          <w:szCs w:val="24"/>
        </w:rPr>
        <w:t>详见附件二</w:t>
      </w:r>
      <w:r>
        <w:rPr>
          <w:rFonts w:eastAsia="黑体" w:ascii="SimHei" w:hAnsi="SimHei"/>
          <w:sz w:val="24"/>
          <w:szCs w:val="24"/>
        </w:rPr>
        <w:t>)</w:t>
      </w:r>
      <w:r>
        <w:rPr>
          <w:rFonts w:ascii="SimHei" w:hAnsi="SimHei" w:eastAsia="黑体"/>
          <w:sz w:val="24"/>
          <w:szCs w:val="24"/>
        </w:rPr>
        <w:t>，并经人力资源部和公司领导审批同意。</w:t>
      </w:r>
    </w:p>
    <w:p>
      <w:pPr>
        <w:pStyle w:val="3"/>
        <w:spacing w:before="0" w:after="0"/>
        <w:ind w:start="1" w:firstLine="480"/>
        <w:rPr/>
      </w:pPr>
      <w:r>
        <w:rPr>
          <w:rFonts w:ascii="SimHei" w:hAnsi="SimHei" w:eastAsia="黑体"/>
          <w:sz w:val="24"/>
          <w:szCs w:val="24"/>
        </w:rPr>
        <w:t>市、县（市</w:t>
      </w:r>
      <w:r>
        <w:rPr>
          <w:rFonts w:eastAsia="黑体" w:ascii="SimHei" w:hAnsi="SimHei"/>
          <w:sz w:val="24"/>
          <w:szCs w:val="24"/>
        </w:rPr>
        <w:t>/</w:t>
      </w:r>
      <w:r>
        <w:rPr>
          <w:rFonts w:ascii="SimHei" w:hAnsi="SimHei" w:eastAsia="黑体"/>
          <w:sz w:val="24"/>
          <w:szCs w:val="24"/>
        </w:rPr>
        <w:t>市城区）分公司</w:t>
      </w:r>
      <w:r>
        <w:rPr>
          <w:rFonts w:eastAsia="黑体" w:ascii="SimHei" w:hAnsi="SimHei"/>
          <w:sz w:val="24"/>
          <w:szCs w:val="24"/>
        </w:rPr>
        <w:t>8</w:t>
      </w:r>
      <w:r>
        <w:rPr>
          <w:rFonts w:ascii="SimHei" w:hAnsi="SimHei" w:eastAsia="黑体"/>
          <w:sz w:val="24"/>
          <w:szCs w:val="24"/>
        </w:rPr>
        <w:t>等、省公司</w:t>
      </w:r>
      <w:r>
        <w:rPr>
          <w:rFonts w:eastAsia="黑体" w:ascii="SimHei" w:hAnsi="SimHei"/>
          <w:sz w:val="24"/>
          <w:szCs w:val="24"/>
        </w:rPr>
        <w:t>10</w:t>
      </w:r>
      <w:r>
        <w:rPr>
          <w:rFonts w:ascii="SimHei" w:hAnsi="SimHei" w:eastAsia="黑体"/>
          <w:sz w:val="24"/>
          <w:szCs w:val="24"/>
        </w:rPr>
        <w:t>等及以上新增或空缺职位，除采用招聘和同职等平调调配满足外，原则上应以竞聘形式进行人员配备。竞聘员工个人职等与竞聘职位标准职等一般相差不超过</w:t>
      </w:r>
      <w:r>
        <w:rPr>
          <w:rFonts w:eastAsia="黑体" w:ascii="SimHei" w:hAnsi="SimHei"/>
          <w:sz w:val="24"/>
          <w:szCs w:val="24"/>
        </w:rPr>
        <w:t>2</w:t>
      </w:r>
      <w:r>
        <w:rPr>
          <w:rFonts w:ascii="SimHei" w:hAnsi="SimHei" w:eastAsia="黑体"/>
          <w:sz w:val="24"/>
          <w:szCs w:val="24"/>
        </w:rPr>
        <w:t>等。</w:t>
      </w:r>
    </w:p>
    <w:p>
      <w:pPr>
        <w:pStyle w:val="3"/>
        <w:spacing w:before="0" w:after="0"/>
        <w:ind w:start="1" w:firstLine="480"/>
        <w:rPr>
          <w:rFonts w:ascii="仿宋_GB2312;微软雅黑" w:hAnsi="仿宋_GB2312;微软雅黑" w:eastAsia="仿宋_GB2312;微软雅黑"/>
          <w:b/>
          <w:b/>
          <w:sz w:val="24"/>
          <w:szCs w:val="24"/>
        </w:rPr>
      </w:pPr>
      <w:r>
        <w:rPr>
          <w:rFonts w:ascii="SimHei" w:hAnsi="SimHei" w:eastAsia="黑体"/>
          <w:b/>
          <w:sz w:val="24"/>
          <w:szCs w:val="24"/>
        </w:rPr>
        <w:t>第十七条  员工职位系列调整</w:t>
      </w:r>
    </w:p>
    <w:p>
      <w:pPr>
        <w:pStyle w:val="3"/>
        <w:spacing w:before="0" w:after="0"/>
        <w:ind w:start="1" w:firstLine="480"/>
        <w:rPr/>
      </w:pPr>
      <w:r>
        <w:rPr>
          <w:rFonts w:ascii="SimHei" w:hAnsi="SimHei" w:eastAsia="黑体"/>
          <w:sz w:val="24"/>
          <w:szCs w:val="24"/>
        </w:rPr>
        <w:t>员工职位系列调整是指员工因角色定位及工作性质的变化在管理、主办、助理职位系列间进行调整。</w:t>
      </w:r>
    </w:p>
    <w:p>
      <w:pPr>
        <w:pStyle w:val="3"/>
        <w:spacing w:before="0" w:after="0"/>
        <w:ind w:start="1" w:firstLine="480"/>
        <w:rPr>
          <w:rFonts w:ascii="仿宋_GB2312;微软雅黑" w:hAnsi="仿宋_GB2312;微软雅黑" w:eastAsia="仿宋_GB2312;微软雅黑"/>
          <w:sz w:val="24"/>
          <w:szCs w:val="24"/>
        </w:rPr>
      </w:pPr>
      <w:r>
        <w:rPr>
          <w:rFonts w:ascii="SimHei" w:hAnsi="SimHei" w:eastAsia="黑体"/>
          <w:sz w:val="24"/>
          <w:szCs w:val="24"/>
        </w:rPr>
        <w:t>职位系列的调整由省公司根据需要集中组织。具体调整要求及流程按公司相关办法和规定执行。</w:t>
      </w:r>
    </w:p>
    <w:p>
      <w:pPr>
        <w:pStyle w:val="Normal"/>
        <w:ind w:firstLine="480"/>
        <w:rPr/>
      </w:pPr>
      <w:r>
        <w:rPr>
          <w:rFonts w:ascii="SimHei" w:hAnsi="SimHei" w:eastAsia="黑体"/>
          <w:b/>
          <w:sz w:val="24"/>
        </w:rPr>
        <w:t>第十八条  员工职位水平等级</w:t>
      </w:r>
      <w:r>
        <w:rPr>
          <w:rFonts w:eastAsia="黑体" w:ascii="SimHei" w:hAnsi="SimHei"/>
          <w:b/>
          <w:sz w:val="24"/>
        </w:rPr>
        <w:t>/</w:t>
      </w:r>
      <w:r>
        <w:rPr>
          <w:rFonts w:ascii="SimHei" w:hAnsi="SimHei" w:eastAsia="黑体"/>
          <w:b/>
          <w:sz w:val="24"/>
        </w:rPr>
        <w:t>个人职等调整</w:t>
      </w:r>
    </w:p>
    <w:p>
      <w:pPr>
        <w:pStyle w:val="Normal"/>
        <w:ind w:firstLine="480"/>
        <w:rPr/>
      </w:pPr>
      <w:r>
        <w:rPr>
          <w:rFonts w:ascii="SimHei" w:hAnsi="SimHei" w:eastAsia="黑体"/>
          <w:b/>
          <w:sz w:val="24"/>
        </w:rPr>
        <w:t>一、员工职位不变情况下，职位水平等级</w:t>
      </w:r>
      <w:r>
        <w:rPr>
          <w:rFonts w:eastAsia="黑体" w:ascii="SimHei" w:hAnsi="SimHei"/>
          <w:b/>
          <w:sz w:val="24"/>
        </w:rPr>
        <w:t>/</w:t>
      </w:r>
      <w:r>
        <w:rPr>
          <w:rFonts w:ascii="SimHei" w:hAnsi="SimHei" w:eastAsia="黑体"/>
          <w:b/>
          <w:sz w:val="24"/>
        </w:rPr>
        <w:t>个人职等调整：</w:t>
      </w:r>
    </w:p>
    <w:p>
      <w:pPr>
        <w:pStyle w:val="Normal"/>
        <w:tabs>
          <w:tab w:val="clear" w:pos="420"/>
          <w:tab w:val="left" w:pos="105" w:leader="none"/>
          <w:tab w:val="left" w:pos="1245" w:leader="none"/>
        </w:tabs>
        <w:snapToGrid w:val="false"/>
        <w:ind w:firstLine="480"/>
        <w:rPr/>
      </w:pPr>
      <w:r>
        <w:rPr>
          <w:rFonts w:ascii="SimHei" w:hAnsi="SimHei" w:eastAsia="黑体"/>
          <w:sz w:val="24"/>
        </w:rPr>
        <w:t>（一）标准级及以下水平等级的调整</w:t>
      </w:r>
      <w:r>
        <w:rPr>
          <w:rFonts w:ascii="SimHei" w:hAnsi="SimHei" w:cs="宋体;SimSun" w:eastAsia="黑体"/>
          <w:spacing w:val="20"/>
          <w:sz w:val="24"/>
        </w:rPr>
        <w:t>根据年度绩效结果通过调整绩效分位值，逐步调整到位</w:t>
      </w:r>
      <w:r>
        <w:rPr>
          <w:rFonts w:eastAsia="黑体" w:cs="宋体;SimSun" w:ascii="SimHei" w:hAnsi="SimHei"/>
          <w:bCs/>
          <w:spacing w:val="20"/>
          <w:sz w:val="24"/>
        </w:rPr>
        <w:t>(</w:t>
      </w:r>
      <w:r>
        <w:rPr>
          <w:rFonts w:ascii="SimHei" w:hAnsi="SimHei" w:cs="宋体;SimSun" w:eastAsia="黑体"/>
          <w:bCs/>
          <w:spacing w:val="20"/>
          <w:sz w:val="24"/>
        </w:rPr>
        <w:t>对于个人职等晋升的，必须满足连续两年绩效结果良好及以上，</w:t>
      </w:r>
      <w:r>
        <w:rPr>
          <w:rFonts w:ascii="SimHei" w:hAnsi="SimHei" w:cs="宋体;SimSun" w:eastAsia="黑体"/>
          <w:spacing w:val="20"/>
          <w:sz w:val="24"/>
        </w:rPr>
        <w:t>各市分公司可根据具体职位及分公司实际，再另外附加一定的调整要求</w:t>
      </w:r>
      <w:r>
        <w:rPr>
          <w:rFonts w:ascii="SimHei" w:hAnsi="SimHei" w:cs="宋体;SimSun" w:eastAsia="黑体"/>
          <w:b/>
          <w:bCs/>
          <w:spacing w:val="20"/>
          <w:sz w:val="24"/>
        </w:rPr>
        <w:t>）</w:t>
      </w:r>
      <w:r>
        <w:rPr>
          <w:rFonts w:ascii="SimHei" w:hAnsi="SimHei" w:cs="宋体;SimSun" w:eastAsia="黑体"/>
          <w:spacing w:val="20"/>
          <w:sz w:val="24"/>
        </w:rPr>
        <w:t>。具体规定如下：</w:t>
      </w:r>
    </w:p>
    <w:p>
      <w:pPr>
        <w:pStyle w:val="3"/>
        <w:spacing w:before="0" w:after="0"/>
        <w:ind w:start="1" w:firstLine="480"/>
        <w:rPr>
          <w:rFonts w:ascii="仿宋_GB2312;微软雅黑" w:hAnsi="仿宋_GB2312;微软雅黑" w:eastAsia="仿宋_GB2312;微软雅黑"/>
          <w:sz w:val="24"/>
          <w:szCs w:val="24"/>
        </w:rPr>
      </w:pPr>
      <w:r>
        <w:rPr>
          <w:rFonts w:eastAsia="黑体" w:ascii="SimHei" w:hAnsi="SimHei"/>
          <w:sz w:val="24"/>
          <w:szCs w:val="24"/>
        </w:rPr>
        <w:t>1</w:t>
      </w:r>
      <w:r>
        <w:rPr>
          <w:rFonts w:ascii="SimHei" w:hAnsi="SimHei" w:eastAsia="黑体"/>
          <w:sz w:val="24"/>
          <w:szCs w:val="24"/>
        </w:rPr>
        <w:t>、员工个人职位水平等级低于现任职位标准级，正常调整的：</w:t>
      </w:r>
    </w:p>
    <w:p>
      <w:pPr>
        <w:pStyle w:val="3"/>
        <w:spacing w:before="0" w:after="0"/>
        <w:ind w:start="1" w:firstLine="480"/>
        <w:rPr/>
      </w:pPr>
      <w:r>
        <w:rPr>
          <w:rFonts w:ascii="SimHei" w:hAnsi="SimHei" w:eastAsia="黑体"/>
          <w:sz w:val="24"/>
          <w:szCs w:val="24"/>
        </w:rPr>
        <w:t>（</w:t>
      </w:r>
      <w:r>
        <w:rPr>
          <w:rFonts w:eastAsia="黑体" w:ascii="SimHei" w:hAnsi="SimHei"/>
          <w:sz w:val="24"/>
          <w:szCs w:val="24"/>
        </w:rPr>
        <w:t>1</w:t>
      </w:r>
      <w:r>
        <w:rPr>
          <w:rFonts w:ascii="SimHei" w:hAnsi="SimHei" w:eastAsia="黑体"/>
          <w:sz w:val="24"/>
          <w:szCs w:val="24"/>
        </w:rPr>
        <w:t>）当年绩效考核年度结果出来后，在次年根据绩效结果进行调整薪酬分位值（指当年</w:t>
      </w:r>
      <w:r>
        <w:rPr>
          <w:rFonts w:eastAsia="黑体" w:ascii="SimHei" w:hAnsi="SimHei"/>
          <w:sz w:val="24"/>
          <w:szCs w:val="24"/>
        </w:rPr>
        <w:t>6</w:t>
      </w:r>
      <w:r>
        <w:rPr>
          <w:rFonts w:ascii="SimHei" w:hAnsi="SimHei" w:eastAsia="黑体"/>
          <w:sz w:val="24"/>
          <w:szCs w:val="24"/>
        </w:rPr>
        <w:t>月</w:t>
      </w:r>
      <w:r>
        <w:rPr>
          <w:rFonts w:eastAsia="黑体" w:ascii="SimHei" w:hAnsi="SimHei"/>
          <w:sz w:val="24"/>
          <w:szCs w:val="24"/>
        </w:rPr>
        <w:t>30</w:t>
      </w:r>
      <w:r>
        <w:rPr>
          <w:rFonts w:ascii="SimHei" w:hAnsi="SimHei" w:eastAsia="黑体"/>
          <w:sz w:val="24"/>
          <w:szCs w:val="24"/>
        </w:rPr>
        <w:t>日前进公司，当年</w:t>
      </w:r>
      <w:r>
        <w:rPr>
          <w:rFonts w:eastAsia="黑体" w:ascii="SimHei" w:hAnsi="SimHei"/>
          <w:sz w:val="24"/>
          <w:szCs w:val="24"/>
        </w:rPr>
        <w:t>6</w:t>
      </w:r>
      <w:r>
        <w:rPr>
          <w:rFonts w:ascii="SimHei" w:hAnsi="SimHei" w:eastAsia="黑体"/>
          <w:sz w:val="24"/>
          <w:szCs w:val="24"/>
        </w:rPr>
        <w:t>月</w:t>
      </w:r>
      <w:r>
        <w:rPr>
          <w:rFonts w:eastAsia="黑体" w:ascii="SimHei" w:hAnsi="SimHei"/>
          <w:sz w:val="24"/>
          <w:szCs w:val="24"/>
        </w:rPr>
        <w:t>30</w:t>
      </w:r>
      <w:r>
        <w:rPr>
          <w:rFonts w:ascii="SimHei" w:hAnsi="SimHei" w:eastAsia="黑体"/>
          <w:sz w:val="24"/>
          <w:szCs w:val="24"/>
        </w:rPr>
        <w:t>日后进公司的，次年不进行年度调整。调整时间一般为次年</w:t>
      </w:r>
      <w:r>
        <w:rPr>
          <w:rFonts w:eastAsia="黑体" w:ascii="SimHei" w:hAnsi="SimHei"/>
          <w:sz w:val="24"/>
          <w:szCs w:val="24"/>
        </w:rPr>
        <w:t>4</w:t>
      </w:r>
      <w:r>
        <w:rPr>
          <w:rFonts w:ascii="SimHei" w:hAnsi="SimHei" w:eastAsia="黑体"/>
          <w:sz w:val="24"/>
          <w:szCs w:val="24"/>
        </w:rPr>
        <w:t>月），调整方法如下：</w:t>
      </w:r>
    </w:p>
    <w:p>
      <w:pPr>
        <w:pStyle w:val="3"/>
        <w:spacing w:before="0" w:after="0"/>
        <w:ind w:start="1" w:firstLine="480"/>
        <w:rPr/>
      </w:pPr>
      <w:r>
        <w:rPr>
          <w:rFonts w:ascii="SimHei" w:hAnsi="SimHei" w:eastAsia="黑体"/>
        </w:rPr>
      </w:r>
      <w:r>
        <w:rPr>
          <w:sz w:val="24"/>
          <w:szCs w:val="24"/>
          <w:rFonts w:eastAsia="黑体" w:ascii="SimHei" w:hAnsi="SimHei"/>
          <w:lang w:val="en-US" w:eastAsia="en-US"/>
        </w:rPr>
      </w:r>
      <w:r>
        <w:rPr>
          <w:rFonts w:eastAsia="黑体" w:ascii="SimHei" w:hAnsi="SimHei"/>
          <w:sz w:val="24"/>
          <w:szCs w:val="24"/>
          <w:lang w:val="en-US" w:eastAsia="en-US"/>
        </w:rPr>
      </w:r>
      <w:r>
        <w:rPr>
          <w:sz w:val="24"/>
          <w:szCs w:val="24"/>
          <w:rFonts w:eastAsia="黑体" w:ascii="SimHei" w:hAnsi="SimHei"/>
          <w:lang w:val="en-US" w:eastAsia="en-US"/>
        </w:rPr>
      </w:r>
      <w:r>
        <w:rPr>
          <w:rFonts w:eastAsia="黑体" w:ascii="SimHei" w:hAnsi="SimHei"/>
          <w:sz w:val="24"/>
          <w:szCs w:val="24"/>
          <w:lang w:val="en-US" w:eastAsia="en-US"/>
        </w:rPr>
        <w:t>i</w:t>
      </w:r>
      <w:r>
        <w:rPr>
          <w:rFonts w:eastAsia="黑体" w:ascii="SimHei" w:hAnsi="SimHei"/>
          <w:sz w:val="24"/>
          <w:szCs w:val="24"/>
          <w:lang w:val="en-US" w:eastAsia="en-US"/>
        </w:rPr>
      </w:r>
      <w:r>
        <w:rPr>
          <w:sz w:val="24"/>
          <w:szCs w:val="24"/>
          <w:rFonts w:eastAsia="黑体" w:ascii="SimHei" w:hAnsi="SimHei"/>
          <w:lang w:val="en-US" w:eastAsia="en-US"/>
        </w:rPr>
      </w:r>
      <w:r>
        <w:rPr>
          <w:rFonts w:ascii="SimHei" w:hAnsi="SimHei" w:eastAsia="黑体"/>
          <w:sz w:val="24"/>
          <w:szCs w:val="24"/>
        </w:rPr>
        <w:t>、调整标准：</w:t>
      </w:r>
    </w:p>
    <w:p>
      <w:pPr>
        <w:pStyle w:val="3"/>
        <w:spacing w:before="0" w:after="0"/>
        <w:ind w:start="1" w:firstLine="480"/>
        <w:rPr>
          <w:rFonts w:ascii="仿宋_GB2312;微软雅黑" w:hAnsi="仿宋_GB2312;微软雅黑" w:eastAsia="仿宋_GB2312;微软雅黑"/>
          <w:sz w:val="24"/>
          <w:szCs w:val="24"/>
        </w:rPr>
      </w:pPr>
      <w:r>
        <w:rPr>
          <w:rFonts w:ascii="SimHei" w:hAnsi="SimHei" w:eastAsia="黑体"/>
          <w:sz w:val="24"/>
          <w:szCs w:val="24"/>
        </w:rPr>
        <w:t>绩效结果优秀：加</w:t>
      </w:r>
      <w:r>
        <w:rPr>
          <w:rFonts w:eastAsia="黑体" w:ascii="SimHei" w:hAnsi="SimHei"/>
          <w:sz w:val="24"/>
          <w:szCs w:val="24"/>
        </w:rPr>
        <w:t>40</w:t>
      </w:r>
      <w:r>
        <w:rPr>
          <w:rFonts w:ascii="SimHei" w:hAnsi="SimHei" w:eastAsia="黑体"/>
          <w:sz w:val="24"/>
          <w:szCs w:val="24"/>
        </w:rPr>
        <w:t>分位；</w:t>
      </w:r>
    </w:p>
    <w:p>
      <w:pPr>
        <w:pStyle w:val="3"/>
        <w:spacing w:before="0" w:after="0"/>
        <w:ind w:start="1" w:firstLine="480"/>
        <w:rPr>
          <w:rFonts w:ascii="仿宋_GB2312;微软雅黑" w:hAnsi="仿宋_GB2312;微软雅黑" w:eastAsia="仿宋_GB2312;微软雅黑"/>
          <w:sz w:val="24"/>
          <w:szCs w:val="24"/>
        </w:rPr>
      </w:pPr>
      <w:r>
        <w:rPr>
          <w:rFonts w:ascii="SimHei" w:hAnsi="SimHei" w:eastAsia="黑体"/>
          <w:sz w:val="24"/>
          <w:szCs w:val="24"/>
        </w:rPr>
        <w:t>绩效结果优良：加</w:t>
      </w:r>
      <w:r>
        <w:rPr>
          <w:rFonts w:eastAsia="黑体" w:ascii="SimHei" w:hAnsi="SimHei"/>
          <w:sz w:val="24"/>
          <w:szCs w:val="24"/>
        </w:rPr>
        <w:t>30</w:t>
      </w:r>
      <w:r>
        <w:rPr>
          <w:rFonts w:ascii="SimHei" w:hAnsi="SimHei" w:eastAsia="黑体"/>
          <w:sz w:val="24"/>
          <w:szCs w:val="24"/>
        </w:rPr>
        <w:t>分位；</w:t>
      </w:r>
    </w:p>
    <w:p>
      <w:pPr>
        <w:pStyle w:val="3"/>
        <w:spacing w:before="0" w:after="0"/>
        <w:ind w:start="1" w:firstLine="480"/>
        <w:rPr>
          <w:rFonts w:ascii="仿宋_GB2312;微软雅黑" w:hAnsi="仿宋_GB2312;微软雅黑" w:eastAsia="仿宋_GB2312;微软雅黑"/>
          <w:sz w:val="24"/>
          <w:szCs w:val="24"/>
        </w:rPr>
      </w:pPr>
      <w:r>
        <w:rPr>
          <w:rFonts w:ascii="SimHei" w:hAnsi="SimHei" w:eastAsia="黑体"/>
          <w:sz w:val="24"/>
          <w:szCs w:val="24"/>
        </w:rPr>
        <w:t>绩效结果良好：加</w:t>
      </w:r>
      <w:r>
        <w:rPr>
          <w:rFonts w:eastAsia="黑体" w:ascii="SimHei" w:hAnsi="SimHei"/>
          <w:sz w:val="24"/>
          <w:szCs w:val="24"/>
        </w:rPr>
        <w:t>25</w:t>
      </w:r>
      <w:r>
        <w:rPr>
          <w:rFonts w:ascii="SimHei" w:hAnsi="SimHei" w:eastAsia="黑体"/>
          <w:sz w:val="24"/>
          <w:szCs w:val="24"/>
        </w:rPr>
        <w:t>分位；</w:t>
      </w:r>
    </w:p>
    <w:p>
      <w:pPr>
        <w:pStyle w:val="3"/>
        <w:spacing w:before="0" w:after="0"/>
        <w:ind w:start="1" w:firstLine="480"/>
        <w:rPr>
          <w:rFonts w:ascii="仿宋_GB2312;微软雅黑" w:hAnsi="仿宋_GB2312;微软雅黑" w:eastAsia="仿宋_GB2312;微软雅黑"/>
          <w:sz w:val="24"/>
          <w:szCs w:val="24"/>
        </w:rPr>
      </w:pPr>
      <w:r>
        <w:rPr>
          <w:rFonts w:ascii="SimHei" w:hAnsi="SimHei" w:eastAsia="黑体"/>
          <w:sz w:val="24"/>
          <w:szCs w:val="24"/>
        </w:rPr>
        <w:t>绩效结果一般：加</w:t>
      </w:r>
      <w:r>
        <w:rPr>
          <w:rFonts w:eastAsia="黑体" w:ascii="SimHei" w:hAnsi="SimHei"/>
          <w:sz w:val="24"/>
          <w:szCs w:val="24"/>
        </w:rPr>
        <w:t>15</w:t>
      </w:r>
      <w:r>
        <w:rPr>
          <w:rFonts w:ascii="SimHei" w:hAnsi="SimHei" w:eastAsia="黑体"/>
          <w:sz w:val="24"/>
          <w:szCs w:val="24"/>
        </w:rPr>
        <w:t>分位。</w:t>
      </w:r>
    </w:p>
    <w:p>
      <w:pPr>
        <w:pStyle w:val="3"/>
        <w:spacing w:before="0" w:after="0"/>
        <w:ind w:start="1" w:firstLine="480"/>
        <w:rPr/>
      </w:pPr>
      <w:r>
        <w:rPr>
          <w:rFonts w:ascii="SimHei" w:hAnsi="SimHei" w:eastAsia="黑体"/>
        </w:rPr>
      </w:r>
      <w:r>
        <w:rPr>
          <w:sz w:val="24"/>
          <w:szCs w:val="24"/>
          <w:rFonts w:eastAsia="黑体" w:ascii="SimHei" w:hAnsi="SimHei"/>
          <w:lang w:val="en-US" w:eastAsia="en-US"/>
        </w:rPr>
      </w:r>
      <w:r>
        <w:rPr>
          <w:rFonts w:eastAsia="黑体" w:ascii="SimHei" w:hAnsi="SimHei"/>
          <w:sz w:val="24"/>
          <w:szCs w:val="24"/>
          <w:lang w:val="en-US" w:eastAsia="en-US"/>
        </w:rPr>
      </w:r>
      <w:r>
        <w:rPr>
          <w:sz w:val="24"/>
          <w:szCs w:val="24"/>
          <w:rFonts w:eastAsia="黑体" w:ascii="SimHei" w:hAnsi="SimHei"/>
          <w:lang w:val="en-US" w:eastAsia="en-US"/>
        </w:rPr>
      </w:r>
      <w:r>
        <w:rPr>
          <w:rFonts w:eastAsia="黑体" w:ascii="SimHei" w:hAnsi="SimHei"/>
          <w:sz w:val="24"/>
          <w:szCs w:val="24"/>
          <w:lang w:val="en-US" w:eastAsia="en-US"/>
        </w:rPr>
        <w:t>ii</w:t>
      </w:r>
      <w:r>
        <w:rPr>
          <w:rFonts w:eastAsia="黑体" w:ascii="SimHei" w:hAnsi="SimHei"/>
          <w:sz w:val="24"/>
          <w:szCs w:val="24"/>
          <w:lang w:val="en-US" w:eastAsia="en-US"/>
        </w:rPr>
      </w:r>
      <w:r>
        <w:rPr>
          <w:sz w:val="24"/>
          <w:szCs w:val="24"/>
          <w:rFonts w:eastAsia="黑体" w:ascii="SimHei" w:hAnsi="SimHei"/>
          <w:lang w:val="en-US" w:eastAsia="en-US"/>
        </w:rPr>
      </w:r>
      <w:r>
        <w:rPr>
          <w:rFonts w:ascii="SimHei" w:hAnsi="SimHei" w:eastAsia="黑体"/>
          <w:sz w:val="24"/>
          <w:szCs w:val="24"/>
        </w:rPr>
        <w:t>、如该员工现薪酬（不包括工龄分位值、职称分位值）低于上一水平等级对应职等</w:t>
      </w:r>
      <w:r>
        <w:rPr>
          <w:rFonts w:eastAsia="黑体" w:ascii="SimHei" w:hAnsi="SimHei"/>
          <w:sz w:val="24"/>
          <w:szCs w:val="24"/>
        </w:rPr>
        <w:t>0</w:t>
      </w:r>
      <w:r>
        <w:rPr>
          <w:rFonts w:ascii="SimHei" w:hAnsi="SimHei" w:eastAsia="黑体"/>
          <w:sz w:val="24"/>
          <w:szCs w:val="24"/>
        </w:rPr>
        <w:t>分位薪酬标准的，根据绩效结果进行年度薪酬分位值调整；</w:t>
      </w:r>
    </w:p>
    <w:p>
      <w:pPr>
        <w:pStyle w:val="3"/>
        <w:spacing w:before="0" w:after="0"/>
        <w:ind w:start="1" w:firstLine="480"/>
        <w:rPr/>
      </w:pPr>
      <w:r>
        <w:rPr>
          <w:rFonts w:ascii="SimHei" w:hAnsi="SimHei" w:eastAsia="黑体"/>
        </w:rPr>
      </w:r>
      <w:r>
        <w:rPr>
          <w:sz w:val="24"/>
          <w:szCs w:val="24"/>
          <w:rFonts w:eastAsia="黑体" w:ascii="SimHei" w:hAnsi="SimHei"/>
          <w:lang w:val="en-US" w:eastAsia="en-US"/>
        </w:rPr>
      </w:r>
      <w:r>
        <w:rPr>
          <w:rFonts w:eastAsia="黑体" w:ascii="SimHei" w:hAnsi="SimHei"/>
          <w:sz w:val="24"/>
          <w:szCs w:val="24"/>
          <w:lang w:val="en-US" w:eastAsia="en-US"/>
        </w:rPr>
      </w:r>
      <w:r>
        <w:rPr>
          <w:sz w:val="24"/>
          <w:szCs w:val="24"/>
          <w:rFonts w:eastAsia="黑体" w:ascii="SimHei" w:hAnsi="SimHei"/>
          <w:lang w:val="en-US" w:eastAsia="en-US"/>
        </w:rPr>
      </w:r>
      <w:r>
        <w:rPr>
          <w:rFonts w:eastAsia="黑体" w:ascii="SimHei" w:hAnsi="SimHei"/>
          <w:sz w:val="24"/>
          <w:szCs w:val="24"/>
          <w:lang w:val="en-US" w:eastAsia="en-US"/>
        </w:rPr>
        <w:t>iii</w:t>
      </w:r>
      <w:r>
        <w:rPr>
          <w:rFonts w:eastAsia="黑体" w:ascii="SimHei" w:hAnsi="SimHei"/>
          <w:sz w:val="24"/>
          <w:szCs w:val="24"/>
          <w:lang w:val="en-US" w:eastAsia="en-US"/>
        </w:rPr>
      </w:r>
      <w:r>
        <w:rPr>
          <w:sz w:val="24"/>
          <w:szCs w:val="24"/>
          <w:rFonts w:eastAsia="黑体" w:ascii="SimHei" w:hAnsi="SimHei"/>
          <w:lang w:val="en-US" w:eastAsia="en-US"/>
        </w:rPr>
      </w:r>
      <w:r>
        <w:rPr>
          <w:rFonts w:ascii="SimHei" w:hAnsi="SimHei" w:eastAsia="黑体"/>
          <w:sz w:val="24"/>
          <w:szCs w:val="24"/>
        </w:rPr>
        <w:t>、如该员工现薪酬（不包括工龄分位值、职称分位值）超过上一水平等级对应职等</w:t>
      </w:r>
      <w:r>
        <w:rPr>
          <w:rFonts w:eastAsia="黑体" w:ascii="SimHei" w:hAnsi="SimHei"/>
          <w:sz w:val="24"/>
          <w:szCs w:val="24"/>
        </w:rPr>
        <w:t>0</w:t>
      </w:r>
      <w:r>
        <w:rPr>
          <w:rFonts w:ascii="SimHei" w:hAnsi="SimHei" w:eastAsia="黑体"/>
          <w:sz w:val="24"/>
          <w:szCs w:val="24"/>
        </w:rPr>
        <w:t>分位薪酬标准的，按现薪酬折算到上一水平等级对应职等的相应分位值，然后进行年度薪酬分位值调整，最高不超过该员工现任职位的职位标准职等</w:t>
      </w:r>
      <w:r>
        <w:rPr>
          <w:rFonts w:eastAsia="黑体" w:ascii="SimHei" w:hAnsi="SimHei"/>
          <w:sz w:val="24"/>
          <w:szCs w:val="24"/>
        </w:rPr>
        <w:t>50</w:t>
      </w:r>
      <w:r>
        <w:rPr>
          <w:rFonts w:ascii="SimHei" w:hAnsi="SimHei" w:eastAsia="黑体"/>
          <w:sz w:val="24"/>
          <w:szCs w:val="24"/>
        </w:rPr>
        <w:t>分位（不包括工龄分位值、职称分位值）。</w:t>
      </w:r>
    </w:p>
    <w:p>
      <w:pPr>
        <w:pStyle w:val="3"/>
        <w:spacing w:before="0" w:after="0"/>
        <w:ind w:start="0" w:firstLine="480"/>
        <w:rPr>
          <w:rFonts w:ascii="仿宋_GB2312;微软雅黑" w:hAnsi="仿宋_GB2312;微软雅黑" w:eastAsia="仿宋_GB2312;微软雅黑"/>
          <w:sz w:val="24"/>
          <w:szCs w:val="24"/>
        </w:rPr>
      </w:pPr>
      <w:r>
        <w:rPr>
          <w:rFonts w:eastAsia="黑体" w:ascii="SimHei" w:hAnsi="SimHei"/>
          <w:sz w:val="24"/>
          <w:szCs w:val="24"/>
        </w:rPr>
        <w:t>2</w:t>
      </w:r>
      <w:r>
        <w:rPr>
          <w:rFonts w:ascii="SimHei" w:hAnsi="SimHei" w:eastAsia="黑体"/>
          <w:sz w:val="24"/>
          <w:szCs w:val="24"/>
        </w:rPr>
        <w:t>、员工个人职位水平等级等于现任职位标准级，正常调整的：</w:t>
      </w:r>
    </w:p>
    <w:p>
      <w:pPr>
        <w:pStyle w:val="3"/>
        <w:spacing w:before="0" w:after="0"/>
        <w:ind w:start="1" w:firstLine="480"/>
        <w:rPr/>
      </w:pPr>
      <w:r>
        <w:rPr>
          <w:rFonts w:ascii="SimHei" w:hAnsi="SimHei" w:eastAsia="黑体"/>
          <w:sz w:val="24"/>
          <w:szCs w:val="24"/>
        </w:rPr>
        <w:t>如员工现薪酬分位值（不包括工龄分位值、职称分位值）低于该职位标准职等</w:t>
      </w:r>
      <w:r>
        <w:rPr>
          <w:rFonts w:eastAsia="黑体" w:ascii="SimHei" w:hAnsi="SimHei"/>
          <w:sz w:val="24"/>
          <w:szCs w:val="24"/>
        </w:rPr>
        <w:t>50</w:t>
      </w:r>
      <w:r>
        <w:rPr>
          <w:rFonts w:ascii="SimHei" w:hAnsi="SimHei" w:eastAsia="黑体"/>
          <w:sz w:val="24"/>
          <w:szCs w:val="24"/>
        </w:rPr>
        <w:t>分位的，根据员工绩效结果</w:t>
      </w:r>
      <w:r>
        <w:rPr>
          <w:rFonts w:eastAsia="黑体" w:ascii="SimHei" w:hAnsi="SimHei"/>
          <w:sz w:val="24"/>
          <w:szCs w:val="24"/>
        </w:rPr>
        <w:t>,</w:t>
      </w:r>
      <w:r>
        <w:rPr>
          <w:rFonts w:ascii="SimHei" w:hAnsi="SimHei" w:eastAsia="黑体"/>
          <w:sz w:val="24"/>
          <w:szCs w:val="24"/>
        </w:rPr>
        <w:t>进行年度薪酬分位值调整，最高不超过该职位标准职等</w:t>
      </w:r>
      <w:r>
        <w:rPr>
          <w:rFonts w:eastAsia="黑体" w:ascii="SimHei" w:hAnsi="SimHei"/>
          <w:sz w:val="24"/>
          <w:szCs w:val="24"/>
        </w:rPr>
        <w:t>50</w:t>
      </w:r>
      <w:r>
        <w:rPr>
          <w:rFonts w:ascii="SimHei" w:hAnsi="SimHei" w:eastAsia="黑体"/>
          <w:sz w:val="24"/>
          <w:szCs w:val="24"/>
        </w:rPr>
        <w:t>分位（不包括工龄分位值、职称分位值）；</w:t>
      </w:r>
    </w:p>
    <w:p>
      <w:pPr>
        <w:pStyle w:val="3"/>
        <w:spacing w:before="0" w:after="0"/>
        <w:ind w:start="1" w:firstLine="480"/>
        <w:rPr/>
      </w:pPr>
      <w:r>
        <w:rPr>
          <w:rFonts w:ascii="SimHei" w:hAnsi="SimHei" w:eastAsia="黑体"/>
          <w:sz w:val="24"/>
          <w:szCs w:val="24"/>
        </w:rPr>
        <w:t>如员工现薪酬分位值（不包括工龄分位值、职称分位值）已等于或高于该职位标准职等</w:t>
      </w:r>
      <w:r>
        <w:rPr>
          <w:rFonts w:eastAsia="黑体" w:ascii="SimHei" w:hAnsi="SimHei"/>
          <w:sz w:val="24"/>
          <w:szCs w:val="24"/>
        </w:rPr>
        <w:t>50</w:t>
      </w:r>
      <w:r>
        <w:rPr>
          <w:rFonts w:ascii="SimHei" w:hAnsi="SimHei" w:eastAsia="黑体"/>
          <w:sz w:val="24"/>
          <w:szCs w:val="24"/>
        </w:rPr>
        <w:t>分位的，不再按绩效结果进行年度薪酬分位值调整。</w:t>
      </w:r>
    </w:p>
    <w:p>
      <w:pPr>
        <w:pStyle w:val="3"/>
        <w:spacing w:before="0" w:after="0"/>
        <w:ind w:start="1" w:firstLine="480"/>
        <w:rPr>
          <w:rFonts w:ascii="仿宋_GB2312;微软雅黑" w:hAnsi="仿宋_GB2312;微软雅黑" w:eastAsia="仿宋_GB2312;微软雅黑"/>
          <w:sz w:val="24"/>
          <w:szCs w:val="24"/>
        </w:rPr>
      </w:pPr>
      <w:r>
        <w:rPr>
          <w:rFonts w:eastAsia="黑体" w:ascii="SimHei" w:hAnsi="SimHei"/>
          <w:sz w:val="24"/>
          <w:szCs w:val="24"/>
        </w:rPr>
        <w:t>3</w:t>
      </w:r>
      <w:r>
        <w:rPr>
          <w:rFonts w:ascii="SimHei" w:hAnsi="SimHei" w:eastAsia="黑体"/>
          <w:sz w:val="24"/>
          <w:szCs w:val="24"/>
        </w:rPr>
        <w:t>、员工个人职位水平等级下调的：</w:t>
      </w:r>
    </w:p>
    <w:p>
      <w:pPr>
        <w:pStyle w:val="Normal"/>
        <w:snapToGrid w:val="false"/>
        <w:ind w:firstLine="480"/>
        <w:rPr/>
      </w:pPr>
      <w:r>
        <w:rPr>
          <w:rFonts w:ascii="SimHei" w:hAnsi="SimHei" w:eastAsia="黑体"/>
          <w:sz w:val="24"/>
        </w:rPr>
        <w:t>该员工工作年限不满五年的，从次月起按新职位水平等级定等；工作年限满五年、不满十年的</w:t>
      </w:r>
      <w:r>
        <w:rPr>
          <w:rFonts w:eastAsia="黑体" w:ascii="SimHei" w:hAnsi="SimHei"/>
          <w:sz w:val="24"/>
        </w:rPr>
        <w:t>,</w:t>
      </w:r>
      <w:r>
        <w:rPr>
          <w:rFonts w:ascii="SimHei" w:hAnsi="SimHei" w:eastAsia="黑体"/>
          <w:sz w:val="24"/>
        </w:rPr>
        <w:t>从次月起逐年降一等，直至新职位水平等级职等；工作年限满十年的，第一年保持原职位水平等级职等不变一年，从次年一年期满的次月起逐年降一等</w:t>
      </w:r>
      <w:r>
        <w:rPr>
          <w:rFonts w:eastAsia="黑体" w:ascii="SimHei" w:hAnsi="SimHei"/>
          <w:sz w:val="24"/>
        </w:rPr>
        <w:t>,</w:t>
      </w:r>
      <w:r>
        <w:rPr>
          <w:rFonts w:ascii="SimHei" w:hAnsi="SimHei" w:eastAsia="黑体"/>
          <w:sz w:val="24"/>
        </w:rPr>
        <w:t>直至新职位水平等级职等。</w:t>
      </w:r>
    </w:p>
    <w:p>
      <w:pPr>
        <w:pStyle w:val="3"/>
        <w:spacing w:before="0" w:after="0"/>
        <w:ind w:start="1" w:firstLine="480"/>
        <w:rPr>
          <w:rFonts w:ascii="仿宋_GB2312;微软雅黑" w:hAnsi="仿宋_GB2312;微软雅黑" w:eastAsia="仿宋_GB2312;微软雅黑"/>
          <w:sz w:val="24"/>
          <w:szCs w:val="24"/>
        </w:rPr>
      </w:pPr>
      <w:r>
        <w:rPr>
          <w:rFonts w:ascii="SimHei" w:hAnsi="SimHei" w:eastAsia="黑体"/>
          <w:sz w:val="24"/>
          <w:szCs w:val="24"/>
        </w:rPr>
        <w:t>该员工薪酬分位值不变。</w:t>
      </w:r>
    </w:p>
    <w:p>
      <w:pPr>
        <w:pStyle w:val="Normal"/>
        <w:snapToGrid w:val="false"/>
        <w:ind w:firstLine="480"/>
        <w:rPr>
          <w:rFonts w:ascii="仿宋_GB2312;微软雅黑" w:hAnsi="仿宋_GB2312;微软雅黑" w:eastAsia="仿宋_GB2312;微软雅黑"/>
          <w:sz w:val="24"/>
        </w:rPr>
      </w:pPr>
      <w:r>
        <w:rPr>
          <w:rFonts w:ascii="SimHei" w:hAnsi="SimHei" w:eastAsia="黑体"/>
          <w:sz w:val="24"/>
        </w:rPr>
        <w:t>（二）标准级与高级水平等级之间的调整</w:t>
      </w:r>
    </w:p>
    <w:p>
      <w:pPr>
        <w:pStyle w:val="Normal"/>
        <w:snapToGrid w:val="false"/>
        <w:ind w:firstLine="480"/>
        <w:rPr>
          <w:rFonts w:ascii="仿宋_GB2312;微软雅黑" w:hAnsi="仿宋_GB2312;微软雅黑" w:eastAsia="仿宋_GB2312;微软雅黑"/>
          <w:sz w:val="24"/>
        </w:rPr>
      </w:pPr>
      <w:r>
        <w:rPr>
          <w:rFonts w:ascii="SimHei" w:hAnsi="SimHei" w:eastAsia="黑体"/>
          <w:sz w:val="24"/>
        </w:rPr>
        <w:t>标准级晋升为高级水平等级一般通过竞聘的方式进行，比例原则控制在达到职位标准级水平等级人员的</w:t>
      </w:r>
      <w:r>
        <w:rPr>
          <w:rFonts w:eastAsia="黑体" w:ascii="SimHei" w:hAnsi="SimHei"/>
          <w:sz w:val="24"/>
        </w:rPr>
        <w:t>15%</w:t>
      </w:r>
      <w:r>
        <w:rPr>
          <w:rFonts w:ascii="SimHei" w:hAnsi="SimHei" w:eastAsia="黑体"/>
          <w:sz w:val="24"/>
        </w:rPr>
        <w:t>以内，聘期一年，该员工的个人水平等级从聘任的次月起调整，绩效分位值不变。</w:t>
      </w:r>
    </w:p>
    <w:p>
      <w:pPr>
        <w:pStyle w:val="Normal"/>
        <w:snapToGrid w:val="false"/>
        <w:ind w:firstLine="480"/>
        <w:rPr>
          <w:rFonts w:ascii="仿宋_GB2312;微软雅黑" w:hAnsi="仿宋_GB2312;微软雅黑" w:eastAsia="仿宋_GB2312;微软雅黑"/>
          <w:sz w:val="24"/>
        </w:rPr>
      </w:pPr>
      <w:r>
        <w:rPr>
          <w:rFonts w:ascii="SimHei" w:hAnsi="SimHei" w:eastAsia="黑体"/>
          <w:sz w:val="24"/>
        </w:rPr>
        <w:t>同时符合下列所有条件的人员，具备标准级调整到高级的基本条件：</w:t>
      </w:r>
    </w:p>
    <w:p>
      <w:pPr>
        <w:pStyle w:val="Normal"/>
        <w:snapToGrid w:val="false"/>
        <w:ind w:firstLine="480"/>
        <w:rPr>
          <w:rFonts w:ascii="仿宋_GB2312;微软雅黑" w:hAnsi="仿宋_GB2312;微软雅黑" w:eastAsia="仿宋_GB2312;微软雅黑"/>
          <w:sz w:val="24"/>
        </w:rPr>
      </w:pPr>
      <w:r>
        <w:rPr>
          <w:rFonts w:ascii="SimHei" w:hAnsi="SimHei" w:eastAsia="黑体"/>
          <w:sz w:val="24"/>
        </w:rPr>
        <w:t>（</w:t>
      </w:r>
      <w:r>
        <w:rPr>
          <w:rFonts w:eastAsia="黑体" w:ascii="SimHei" w:hAnsi="SimHei"/>
          <w:sz w:val="24"/>
        </w:rPr>
        <w:t>1</w:t>
      </w:r>
      <w:r>
        <w:rPr>
          <w:rFonts w:ascii="SimHei" w:hAnsi="SimHei" w:eastAsia="黑体"/>
          <w:sz w:val="24"/>
        </w:rPr>
        <w:t>）在本职位标准级工作满一年以上。</w:t>
      </w:r>
    </w:p>
    <w:p>
      <w:pPr>
        <w:pStyle w:val="Normal"/>
        <w:snapToGrid w:val="false"/>
        <w:ind w:firstLine="480"/>
        <w:rPr>
          <w:rFonts w:ascii="仿宋_GB2312;微软雅黑" w:hAnsi="仿宋_GB2312;微软雅黑" w:eastAsia="仿宋_GB2312;微软雅黑"/>
          <w:sz w:val="24"/>
        </w:rPr>
      </w:pPr>
      <w:r>
        <w:rPr>
          <w:rFonts w:ascii="SimHei" w:hAnsi="SimHei" w:eastAsia="黑体"/>
          <w:sz w:val="24"/>
        </w:rPr>
        <w:t>（</w:t>
      </w:r>
      <w:r>
        <w:rPr>
          <w:rFonts w:eastAsia="黑体" w:ascii="SimHei" w:hAnsi="SimHei"/>
          <w:sz w:val="24"/>
        </w:rPr>
        <w:t>2</w:t>
      </w:r>
      <w:r>
        <w:rPr>
          <w:rFonts w:ascii="SimHei" w:hAnsi="SimHei" w:eastAsia="黑体"/>
          <w:sz w:val="24"/>
        </w:rPr>
        <w:t>）</w:t>
      </w:r>
      <w:r>
        <w:rPr>
          <w:rFonts w:ascii="SimHei" w:hAnsi="SimHei" w:eastAsia="黑体"/>
          <w:bCs/>
          <w:sz w:val="24"/>
        </w:rPr>
        <w:t>上年度绩效考核良好以上。</w:t>
      </w:r>
    </w:p>
    <w:p>
      <w:pPr>
        <w:pStyle w:val="Normal"/>
        <w:snapToGrid w:val="false"/>
        <w:ind w:firstLine="480"/>
        <w:rPr/>
      </w:pPr>
      <w:r>
        <w:rPr>
          <w:rFonts w:ascii="SimHei" w:hAnsi="SimHei" w:eastAsia="黑体"/>
          <w:sz w:val="24"/>
        </w:rPr>
        <w:t>其中省公司标准职等为</w:t>
      </w:r>
      <w:r>
        <w:rPr>
          <w:rFonts w:eastAsia="黑体" w:ascii="SimHei" w:hAnsi="SimHei"/>
          <w:sz w:val="24"/>
        </w:rPr>
        <w:t>8</w:t>
      </w:r>
      <w:r>
        <w:rPr>
          <w:rFonts w:ascii="SimHei" w:hAnsi="SimHei" w:eastAsia="黑体"/>
          <w:sz w:val="24"/>
        </w:rPr>
        <w:t>等及以上、分公司标准职等为</w:t>
      </w:r>
      <w:r>
        <w:rPr>
          <w:rFonts w:eastAsia="黑体" w:ascii="SimHei" w:hAnsi="SimHei"/>
          <w:sz w:val="24"/>
        </w:rPr>
        <w:t>7</w:t>
      </w:r>
      <w:r>
        <w:rPr>
          <w:rFonts w:ascii="SimHei" w:hAnsi="SimHei" w:eastAsia="黑体"/>
          <w:sz w:val="24"/>
        </w:rPr>
        <w:t>等及以上的职位标准级与高级水平等级之间的调整按照公司专业技术通道职位竞聘管理办法规定执行。</w:t>
      </w:r>
    </w:p>
    <w:p>
      <w:pPr>
        <w:pStyle w:val="Normal"/>
        <w:snapToGrid w:val="false"/>
        <w:ind w:firstLine="470"/>
        <w:rPr>
          <w:rFonts w:ascii="仿宋_GB2312;微软雅黑" w:hAnsi="仿宋_GB2312;微软雅黑" w:eastAsia="仿宋_GB2312;微软雅黑"/>
          <w:bCs/>
          <w:sz w:val="24"/>
        </w:rPr>
      </w:pPr>
      <w:r>
        <w:rPr>
          <w:rFonts w:ascii="SimHei" w:hAnsi="SimHei" w:eastAsia="黑体"/>
          <w:bCs/>
          <w:sz w:val="24"/>
        </w:rPr>
        <w:t>省公司</w:t>
      </w:r>
      <w:r>
        <w:rPr>
          <w:rFonts w:eastAsia="黑体" w:ascii="SimHei" w:hAnsi="SimHei"/>
          <w:bCs/>
          <w:sz w:val="24"/>
        </w:rPr>
        <w:t>8</w:t>
      </w:r>
      <w:r>
        <w:rPr>
          <w:rFonts w:ascii="SimHei" w:hAnsi="SimHei" w:eastAsia="黑体"/>
          <w:bCs/>
          <w:sz w:val="24"/>
        </w:rPr>
        <w:t>等以下、分公司</w:t>
      </w:r>
      <w:r>
        <w:rPr>
          <w:rFonts w:eastAsia="黑体" w:ascii="SimHei" w:hAnsi="SimHei"/>
          <w:bCs/>
          <w:sz w:val="24"/>
        </w:rPr>
        <w:t>7</w:t>
      </w:r>
      <w:r>
        <w:rPr>
          <w:rFonts w:ascii="SimHei" w:hAnsi="SimHei" w:eastAsia="黑体"/>
          <w:bCs/>
          <w:sz w:val="24"/>
        </w:rPr>
        <w:t>等以下职位标准级与高级之间的晋升，省公司将晋升指标分配给每个部门，部门通过内部竞聘方式确定人选；分公司在指标范围内组织实施。</w:t>
      </w:r>
    </w:p>
    <w:p>
      <w:pPr>
        <w:pStyle w:val="Normal"/>
        <w:snapToGrid w:val="false"/>
        <w:ind w:firstLine="480"/>
        <w:rPr/>
      </w:pPr>
      <w:r>
        <w:rPr>
          <w:rFonts w:ascii="SimHei" w:hAnsi="SimHei" w:eastAsia="黑体"/>
          <w:sz w:val="24"/>
        </w:rPr>
        <w:t>（三）员工年度绩效考核结果欠佳，员工职位水平等级降一级，个人职等对应降一等，薪酬分位值降至对应职等相同分位值。</w:t>
      </w:r>
    </w:p>
    <w:p>
      <w:pPr>
        <w:pStyle w:val="Normal"/>
        <w:snapToGrid w:val="false"/>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pPr>
      <w:r>
        <w:rPr>
          <w:rFonts w:ascii="SimHei" w:hAnsi="SimHei" w:eastAsia="黑体"/>
          <w:b/>
          <w:sz w:val="24"/>
        </w:rPr>
        <w:t>二、员工职位变化情况下，职位水平等级</w:t>
      </w:r>
      <w:r>
        <w:rPr>
          <w:rFonts w:eastAsia="黑体" w:ascii="SimHei" w:hAnsi="SimHei"/>
          <w:b/>
          <w:sz w:val="24"/>
        </w:rPr>
        <w:t>/</w:t>
      </w:r>
      <w:r>
        <w:rPr>
          <w:rFonts w:ascii="SimHei" w:hAnsi="SimHei" w:eastAsia="黑体"/>
          <w:b/>
          <w:sz w:val="24"/>
        </w:rPr>
        <w:t>个人职等调整：</w:t>
      </w:r>
    </w:p>
    <w:p>
      <w:pPr>
        <w:pStyle w:val="Normal"/>
        <w:snapToGrid w:val="false"/>
        <w:ind w:firstLine="480"/>
        <w:rPr/>
      </w:pPr>
      <w:r>
        <w:rPr>
          <w:rFonts w:eastAsia="黑体" w:ascii="SimHei" w:hAnsi="SimHei"/>
          <w:sz w:val="24"/>
        </w:rPr>
        <w:t>1</w:t>
      </w:r>
      <w:r>
        <w:rPr>
          <w:rFonts w:ascii="SimHei" w:hAnsi="SimHei" w:eastAsia="黑体"/>
          <w:sz w:val="24"/>
        </w:rPr>
        <w:t>、标准职等相同的不同职位之间调整，套用个人原职等对应水平等级。</w:t>
      </w:r>
    </w:p>
    <w:p>
      <w:pPr>
        <w:pStyle w:val="Normal"/>
        <w:snapToGrid w:val="false"/>
        <w:ind w:firstLine="480"/>
        <w:rPr/>
      </w:pPr>
      <w:r>
        <w:rPr>
          <w:rFonts w:eastAsia="黑体" w:ascii="SimHei" w:hAnsi="SimHei"/>
          <w:sz w:val="24"/>
        </w:rPr>
        <w:t>2</w:t>
      </w:r>
      <w:r>
        <w:rPr>
          <w:rFonts w:ascii="SimHei" w:hAnsi="SimHei" w:eastAsia="黑体"/>
          <w:sz w:val="24"/>
        </w:rPr>
        <w:t>、由低职等职位变动为高职等职位的，个人职等当年保持不变，如个人原职等与新职位各水平等级对应职等有重合的，套用原个人职等对应水平等级；如个人原职等与新职位各水平等级对应职等没有重合的，个人职位水平等级暂不确定；待当年完整绩效考核年度结果出来后，在次年根据绩效结果进行调整薪酬分位值，逐步调整到位（按第十八条一、（一）、</w:t>
      </w:r>
      <w:r>
        <w:rPr>
          <w:rFonts w:eastAsia="黑体" w:ascii="SimHei" w:hAnsi="SimHei"/>
          <w:sz w:val="24"/>
        </w:rPr>
        <w:t>1</w:t>
      </w:r>
      <w:r>
        <w:rPr>
          <w:rFonts w:ascii="SimHei" w:hAnsi="SimHei" w:eastAsia="黑体"/>
          <w:sz w:val="24"/>
        </w:rPr>
        <w:t>条规定执行）。</w:t>
      </w:r>
    </w:p>
    <w:p>
      <w:pPr>
        <w:pStyle w:val="Normal"/>
        <w:snapToGrid w:val="false"/>
        <w:ind w:firstLine="480"/>
        <w:rPr/>
      </w:pPr>
      <w:r>
        <w:rPr>
          <w:rFonts w:eastAsia="黑体" w:ascii="SimHei" w:hAnsi="SimHei"/>
          <w:sz w:val="24"/>
        </w:rPr>
        <w:t>3</w:t>
      </w:r>
      <w:r>
        <w:rPr>
          <w:rFonts w:ascii="SimHei" w:hAnsi="SimHei" w:eastAsia="黑体"/>
          <w:sz w:val="24"/>
        </w:rPr>
        <w:t>、由高职等职位变动为低职等职位的，如个人原职等与新职位各水平等级对应职等有重合的，套用个人原职等对应新职位相应水平等级；如个人原职等与新职位各水平等级对应职等没有重合的，执行新职位的高级（均按第十八条一、（一）、</w:t>
      </w:r>
      <w:r>
        <w:rPr>
          <w:rFonts w:eastAsia="黑体" w:ascii="SimHei" w:hAnsi="SimHei"/>
          <w:sz w:val="24"/>
        </w:rPr>
        <w:t>3</w:t>
      </w:r>
      <w:r>
        <w:rPr>
          <w:rFonts w:ascii="SimHei" w:hAnsi="SimHei" w:eastAsia="黑体"/>
          <w:sz w:val="24"/>
        </w:rPr>
        <w:t>条逐步调整到位；因工作失职等降职而职位调整的按相关规定执行）。</w:t>
      </w:r>
    </w:p>
    <w:p>
      <w:pPr>
        <w:pStyle w:val="3"/>
        <w:snapToGrid w:val="false"/>
        <w:spacing w:before="0" w:after="0"/>
        <w:ind w:start="1" w:firstLine="524"/>
        <w:rPr>
          <w:rFonts w:ascii="仿宋_GB2312;微软雅黑" w:hAnsi="仿宋_GB2312;微软雅黑" w:eastAsia="仿宋_GB2312;微软雅黑"/>
          <w:sz w:val="24"/>
          <w:szCs w:val="24"/>
        </w:rPr>
      </w:pPr>
      <w:r>
        <w:rPr>
          <w:rFonts w:eastAsia="黑体" w:ascii="SimHei" w:hAnsi="SimHei"/>
          <w:sz w:val="24"/>
          <w:szCs w:val="24"/>
        </w:rPr>
      </w:r>
    </w:p>
    <w:p>
      <w:pPr>
        <w:pStyle w:val="Normal"/>
        <w:jc w:val="center"/>
        <w:rPr>
          <w:rFonts w:ascii="仿宋_GB2312;微软雅黑" w:hAnsi="仿宋_GB2312;微软雅黑" w:eastAsia="仿宋_GB2312;微软雅黑"/>
          <w:b/>
          <w:b/>
          <w:sz w:val="24"/>
          <w:szCs w:val="24"/>
        </w:rPr>
      </w:pPr>
      <w:r>
        <w:rPr>
          <w:rFonts w:eastAsia="黑体" w:ascii="SimHei" w:hAnsi="SimHei"/>
          <w:b/>
          <w:sz w:val="24"/>
          <w:szCs w:val="24"/>
        </w:rPr>
      </w:r>
    </w:p>
    <w:p>
      <w:pPr>
        <w:pStyle w:val="Normal"/>
        <w:jc w:val="center"/>
        <w:rPr>
          <w:rFonts w:ascii="仿宋_GB2312;微软雅黑" w:hAnsi="仿宋_GB2312;微软雅黑" w:eastAsia="仿宋_GB2312;微软雅黑"/>
          <w:b/>
          <w:b/>
          <w:sz w:val="24"/>
        </w:rPr>
      </w:pPr>
      <w:r>
        <w:rPr>
          <w:rFonts w:ascii="SimHei" w:hAnsi="SimHei" w:eastAsia="黑体"/>
          <w:b/>
          <w:sz w:val="24"/>
        </w:rPr>
        <w:t>第五章  附则</w:t>
      </w:r>
    </w:p>
    <w:p>
      <w:pPr>
        <w:pStyle w:val="Normal"/>
        <w:ind w:firstLine="480"/>
        <w:rPr/>
      </w:pPr>
      <w:r>
        <w:rPr>
          <w:rFonts w:ascii="SimHei" w:hAnsi="SimHei" w:eastAsia="黑体"/>
          <w:b/>
          <w:sz w:val="24"/>
        </w:rPr>
        <w:t>第十九条  其它</w:t>
      </w:r>
    </w:p>
    <w:p>
      <w:pPr>
        <w:pStyle w:val="Normal"/>
        <w:snapToGrid w:val="false"/>
        <w:ind w:firstLine="480"/>
        <w:rPr/>
      </w:pPr>
      <w:r>
        <w:rPr>
          <w:rFonts w:ascii="SimHei" w:hAnsi="SimHei" w:eastAsia="黑体"/>
          <w:sz w:val="24"/>
        </w:rPr>
        <w:t>（一）如本办法与公司其他文件规定相冲突的，按本办法执行。</w:t>
      </w:r>
    </w:p>
    <w:p>
      <w:pPr>
        <w:pStyle w:val="Normal"/>
        <w:ind w:firstLine="480"/>
        <w:rPr/>
      </w:pPr>
      <w:r>
        <w:rPr>
          <w:rFonts w:ascii="SimHei" w:hAnsi="SimHei" w:eastAsia="黑体"/>
          <w:sz w:val="24"/>
        </w:rPr>
        <w:t>（二）中层实职退出人员等有特殊规定的按相关规定执行。</w:t>
      </w:r>
    </w:p>
    <w:p>
      <w:pPr>
        <w:pStyle w:val="Normal"/>
        <w:ind w:firstLine="480"/>
        <w:rPr/>
      </w:pPr>
      <w:r>
        <w:rPr>
          <w:rFonts w:ascii="SimHei" w:hAnsi="SimHei" w:eastAsia="黑体"/>
          <w:sz w:val="24"/>
        </w:rPr>
        <w:t>某集团有关规定执行。</w:t>
      </w:r>
    </w:p>
    <w:p>
      <w:pPr>
        <w:pStyle w:val="Normal"/>
        <w:ind w:firstLine="480"/>
        <w:rPr/>
      </w:pPr>
      <w:r>
        <w:rPr>
          <w:rFonts w:ascii="SimHei" w:hAnsi="SimHei" w:eastAsia="黑体"/>
          <w:sz w:val="24"/>
        </w:rPr>
        <w:t>（四）本办法解释权属省公司人力资源部。</w:t>
      </w:r>
    </w:p>
    <w:p>
      <w:pPr>
        <w:pStyle w:val="Normal"/>
        <w:tabs>
          <w:tab w:val="clear" w:pos="420"/>
          <w:tab w:val="left" w:pos="840" w:leader="none"/>
        </w:tabs>
        <w:snapToGrid w:val="false"/>
        <w:ind w:firstLine="480"/>
        <w:rPr/>
      </w:pPr>
      <w:r>
        <w:rPr>
          <w:rFonts w:ascii="SimHei" w:hAnsi="SimHei" w:eastAsia="黑体"/>
          <w:sz w:val="24"/>
        </w:rPr>
        <w:t>（五）本办法自发文之日起实施。</w:t>
      </w:r>
    </w:p>
    <w:p>
      <w:pPr>
        <w:pStyle w:val="Normal"/>
        <w:ind w:firstLine="480"/>
        <w:rPr>
          <w:rFonts w:ascii="仿宋_GB2312;微软雅黑" w:hAnsi="仿宋_GB2312;微软雅黑" w:eastAsia="仿宋_GB2312;微软雅黑" w:cs="宋体;SimSun"/>
          <w:sz w:val="24"/>
        </w:rPr>
      </w:pPr>
      <w:r>
        <w:rPr>
          <w:rFonts w:eastAsia="黑体" w:cs="宋体;SimSun" w:ascii="SimHei" w:hAnsi="SimHei"/>
          <w:sz w:val="24"/>
        </w:rPr>
      </w:r>
    </w:p>
    <w:p>
      <w:pPr>
        <w:pStyle w:val="Normal"/>
        <w:ind w:firstLine="480"/>
        <w:rPr>
          <w:rFonts w:ascii="仿宋_GB2312;微软雅黑" w:hAnsi="仿宋_GB2312;微软雅黑" w:eastAsia="仿宋_GB2312;微软雅黑" w:cs="宋体;SimSun"/>
          <w:sz w:val="24"/>
        </w:rPr>
      </w:pPr>
      <w:r>
        <w:rPr>
          <w:rFonts w:eastAsia="黑体" w:cs="宋体;SimSun" w:ascii="SimHei" w:hAnsi="SimHei"/>
          <w:sz w:val="24"/>
        </w:rPr>
      </w:r>
    </w:p>
    <w:p>
      <w:pPr>
        <w:pStyle w:val="Normal"/>
        <w:ind w:firstLine="480"/>
        <w:rPr>
          <w:rFonts w:ascii="仿宋_GB2312;微软雅黑" w:hAnsi="仿宋_GB2312;微软雅黑" w:eastAsia="仿宋_GB2312;微软雅黑" w:cs="宋体;SimSun"/>
          <w:sz w:val="24"/>
        </w:rPr>
      </w:pPr>
      <w:r>
        <w:rPr>
          <w:rFonts w:eastAsia="黑体" w:cs="宋体;SimSun"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ind w:firstLine="480"/>
        <w:rPr>
          <w:rFonts w:ascii="仿宋_GB2312;微软雅黑" w:hAnsi="仿宋_GB2312;微软雅黑" w:eastAsia="仿宋_GB2312;微软雅黑"/>
          <w:sz w:val="24"/>
        </w:rPr>
      </w:pPr>
      <w:r>
        <w:rPr>
          <w:rFonts w:eastAsia="黑体" w:ascii="SimHei" w:hAnsi="SimHei"/>
          <w:sz w:val="24"/>
        </w:rPr>
      </w:r>
    </w:p>
    <w:p>
      <w:pPr>
        <w:pStyle w:val="Normal"/>
        <w:snapToGrid w:val="false"/>
        <w:spacing w:lineRule="exact" w:line="480"/>
        <w:rPr/>
      </w:pPr>
      <w:r>
        <w:rPr>
          <w:rFonts w:ascii="SimHei" w:hAnsi="SimHei" w:cs="宋体;SimSun" w:eastAsia="黑体"/>
          <w:spacing w:val="20"/>
          <w:sz w:val="24"/>
        </w:rPr>
        <w:t>附件一：</w:t>
      </w:r>
    </w:p>
    <w:p>
      <w:pPr>
        <w:pStyle w:val="Normal"/>
        <w:snapToGrid w:val="false"/>
        <w:spacing w:lineRule="exact" w:line="400"/>
        <w:ind w:start="720" w:firstLine="560"/>
        <w:rPr/>
      </w:pPr>
      <w:r>
        <w:rPr>
          <w:rFonts w:cs="宋体;SimSun" w:ascii="SimHei" w:hAnsi="SimHei" w:eastAsia="黑体"/>
        </w:rPr>
        <w:t xml:space="preserve">                                      </w:t>
      </w:r>
      <w:r>
        <w:rPr>
          <w:rFonts w:ascii="SimHei" w:hAnsi="SimHei" w:eastAsia="黑体"/>
        </w:rPr>
        <w:t>单位：年</w:t>
      </w:r>
    </w:p>
    <w:tbl>
      <w:tblPr>
        <w:tblW w:w="8835" w:type="dxa"/>
        <w:jc w:val="start"/>
        <w:tblInd w:w="-15" w:type="dxa"/>
        <w:tblLayout w:type="fixed"/>
        <w:tblCellMar>
          <w:top w:w="0" w:type="dxa"/>
          <w:start w:w="0" w:type="dxa"/>
          <w:bottom w:w="0" w:type="dxa"/>
          <w:end w:w="0" w:type="dxa"/>
        </w:tblCellMar>
      </w:tblPr>
      <w:tblGrid>
        <w:gridCol w:w="1065"/>
        <w:gridCol w:w="1575"/>
        <w:gridCol w:w="1470"/>
        <w:gridCol w:w="1470"/>
        <w:gridCol w:w="1470"/>
        <w:gridCol w:w="1785"/>
      </w:tblGrid>
      <w:tr>
        <w:trPr>
          <w:trHeight w:val="270" w:hRule="atLeast"/>
        </w:trPr>
        <w:tc>
          <w:tcPr>
            <w:tcW w:w="1065" w:type="dxa"/>
            <w:vMerge w:val="restart"/>
            <w:tcBorders>
              <w:top w:val="single" w:sz="4" w:space="0" w:color="000000"/>
              <w:start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ascii="SimHei" w:hAnsi="SimHei" w:cs="宋体;SimSun" w:eastAsia="黑体"/>
                <w:spacing w:val="20"/>
                <w:sz w:val="24"/>
              </w:rPr>
              <w:t>职等</w:t>
            </w:r>
          </w:p>
        </w:tc>
        <w:tc>
          <w:tcPr>
            <w:tcW w:w="7770" w:type="dxa"/>
            <w:gridSpan w:val="5"/>
            <w:tcBorders>
              <w:top w:val="single" w:sz="4" w:space="0" w:color="000000"/>
              <w:start w:val="single" w:sz="6" w:space="0" w:color="000000"/>
              <w:bottom w:val="single" w:sz="6" w:space="0" w:color="000000"/>
              <w:end w:val="single" w:sz="4"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ascii="SimHei" w:hAnsi="SimHei" w:cs="宋体;SimSun" w:eastAsia="黑体"/>
                <w:spacing w:val="20"/>
                <w:sz w:val="24"/>
              </w:rPr>
              <w:t>工作年限</w:t>
            </w:r>
          </w:p>
        </w:tc>
      </w:tr>
      <w:tr>
        <w:trPr>
          <w:trHeight w:val="450" w:hRule="atLeast"/>
        </w:trPr>
        <w:tc>
          <w:tcPr>
            <w:tcW w:w="1065" w:type="dxa"/>
            <w:vMerge w:val="continue"/>
            <w:tcBorders>
              <w:top w:val="single" w:sz="4" w:space="0" w:color="000000"/>
              <w:start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楷体_GB2312;楷体" w:cs="宋体;SimSun" w:ascii="楷体_GB2312;楷体" w:hAnsi="楷体_GB2312;楷体"/>
                <w:spacing w:val="20"/>
                <w:sz w:val="24"/>
              </w:rPr>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ascii="SimHei" w:hAnsi="SimHei" w:cs="宋体;SimSun" w:eastAsia="黑体"/>
                <w:spacing w:val="20"/>
                <w:sz w:val="24"/>
              </w:rPr>
              <w:t>博士</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ascii="SimHei" w:hAnsi="SimHei" w:cs="宋体;SimSun" w:eastAsia="黑体"/>
                <w:spacing w:val="20"/>
                <w:sz w:val="24"/>
              </w:rPr>
              <w:t>硕士</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ascii="SimHei" w:hAnsi="SimHei" w:cs="宋体;SimSun" w:eastAsia="黑体"/>
                <w:spacing w:val="20"/>
                <w:sz w:val="24"/>
              </w:rPr>
              <w:t>本科</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ascii="SimHei" w:hAnsi="SimHei" w:cs="宋体;SimSun" w:eastAsia="黑体"/>
                <w:spacing w:val="20"/>
                <w:sz w:val="24"/>
              </w:rPr>
              <w:t>专科</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ascii="SimHei" w:hAnsi="SimHei" w:cs="宋体;SimSun" w:eastAsia="黑体"/>
                <w:spacing w:val="20"/>
                <w:sz w:val="24"/>
              </w:rPr>
              <w:t>中专及以下</w:t>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11</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4</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5</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7</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9</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10</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3</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4</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6</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8</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9</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2</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3</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5</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7</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8</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3</w:t>
            </w:r>
            <w:r>
              <w:rPr>
                <w:rFonts w:ascii="SimHei" w:hAnsi="SimHei" w:cs="宋体;SimSun" w:eastAsia="黑体"/>
                <w:spacing w:val="20"/>
                <w:sz w:val="24"/>
              </w:rPr>
              <w:t>个月后</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2</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4</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5</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7</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3</w:t>
            </w:r>
            <w:r>
              <w:rPr>
                <w:rFonts w:ascii="SimHei" w:hAnsi="SimHei" w:cs="宋体;SimSun" w:eastAsia="黑体"/>
                <w:spacing w:val="20"/>
                <w:sz w:val="24"/>
              </w:rPr>
              <w:t>个月内</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6</w:t>
            </w:r>
            <w:r>
              <w:rPr>
                <w:rFonts w:ascii="SimHei" w:hAnsi="SimHei" w:cs="宋体;SimSun" w:eastAsia="黑体"/>
                <w:spacing w:val="20"/>
                <w:sz w:val="24"/>
              </w:rPr>
              <w:t>个月后</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2</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3</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4</w:t>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6</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6</w:t>
            </w:r>
            <w:r>
              <w:rPr>
                <w:rFonts w:ascii="SimHei" w:hAnsi="SimHei" w:cs="宋体;SimSun" w:eastAsia="黑体"/>
                <w:spacing w:val="20"/>
                <w:sz w:val="24"/>
              </w:rPr>
              <w:t>个月内</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1</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1</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2</w:t>
            </w:r>
          </w:p>
        </w:tc>
      </w:tr>
      <w:tr>
        <w:trPr>
          <w:trHeight w:val="270" w:hRule="atLeast"/>
        </w:trPr>
        <w:tc>
          <w:tcPr>
            <w:tcW w:w="106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5</w:t>
            </w:r>
          </w:p>
        </w:tc>
        <w:tc>
          <w:tcPr>
            <w:tcW w:w="157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1</w:t>
            </w:r>
          </w:p>
        </w:tc>
        <w:tc>
          <w:tcPr>
            <w:tcW w:w="14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1</w:t>
            </w:r>
          </w:p>
        </w:tc>
        <w:tc>
          <w:tcPr>
            <w:tcW w:w="1785"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1</w:t>
            </w:r>
          </w:p>
        </w:tc>
      </w:tr>
      <w:tr>
        <w:trPr>
          <w:trHeight w:val="270" w:hRule="atLeast"/>
        </w:trPr>
        <w:tc>
          <w:tcPr>
            <w:tcW w:w="1065"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t>4</w:t>
            </w:r>
          </w:p>
        </w:tc>
        <w:tc>
          <w:tcPr>
            <w:tcW w:w="1575"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r>
          </w:p>
        </w:tc>
        <w:tc>
          <w:tcPr>
            <w:tcW w:w="147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eastAsia="黑体" w:cs="宋体;SimSun" w:ascii="SimHei" w:hAnsi="SimHei"/>
                <w:spacing w:val="20"/>
                <w:sz w:val="24"/>
              </w:rPr>
            </w:r>
          </w:p>
        </w:tc>
        <w:tc>
          <w:tcPr>
            <w:tcW w:w="147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ascii="SimHei" w:hAnsi="SimHei" w:cs="宋体;SimSun" w:eastAsia="黑体"/>
                <w:spacing w:val="20"/>
                <w:sz w:val="24"/>
              </w:rPr>
              <w:t>见习期内</w:t>
            </w:r>
          </w:p>
        </w:tc>
        <w:tc>
          <w:tcPr>
            <w:tcW w:w="147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ascii="SimHei" w:hAnsi="SimHei" w:cs="宋体;SimSun" w:eastAsia="黑体"/>
                <w:spacing w:val="20"/>
                <w:sz w:val="24"/>
              </w:rPr>
              <w:t>见习期内</w:t>
            </w:r>
          </w:p>
        </w:tc>
        <w:tc>
          <w:tcPr>
            <w:tcW w:w="1785"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spacing w:lineRule="exact" w:line="400"/>
              <w:jc w:val="center"/>
              <w:rPr>
                <w:rFonts w:ascii="楷体_GB2312;楷体" w:hAnsi="楷体_GB2312;楷体" w:eastAsia="楷体_GB2312;楷体" w:cs="宋体;SimSun"/>
                <w:spacing w:val="20"/>
                <w:sz w:val="24"/>
              </w:rPr>
            </w:pPr>
            <w:r>
              <w:rPr>
                <w:rFonts w:ascii="SimHei" w:hAnsi="SimHei" w:cs="宋体;SimSun" w:eastAsia="黑体"/>
                <w:spacing w:val="20"/>
                <w:sz w:val="24"/>
              </w:rPr>
              <w:t>见习期内</w:t>
            </w:r>
          </w:p>
        </w:tc>
      </w:tr>
    </w:tbl>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rFonts w:ascii="楷体_GB2312;楷体" w:hAnsi="楷体_GB2312;楷体" w:eastAsia="楷体_GB2312;楷体" w:cs="宋体;SimSun"/>
          <w:spacing w:val="20"/>
          <w:sz w:val="24"/>
        </w:rPr>
      </w:pPr>
      <w:r>
        <w:rPr>
          <w:rFonts w:eastAsia="黑体" w:cs="宋体;SimSun" w:ascii="SimHei" w:hAnsi="SimHei"/>
          <w:spacing w:val="20"/>
          <w:sz w:val="24"/>
        </w:rPr>
      </w:r>
    </w:p>
    <w:p>
      <w:pPr>
        <w:pStyle w:val="Normal"/>
        <w:tabs>
          <w:tab w:val="clear" w:pos="420"/>
          <w:tab w:val="left" w:pos="840" w:leader="none"/>
        </w:tabs>
        <w:snapToGrid w:val="false"/>
        <w:spacing w:lineRule="exact" w:line="400"/>
        <w:rPr/>
      </w:pPr>
      <w:r>
        <w:rPr>
          <w:rFonts w:ascii="SimHei" w:hAnsi="SimHei" w:cs="宋体;SimSun" w:eastAsia="黑体"/>
          <w:spacing w:val="20"/>
          <w:sz w:val="24"/>
        </w:rPr>
        <w:t>附件二：</w:t>
      </w:r>
    </w:p>
    <w:p>
      <w:pPr>
        <w:pStyle w:val="Normal"/>
        <w:jc w:val="center"/>
        <w:rPr>
          <w:rFonts w:ascii="黑体;SimHei" w:hAnsi="黑体;SimHei" w:eastAsia="黑体;SimHei"/>
          <w:spacing w:val="30"/>
          <w:sz w:val="36"/>
          <w:szCs w:val="36"/>
        </w:rPr>
      </w:pPr>
      <w:r>
        <w:rPr>
          <w:rFonts w:ascii="SimHei" w:hAnsi="SimHei" w:eastAsia="黑体"/>
          <w:spacing w:val="30"/>
          <w:sz w:val="36"/>
          <w:szCs w:val="36"/>
        </w:rPr>
        <w:t>浙江移动员工岗位调整审批表</w:t>
      </w:r>
    </w:p>
    <w:p>
      <w:pPr>
        <w:pStyle w:val="Normal"/>
        <w:spacing w:lineRule="exact" w:line="240"/>
        <w:rPr>
          <w:rFonts w:ascii="黑体;SimHei" w:hAnsi="黑体;SimHei" w:eastAsia="黑体;SimHei"/>
          <w:spacing w:val="30"/>
          <w:sz w:val="36"/>
          <w:szCs w:val="36"/>
        </w:rPr>
      </w:pPr>
      <w:r>
        <w:rPr>
          <w:rFonts w:eastAsia="黑体" w:ascii="SimHei" w:hAnsi="SimHei"/>
          <w:spacing w:val="30"/>
          <w:sz w:val="36"/>
          <w:szCs w:val="36"/>
        </w:rPr>
      </w:r>
    </w:p>
    <w:tbl>
      <w:tblPr>
        <w:tblW w:w="9033" w:type="dxa"/>
        <w:jc w:val="start"/>
        <w:tblInd w:w="0" w:type="dxa"/>
        <w:tblLayout w:type="fixed"/>
        <w:tblCellMar>
          <w:top w:w="0" w:type="dxa"/>
          <w:start w:w="108" w:type="dxa"/>
          <w:bottom w:w="0" w:type="dxa"/>
          <w:end w:w="108" w:type="dxa"/>
        </w:tblCellMar>
      </w:tblPr>
      <w:tblGrid>
        <w:gridCol w:w="1053"/>
        <w:gridCol w:w="12"/>
        <w:gridCol w:w="1038"/>
        <w:gridCol w:w="525"/>
        <w:gridCol w:w="420"/>
        <w:gridCol w:w="1050"/>
        <w:gridCol w:w="1050"/>
        <w:gridCol w:w="1050"/>
        <w:gridCol w:w="945"/>
        <w:gridCol w:w="1890"/>
      </w:tblGrid>
      <w:tr>
        <w:trPr>
          <w:trHeight w:val="680" w:hRule="atLeast"/>
        </w:trPr>
        <w:tc>
          <w:tcPr>
            <w:tcW w:w="1053" w:type="dxa"/>
            <w:tcBorders>
              <w:top w:val="single" w:sz="12" w:space="0" w:color="000000"/>
              <w:start w:val="single" w:sz="12" w:space="0" w:color="000000"/>
              <w:bottom w:val="single" w:sz="6" w:space="0" w:color="000000"/>
              <w:end w:val="single" w:sz="6" w:space="0" w:color="000000"/>
            </w:tcBorders>
            <w:vAlign w:val="center"/>
          </w:tcPr>
          <w:p>
            <w:pPr>
              <w:pStyle w:val="Normal"/>
              <w:rPr>
                <w:rFonts w:ascii="楷体_GB2312;楷体" w:hAnsi="楷体_GB2312;楷体" w:eastAsia="楷体_GB2312;楷体"/>
                <w:b/>
                <w:b/>
                <w:sz w:val="24"/>
              </w:rPr>
            </w:pPr>
            <w:r>
              <w:rPr>
                <w:rFonts w:ascii="SimHei" w:hAnsi="SimHei" w:eastAsia="黑体"/>
                <w:b/>
                <w:sz w:val="24"/>
              </w:rPr>
              <w:t>姓  名</w:t>
            </w:r>
          </w:p>
        </w:tc>
        <w:tc>
          <w:tcPr>
            <w:tcW w:w="1050"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rPr>
                <w:rFonts w:ascii="楷体_GB2312;楷体" w:hAnsi="楷体_GB2312;楷体" w:eastAsia="楷体_GB2312;楷体"/>
                <w:b/>
                <w:b/>
                <w:sz w:val="24"/>
              </w:rPr>
            </w:pPr>
            <w:r>
              <w:rPr>
                <w:rFonts w:eastAsia="黑体" w:ascii="SimHei" w:hAnsi="SimHei"/>
                <w:b/>
                <w:sz w:val="24"/>
              </w:rPr>
            </w:r>
          </w:p>
        </w:tc>
        <w:tc>
          <w:tcPr>
            <w:tcW w:w="945" w:type="dxa"/>
            <w:gridSpan w:val="2"/>
            <w:tcBorders>
              <w:top w:val="single" w:sz="12" w:space="0" w:color="000000"/>
              <w:start w:val="single" w:sz="6" w:space="0" w:color="000000"/>
              <w:bottom w:val="single" w:sz="6" w:space="0" w:color="000000"/>
              <w:end w:val="single" w:sz="6" w:space="0" w:color="000000"/>
            </w:tcBorders>
            <w:vAlign w:val="center"/>
          </w:tcPr>
          <w:p>
            <w:pPr>
              <w:pStyle w:val="Normal"/>
              <w:rPr>
                <w:rFonts w:ascii="楷体_GB2312;楷体" w:hAnsi="楷体_GB2312;楷体" w:eastAsia="楷体_GB2312;楷体"/>
                <w:b/>
                <w:b/>
                <w:sz w:val="24"/>
              </w:rPr>
            </w:pPr>
            <w:r>
              <w:rPr>
                <w:rFonts w:ascii="SimHei" w:hAnsi="SimHei" w:eastAsia="黑体"/>
                <w:b/>
                <w:sz w:val="24"/>
              </w:rPr>
              <w:t>性 别</w:t>
            </w:r>
          </w:p>
        </w:tc>
        <w:tc>
          <w:tcPr>
            <w:tcW w:w="105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rPr>
                <w:rFonts w:ascii="楷体_GB2312;楷体" w:hAnsi="楷体_GB2312;楷体" w:eastAsia="楷体_GB2312;楷体"/>
                <w:b/>
                <w:b/>
                <w:sz w:val="24"/>
              </w:rPr>
            </w:pPr>
            <w:r>
              <w:rPr>
                <w:rFonts w:eastAsia="黑体" w:ascii="SimHei" w:hAnsi="SimHei"/>
                <w:b/>
                <w:sz w:val="24"/>
              </w:rPr>
            </w:r>
          </w:p>
        </w:tc>
        <w:tc>
          <w:tcPr>
            <w:tcW w:w="1050" w:type="dxa"/>
            <w:tcBorders>
              <w:top w:val="single" w:sz="12" w:space="0" w:color="000000"/>
              <w:start w:val="single" w:sz="6" w:space="0" w:color="000000"/>
              <w:bottom w:val="single" w:sz="6" w:space="0" w:color="000000"/>
              <w:end w:val="single" w:sz="6" w:space="0" w:color="000000"/>
            </w:tcBorders>
            <w:vAlign w:val="center"/>
          </w:tcPr>
          <w:p>
            <w:pPr>
              <w:pStyle w:val="Normal"/>
              <w:ind w:firstLine="100"/>
              <w:rPr>
                <w:rFonts w:ascii="楷体_GB2312;楷体" w:hAnsi="楷体_GB2312;楷体" w:eastAsia="楷体_GB2312;楷体"/>
                <w:b/>
                <w:b/>
                <w:spacing w:val="-20"/>
                <w:sz w:val="24"/>
              </w:rPr>
            </w:pPr>
            <w:r>
              <w:rPr>
                <w:rFonts w:ascii="SimHei" w:hAnsi="SimHei" w:eastAsia="黑体"/>
                <w:b/>
                <w:spacing w:val="-20"/>
                <w:sz w:val="24"/>
              </w:rPr>
              <w:t>学 历</w:t>
            </w:r>
          </w:p>
        </w:tc>
        <w:tc>
          <w:tcPr>
            <w:tcW w:w="105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rPr>
                <w:rFonts w:ascii="楷体_GB2312;楷体" w:hAnsi="楷体_GB2312;楷体" w:eastAsia="楷体_GB2312;楷体"/>
                <w:b/>
                <w:b/>
                <w:spacing w:val="-20"/>
                <w:sz w:val="24"/>
              </w:rPr>
            </w:pPr>
            <w:r>
              <w:rPr>
                <w:rFonts w:eastAsia="黑体" w:ascii="SimHei" w:hAnsi="SimHei"/>
                <w:b/>
                <w:spacing w:val="-20"/>
                <w:sz w:val="24"/>
              </w:rPr>
            </w:r>
          </w:p>
        </w:tc>
        <w:tc>
          <w:tcPr>
            <w:tcW w:w="945" w:type="dxa"/>
            <w:tcBorders>
              <w:top w:val="single" w:sz="12" w:space="0" w:color="000000"/>
              <w:start w:val="single" w:sz="6" w:space="0" w:color="000000"/>
              <w:bottom w:val="single" w:sz="6" w:space="0" w:color="000000"/>
              <w:end w:val="single" w:sz="6" w:space="0" w:color="000000"/>
            </w:tcBorders>
            <w:vAlign w:val="center"/>
          </w:tcPr>
          <w:p>
            <w:pPr>
              <w:pStyle w:val="Normal"/>
              <w:rPr>
                <w:rFonts w:ascii="楷体_GB2312;楷体" w:hAnsi="楷体_GB2312;楷体" w:eastAsia="楷体_GB2312;楷体"/>
                <w:b/>
                <w:b/>
                <w:sz w:val="24"/>
              </w:rPr>
            </w:pPr>
            <w:r>
              <w:rPr>
                <w:rFonts w:ascii="SimHei" w:hAnsi="SimHei" w:eastAsia="黑体"/>
                <w:b/>
                <w:sz w:val="24"/>
              </w:rPr>
              <w:t>进公司</w:t>
            </w:r>
          </w:p>
          <w:p>
            <w:pPr>
              <w:pStyle w:val="Normal"/>
              <w:ind w:firstLine="120"/>
              <w:rPr>
                <w:rFonts w:ascii="楷体_GB2312;楷体" w:hAnsi="楷体_GB2312;楷体" w:eastAsia="楷体_GB2312;楷体"/>
                <w:sz w:val="24"/>
              </w:rPr>
            </w:pPr>
            <w:r>
              <w:rPr>
                <w:rFonts w:ascii="SimHei" w:hAnsi="SimHei" w:eastAsia="黑体"/>
                <w:b/>
                <w:sz w:val="24"/>
              </w:rPr>
              <w:t>时间</w:t>
            </w:r>
          </w:p>
        </w:tc>
        <w:tc>
          <w:tcPr>
            <w:tcW w:w="1890"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rPr>
                <w:rFonts w:ascii="楷体_GB2312;楷体" w:hAnsi="楷体_GB2312;楷体" w:eastAsia="楷体_GB2312;楷体"/>
                <w:sz w:val="24"/>
              </w:rPr>
            </w:pPr>
            <w:r>
              <w:rPr>
                <w:rFonts w:eastAsia="黑体" w:ascii="SimHei" w:hAnsi="SimHei"/>
                <w:sz w:val="24"/>
              </w:rPr>
            </w:r>
          </w:p>
        </w:tc>
      </w:tr>
      <w:tr>
        <w:trPr>
          <w:trHeight w:val="680" w:hRule="atLeast"/>
        </w:trPr>
        <w:tc>
          <w:tcPr>
            <w:tcW w:w="1053" w:type="dxa"/>
            <w:tcBorders>
              <w:top w:val="single" w:sz="6" w:space="0" w:color="000000"/>
              <w:start w:val="single" w:sz="12" w:space="0" w:color="000000"/>
              <w:bottom w:val="single" w:sz="6" w:space="0" w:color="000000"/>
              <w:end w:val="single" w:sz="6" w:space="0" w:color="000000"/>
            </w:tcBorders>
            <w:vAlign w:val="center"/>
          </w:tcPr>
          <w:p>
            <w:pPr>
              <w:pStyle w:val="Normal"/>
              <w:rPr>
                <w:rFonts w:ascii="楷体_GB2312;楷体" w:hAnsi="楷体_GB2312;楷体" w:eastAsia="楷体_GB2312;楷体"/>
                <w:b/>
                <w:b/>
                <w:sz w:val="24"/>
              </w:rPr>
            </w:pPr>
            <w:r>
              <w:rPr>
                <w:rFonts w:ascii="SimHei" w:hAnsi="SimHei" w:eastAsia="黑体"/>
                <w:b/>
                <w:sz w:val="24"/>
              </w:rPr>
              <w:t>变动前</w:t>
            </w:r>
          </w:p>
        </w:tc>
        <w:tc>
          <w:tcPr>
            <w:tcW w:w="1575" w:type="dxa"/>
            <w:gridSpan w:val="3"/>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b/>
                <w:spacing w:val="-20"/>
                <w:sz w:val="24"/>
              </w:rPr>
              <w:t xml:space="preserve">现 任 职 </w:t>
            </w:r>
            <w:r>
              <w:rPr>
                <w:rFonts w:ascii="SimHei" w:hAnsi="SimHei" w:eastAsia="黑体"/>
                <w:b/>
                <w:sz w:val="24"/>
              </w:rPr>
              <w:t>位</w:t>
            </w:r>
          </w:p>
        </w:tc>
        <w:tc>
          <w:tcPr>
            <w:tcW w:w="2520"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_GB2312;楷体" w:hAnsi="楷体_GB2312;楷体" w:eastAsia="楷体_GB2312;楷体"/>
                <w:b/>
                <w:b/>
                <w:sz w:val="24"/>
              </w:rPr>
            </w:pPr>
            <w:r>
              <w:rPr>
                <w:rFonts w:eastAsia="黑体" w:ascii="SimHei" w:hAnsi="SimHei"/>
                <w:b/>
                <w:sz w:val="24"/>
              </w:rPr>
            </w:r>
          </w:p>
        </w:tc>
        <w:tc>
          <w:tcPr>
            <w:tcW w:w="1995" w:type="dxa"/>
            <w:gridSpan w:val="2"/>
            <w:tcBorders>
              <w:top w:val="single" w:sz="6" w:space="0" w:color="000000"/>
              <w:start w:val="single" w:sz="6" w:space="0" w:color="000000"/>
              <w:bottom w:val="single" w:sz="6" w:space="0" w:color="000000"/>
              <w:end w:val="single" w:sz="6" w:space="0" w:color="000000"/>
            </w:tcBorders>
            <w:vAlign w:val="center"/>
          </w:tcPr>
          <w:p>
            <w:pPr>
              <w:pStyle w:val="Normal"/>
              <w:rPr>
                <w:rFonts w:ascii="楷体_GB2312;楷体" w:hAnsi="楷体_GB2312;楷体" w:eastAsia="楷体_GB2312;楷体"/>
                <w:b/>
                <w:b/>
                <w:sz w:val="24"/>
              </w:rPr>
            </w:pPr>
            <w:r>
              <w:rPr>
                <w:rFonts w:ascii="SimHei" w:hAnsi="SimHei" w:eastAsia="黑体"/>
                <w:b/>
                <w:spacing w:val="-20"/>
                <w:sz w:val="24"/>
              </w:rPr>
              <w:t xml:space="preserve">岗 位 标 准 职 </w:t>
            </w:r>
            <w:r>
              <w:rPr>
                <w:rFonts w:ascii="SimHei" w:hAnsi="SimHei" w:eastAsia="黑体"/>
                <w:b/>
                <w:sz w:val="24"/>
              </w:rPr>
              <w:t>等</w:t>
            </w:r>
          </w:p>
        </w:tc>
        <w:tc>
          <w:tcPr>
            <w:tcW w:w="1890"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rPr>
                <w:rFonts w:ascii="楷体_GB2312;楷体" w:hAnsi="楷体_GB2312;楷体" w:eastAsia="楷体_GB2312;楷体"/>
                <w:b/>
                <w:b/>
                <w:sz w:val="24"/>
              </w:rPr>
            </w:pPr>
            <w:r>
              <w:rPr>
                <w:rFonts w:eastAsia="黑体" w:ascii="SimHei" w:hAnsi="SimHei"/>
                <w:b/>
                <w:sz w:val="24"/>
              </w:rPr>
            </w:r>
          </w:p>
        </w:tc>
      </w:tr>
      <w:tr>
        <w:trPr>
          <w:trHeight w:val="680" w:hRule="atLeast"/>
        </w:trPr>
        <w:tc>
          <w:tcPr>
            <w:tcW w:w="1053" w:type="dxa"/>
            <w:tcBorders>
              <w:top w:val="single" w:sz="6" w:space="0" w:color="000000"/>
              <w:start w:val="single" w:sz="12" w:space="0" w:color="000000"/>
              <w:bottom w:val="single" w:sz="6" w:space="0" w:color="000000"/>
              <w:end w:val="single" w:sz="6" w:space="0" w:color="000000"/>
            </w:tcBorders>
            <w:vAlign w:val="center"/>
          </w:tcPr>
          <w:p>
            <w:pPr>
              <w:pStyle w:val="Normal"/>
              <w:rPr>
                <w:rFonts w:ascii="楷体_GB2312;楷体" w:hAnsi="楷体_GB2312;楷体" w:eastAsia="楷体_GB2312;楷体"/>
                <w:b/>
                <w:b/>
                <w:sz w:val="24"/>
              </w:rPr>
            </w:pPr>
            <w:r>
              <w:rPr>
                <w:rFonts w:ascii="SimHei" w:hAnsi="SimHei" w:eastAsia="黑体"/>
                <w:b/>
                <w:sz w:val="24"/>
              </w:rPr>
              <w:t>变动后</w:t>
            </w:r>
          </w:p>
        </w:tc>
        <w:tc>
          <w:tcPr>
            <w:tcW w:w="1575" w:type="dxa"/>
            <w:gridSpan w:val="3"/>
            <w:tcBorders>
              <w:top w:val="single" w:sz="6" w:space="0" w:color="000000"/>
              <w:start w:val="single" w:sz="6" w:space="0" w:color="000000"/>
              <w:bottom w:val="single" w:sz="6" w:space="0" w:color="000000"/>
              <w:end w:val="single" w:sz="6" w:space="0" w:color="000000"/>
            </w:tcBorders>
            <w:vAlign w:val="center"/>
          </w:tcPr>
          <w:p>
            <w:pPr>
              <w:pStyle w:val="Normal"/>
              <w:rPr>
                <w:rFonts w:ascii="楷体_GB2312;楷体" w:hAnsi="楷体_GB2312;楷体" w:eastAsia="楷体_GB2312;楷体"/>
                <w:b/>
                <w:b/>
                <w:spacing w:val="-20"/>
                <w:sz w:val="24"/>
              </w:rPr>
            </w:pPr>
            <w:r>
              <w:rPr>
                <w:rFonts w:ascii="SimHei" w:hAnsi="SimHei" w:eastAsia="黑体"/>
                <w:b/>
                <w:spacing w:val="-20"/>
                <w:sz w:val="24"/>
              </w:rPr>
              <w:t>拟 任 职 位</w:t>
            </w:r>
          </w:p>
        </w:tc>
        <w:tc>
          <w:tcPr>
            <w:tcW w:w="2520"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楷体_GB2312;楷体" w:hAnsi="楷体_GB2312;楷体" w:eastAsia="楷体_GB2312;楷体"/>
                <w:b/>
                <w:b/>
                <w:spacing w:val="-20"/>
                <w:sz w:val="24"/>
              </w:rPr>
            </w:pPr>
            <w:r>
              <w:rPr>
                <w:rFonts w:eastAsia="黑体" w:ascii="SimHei" w:hAnsi="SimHei"/>
                <w:b/>
                <w:spacing w:val="-20"/>
                <w:sz w:val="24"/>
              </w:rPr>
            </w:r>
          </w:p>
        </w:tc>
        <w:tc>
          <w:tcPr>
            <w:tcW w:w="1995" w:type="dxa"/>
            <w:gridSpan w:val="2"/>
            <w:tcBorders>
              <w:top w:val="single" w:sz="6" w:space="0" w:color="000000"/>
              <w:start w:val="single" w:sz="6" w:space="0" w:color="000000"/>
              <w:bottom w:val="single" w:sz="6" w:space="0" w:color="000000"/>
              <w:end w:val="single" w:sz="6" w:space="0" w:color="000000"/>
            </w:tcBorders>
            <w:vAlign w:val="center"/>
          </w:tcPr>
          <w:p>
            <w:pPr>
              <w:pStyle w:val="Normal"/>
              <w:rPr>
                <w:rFonts w:ascii="楷体_GB2312;楷体" w:hAnsi="楷体_GB2312;楷体" w:eastAsia="楷体_GB2312;楷体"/>
                <w:b/>
                <w:b/>
                <w:spacing w:val="-20"/>
                <w:sz w:val="24"/>
              </w:rPr>
            </w:pPr>
            <w:r>
              <w:rPr>
                <w:rFonts w:ascii="SimHei" w:hAnsi="SimHei" w:eastAsia="黑体"/>
                <w:b/>
                <w:spacing w:val="-20"/>
                <w:sz w:val="24"/>
              </w:rPr>
              <w:t>岗 位 标 准 职</w:t>
            </w:r>
            <w:r>
              <w:rPr>
                <w:rFonts w:ascii="SimHei" w:hAnsi="SimHei" w:eastAsia="黑体"/>
                <w:b/>
                <w:sz w:val="24"/>
              </w:rPr>
              <w:t>等</w:t>
            </w:r>
          </w:p>
        </w:tc>
        <w:tc>
          <w:tcPr>
            <w:tcW w:w="1890"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rPr>
                <w:rFonts w:ascii="楷体_GB2312;楷体" w:hAnsi="楷体_GB2312;楷体" w:eastAsia="楷体_GB2312;楷体"/>
                <w:b/>
                <w:b/>
                <w:spacing w:val="-20"/>
                <w:sz w:val="24"/>
              </w:rPr>
            </w:pPr>
            <w:r>
              <w:rPr>
                <w:rFonts w:eastAsia="黑体" w:ascii="SimHei" w:hAnsi="SimHei"/>
                <w:b/>
                <w:spacing w:val="-20"/>
                <w:sz w:val="24"/>
              </w:rPr>
            </w:r>
          </w:p>
        </w:tc>
      </w:tr>
      <w:tr>
        <w:trPr>
          <w:cantSplit w:val="true"/>
        </w:trPr>
        <w:tc>
          <w:tcPr>
            <w:tcW w:w="1065" w:type="dxa"/>
            <w:gridSpan w:val="2"/>
            <w:tcBorders>
              <w:top w:val="single" w:sz="6" w:space="0" w:color="000000"/>
              <w:start w:val="single" w:sz="12" w:space="0" w:color="000000"/>
              <w:bottom w:val="single" w:sz="6" w:space="0" w:color="000000"/>
              <w:end w:val="single" w:sz="6" w:space="0" w:color="000000"/>
            </w:tcBorders>
            <w:vAlign w:val="center"/>
          </w:tcPr>
          <w:p>
            <w:pPr>
              <w:pStyle w:val="Normal"/>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岗</w:t>
            </w:r>
          </w:p>
          <w:p>
            <w:pPr>
              <w:pStyle w:val="Normal"/>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位</w:t>
            </w:r>
          </w:p>
          <w:p>
            <w:pPr>
              <w:pStyle w:val="Normal"/>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变</w:t>
            </w:r>
          </w:p>
          <w:p>
            <w:pPr>
              <w:pStyle w:val="Normal"/>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动</w:t>
            </w:r>
          </w:p>
          <w:p>
            <w:pPr>
              <w:pStyle w:val="Normal"/>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理</w:t>
            </w:r>
          </w:p>
          <w:p>
            <w:pPr>
              <w:pStyle w:val="Normal"/>
              <w:spacing w:lineRule="exact" w:line="320"/>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由</w:t>
            </w:r>
          </w:p>
        </w:tc>
        <w:tc>
          <w:tcPr>
            <w:tcW w:w="7968" w:type="dxa"/>
            <w:gridSpan w:val="8"/>
            <w:tcBorders>
              <w:top w:val="single" w:sz="6" w:space="0" w:color="000000"/>
              <w:start w:val="single" w:sz="6" w:space="0" w:color="000000"/>
              <w:bottom w:val="single" w:sz="6" w:space="0" w:color="000000"/>
              <w:end w:val="single" w:sz="12" w:space="0" w:color="000000"/>
            </w:tcBorders>
            <w:vAlign w:val="center"/>
          </w:tcPr>
          <w:p>
            <w:pPr>
              <w:pStyle w:val="Normal"/>
              <w:snapToGrid w:val="false"/>
              <w:rPr>
                <w:rFonts w:ascii="楷体_GB2312;楷体" w:hAnsi="楷体_GB2312;楷体" w:eastAsia="楷体_GB2312;楷体"/>
                <w:b/>
                <w:b/>
                <w:sz w:val="24"/>
              </w:rPr>
            </w:pPr>
            <w:r>
              <w:rPr>
                <w:rFonts w:eastAsia="黑体" w:ascii="SimHei" w:hAnsi="SimHei"/>
                <w:b/>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tc>
      </w:tr>
      <w:tr>
        <w:trPr>
          <w:cantSplit w:val="true"/>
        </w:trPr>
        <w:tc>
          <w:tcPr>
            <w:tcW w:w="1065" w:type="dxa"/>
            <w:gridSpan w:val="2"/>
            <w:tcBorders>
              <w:top w:val="single" w:sz="6" w:space="0" w:color="000000"/>
              <w:start w:val="single" w:sz="12" w:space="0" w:color="000000"/>
              <w:bottom w:val="single" w:sz="6" w:space="0" w:color="000000"/>
              <w:end w:val="single" w:sz="6" w:space="0" w:color="000000"/>
            </w:tcBorders>
            <w:vAlign w:val="center"/>
          </w:tcPr>
          <w:p>
            <w:pPr>
              <w:pStyle w:val="Normal"/>
              <w:spacing w:lineRule="exact" w:line="320"/>
              <w:ind w:firstLine="241"/>
              <w:rPr>
                <w:rFonts w:ascii="楷体_GB2312;楷体" w:hAnsi="楷体_GB2312;楷体" w:eastAsia="楷体_GB2312;楷体"/>
                <w:b/>
                <w:b/>
                <w:sz w:val="24"/>
              </w:rPr>
            </w:pPr>
            <w:r>
              <w:rPr>
                <w:rFonts w:ascii="SimHei" w:hAnsi="SimHei" w:eastAsia="黑体"/>
                <w:b/>
                <w:sz w:val="24"/>
              </w:rPr>
              <w:t>所</w:t>
            </w:r>
          </w:p>
          <w:p>
            <w:pPr>
              <w:pStyle w:val="Normal"/>
              <w:spacing w:lineRule="exact" w:line="320"/>
              <w:ind w:firstLine="241"/>
              <w:rPr>
                <w:rFonts w:ascii="楷体_GB2312;楷体" w:hAnsi="楷体_GB2312;楷体" w:eastAsia="楷体_GB2312;楷体"/>
                <w:b/>
                <w:b/>
                <w:sz w:val="24"/>
              </w:rPr>
            </w:pPr>
            <w:r>
              <w:rPr>
                <w:rFonts w:ascii="SimHei" w:hAnsi="SimHei" w:eastAsia="黑体"/>
                <w:b/>
                <w:sz w:val="24"/>
              </w:rPr>
              <w:t>在</w:t>
            </w:r>
          </w:p>
          <w:p>
            <w:pPr>
              <w:pStyle w:val="Normal"/>
              <w:spacing w:lineRule="exact" w:line="320"/>
              <w:ind w:firstLine="241"/>
              <w:rPr>
                <w:rFonts w:ascii="楷体_GB2312;楷体" w:hAnsi="楷体_GB2312;楷体" w:eastAsia="楷体_GB2312;楷体"/>
                <w:b/>
                <w:b/>
                <w:sz w:val="24"/>
              </w:rPr>
            </w:pPr>
            <w:r>
              <w:rPr>
                <w:rFonts w:ascii="SimHei" w:hAnsi="SimHei" w:eastAsia="黑体"/>
                <w:b/>
                <w:sz w:val="24"/>
              </w:rPr>
              <w:t>部</w:t>
            </w:r>
          </w:p>
          <w:p>
            <w:pPr>
              <w:pStyle w:val="Normal"/>
              <w:spacing w:lineRule="exact" w:line="320"/>
              <w:ind w:firstLine="241"/>
              <w:rPr>
                <w:rFonts w:ascii="楷体_GB2312;楷体" w:hAnsi="楷体_GB2312;楷体" w:eastAsia="楷体_GB2312;楷体"/>
                <w:b/>
                <w:b/>
                <w:sz w:val="24"/>
              </w:rPr>
            </w:pPr>
            <w:r>
              <w:rPr>
                <w:rFonts w:ascii="SimHei" w:hAnsi="SimHei" w:eastAsia="黑体"/>
                <w:b/>
                <w:sz w:val="24"/>
              </w:rPr>
              <w:t>门</w:t>
            </w:r>
          </w:p>
          <w:p>
            <w:pPr>
              <w:pStyle w:val="Normal"/>
              <w:spacing w:lineRule="exact" w:line="320"/>
              <w:ind w:firstLine="241"/>
              <w:rPr>
                <w:rFonts w:ascii="楷体_GB2312;楷体" w:hAnsi="楷体_GB2312;楷体" w:eastAsia="楷体_GB2312;楷体"/>
                <w:b/>
                <w:b/>
                <w:sz w:val="24"/>
              </w:rPr>
            </w:pPr>
            <w:r>
              <w:rPr>
                <w:rFonts w:ascii="SimHei" w:hAnsi="SimHei" w:eastAsia="黑体"/>
                <w:b/>
                <w:sz w:val="24"/>
              </w:rPr>
              <w:t>意</w:t>
            </w:r>
          </w:p>
          <w:p>
            <w:pPr>
              <w:pStyle w:val="Normal"/>
              <w:spacing w:lineRule="exact" w:line="320"/>
              <w:ind w:firstLine="241"/>
              <w:rPr>
                <w:rFonts w:ascii="楷体_GB2312;楷体" w:hAnsi="楷体_GB2312;楷体" w:eastAsia="楷体_GB2312;楷体"/>
                <w:b/>
                <w:b/>
                <w:sz w:val="24"/>
              </w:rPr>
            </w:pPr>
            <w:r>
              <w:rPr>
                <w:rFonts w:ascii="SimHei" w:hAnsi="SimHei" w:eastAsia="黑体"/>
                <w:b/>
                <w:sz w:val="24"/>
              </w:rPr>
              <w:t>见</w:t>
            </w:r>
          </w:p>
        </w:tc>
        <w:tc>
          <w:tcPr>
            <w:tcW w:w="7968" w:type="dxa"/>
            <w:gridSpan w:val="8"/>
            <w:tcBorders>
              <w:top w:val="single" w:sz="6" w:space="0" w:color="000000"/>
              <w:start w:val="single" w:sz="6" w:space="0" w:color="000000"/>
              <w:bottom w:val="single" w:sz="6" w:space="0" w:color="000000"/>
              <w:end w:val="single" w:sz="12" w:space="0" w:color="000000"/>
            </w:tcBorders>
            <w:vAlign w:val="center"/>
          </w:tcPr>
          <w:p>
            <w:pPr>
              <w:pStyle w:val="Normal"/>
              <w:snapToGrid w:val="false"/>
              <w:rPr>
                <w:rFonts w:ascii="楷体_GB2312;楷体" w:hAnsi="楷体_GB2312;楷体" w:eastAsia="楷体_GB2312;楷体"/>
                <w:b/>
                <w:b/>
                <w:sz w:val="24"/>
              </w:rPr>
            </w:pPr>
            <w:r>
              <w:rPr>
                <w:rFonts w:eastAsia="黑体" w:ascii="SimHei" w:hAnsi="SimHei"/>
                <w:b/>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ind w:firstLine="4200"/>
              <w:rPr>
                <w:rFonts w:ascii="楷体_GB2312;楷体" w:hAnsi="楷体_GB2312;楷体" w:eastAsia="楷体_GB2312;楷体"/>
                <w:sz w:val="24"/>
              </w:rPr>
            </w:pPr>
            <w:r>
              <w:rPr>
                <w:rFonts w:ascii="SimHei" w:hAnsi="SimHei" w:eastAsia="黑体"/>
                <w:sz w:val="24"/>
              </w:rPr>
              <w:t>部门经理：</w:t>
            </w:r>
          </w:p>
          <w:p>
            <w:pPr>
              <w:pStyle w:val="Normal"/>
              <w:rPr>
                <w:rFonts w:ascii="楷体_GB2312;楷体" w:hAnsi="楷体_GB2312;楷体" w:eastAsia="楷体_GB2312;楷体"/>
                <w:sz w:val="24"/>
              </w:rPr>
            </w:pPr>
            <w:r>
              <w:rPr>
                <w:rFonts w:eastAsia="黑体" w:cs="楷体_GB2312;楷体" w:ascii="SimHei" w:hAnsi="SimHei"/>
                <w:sz w:val="24"/>
              </w:rPr>
              <w:t xml:space="preserve">                                         </w:t>
            </w:r>
            <w:r>
              <w:rPr>
                <w:rFonts w:ascii="SimHei" w:hAnsi="SimHei" w:eastAsia="黑体"/>
                <w:sz w:val="24"/>
              </w:rPr>
              <w:t>年     月    日</w:t>
            </w:r>
          </w:p>
        </w:tc>
      </w:tr>
      <w:tr>
        <w:trPr>
          <w:cantSplit w:val="true"/>
        </w:trPr>
        <w:tc>
          <w:tcPr>
            <w:tcW w:w="1065" w:type="dxa"/>
            <w:gridSpan w:val="2"/>
            <w:tcBorders>
              <w:top w:val="single" w:sz="6" w:space="0" w:color="000000"/>
              <w:start w:val="single" w:sz="12" w:space="0" w:color="000000"/>
              <w:bottom w:val="single" w:sz="6" w:space="0" w:color="000000"/>
              <w:end w:val="single" w:sz="6" w:space="0" w:color="000000"/>
            </w:tcBorders>
            <w:vAlign w:val="center"/>
          </w:tcPr>
          <w:p>
            <w:pPr>
              <w:pStyle w:val="Normal"/>
              <w:spacing w:lineRule="exact" w:line="320"/>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人</w:t>
            </w:r>
          </w:p>
          <w:p>
            <w:pPr>
              <w:pStyle w:val="Normal"/>
              <w:spacing w:lineRule="exact" w:line="320"/>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力</w:t>
            </w:r>
          </w:p>
          <w:p>
            <w:pPr>
              <w:pStyle w:val="Normal"/>
              <w:spacing w:lineRule="exact" w:line="320"/>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资</w:t>
            </w:r>
          </w:p>
          <w:p>
            <w:pPr>
              <w:pStyle w:val="Normal"/>
              <w:spacing w:lineRule="exact" w:line="320"/>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源</w:t>
            </w:r>
          </w:p>
          <w:p>
            <w:pPr>
              <w:pStyle w:val="Normal"/>
              <w:spacing w:lineRule="exact" w:line="320"/>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部</w:t>
            </w:r>
          </w:p>
          <w:p>
            <w:pPr>
              <w:pStyle w:val="Normal"/>
              <w:spacing w:lineRule="exact" w:line="320"/>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意</w:t>
            </w:r>
          </w:p>
          <w:p>
            <w:pPr>
              <w:pStyle w:val="Normal"/>
              <w:spacing w:lineRule="exact" w:line="320"/>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见</w:t>
            </w:r>
          </w:p>
        </w:tc>
        <w:tc>
          <w:tcPr>
            <w:tcW w:w="7968" w:type="dxa"/>
            <w:gridSpan w:val="8"/>
            <w:tcBorders>
              <w:top w:val="single" w:sz="6" w:space="0" w:color="000000"/>
              <w:start w:val="single" w:sz="6" w:space="0" w:color="000000"/>
              <w:bottom w:val="single" w:sz="6" w:space="0" w:color="000000"/>
              <w:end w:val="single" w:sz="12" w:space="0" w:color="000000"/>
            </w:tcBorders>
            <w:vAlign w:val="center"/>
          </w:tcPr>
          <w:p>
            <w:pPr>
              <w:pStyle w:val="Normal"/>
              <w:snapToGrid w:val="false"/>
              <w:rPr>
                <w:rFonts w:ascii="楷体_GB2312;楷体" w:hAnsi="楷体_GB2312;楷体" w:eastAsia="楷体_GB2312;楷体"/>
                <w:b/>
                <w:b/>
                <w:sz w:val="24"/>
              </w:rPr>
            </w:pPr>
            <w:r>
              <w:rPr>
                <w:rFonts w:eastAsia="黑体" w:ascii="SimHei" w:hAnsi="SimHei"/>
                <w:b/>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cs="楷体_GB2312;楷体" w:ascii="SimHei" w:hAnsi="SimHei"/>
                <w:sz w:val="24"/>
              </w:rPr>
              <w:t xml:space="preserve">                                   </w:t>
            </w:r>
            <w:r>
              <w:rPr>
                <w:rFonts w:ascii="SimHei" w:hAnsi="SimHei" w:eastAsia="黑体"/>
                <w:sz w:val="24"/>
              </w:rPr>
              <w:t>部门经理：</w:t>
            </w:r>
          </w:p>
          <w:p>
            <w:pPr>
              <w:pStyle w:val="Normal"/>
              <w:rPr>
                <w:rFonts w:ascii="楷体_GB2312;楷体" w:hAnsi="楷体_GB2312;楷体" w:eastAsia="楷体_GB2312;楷体"/>
                <w:sz w:val="24"/>
              </w:rPr>
            </w:pPr>
            <w:r>
              <w:rPr>
                <w:rFonts w:eastAsia="黑体" w:cs="楷体_GB2312;楷体" w:ascii="SimHei" w:hAnsi="SimHei"/>
                <w:sz w:val="24"/>
              </w:rPr>
              <w:t xml:space="preserve">                                         </w:t>
            </w:r>
            <w:r>
              <w:rPr>
                <w:rFonts w:ascii="SimHei" w:hAnsi="SimHei" w:eastAsia="黑体"/>
                <w:sz w:val="24"/>
              </w:rPr>
              <w:t>年    月    日</w:t>
            </w:r>
          </w:p>
        </w:tc>
      </w:tr>
      <w:tr>
        <w:trPr>
          <w:cantSplit w:val="true"/>
        </w:trPr>
        <w:tc>
          <w:tcPr>
            <w:tcW w:w="1065" w:type="dxa"/>
            <w:gridSpan w:val="2"/>
            <w:tcBorders>
              <w:top w:val="single" w:sz="6" w:space="0" w:color="000000"/>
              <w:start w:val="single" w:sz="12" w:space="0" w:color="000000"/>
              <w:bottom w:val="single" w:sz="6" w:space="0" w:color="000000"/>
              <w:end w:val="single" w:sz="6" w:space="0" w:color="000000"/>
            </w:tcBorders>
            <w:vAlign w:val="center"/>
          </w:tcPr>
          <w:p>
            <w:pPr>
              <w:pStyle w:val="Normal"/>
              <w:ind w:firstLine="241"/>
              <w:rPr>
                <w:rFonts w:ascii="楷体_GB2312;楷体" w:hAnsi="楷体_GB2312;楷体" w:eastAsia="楷体_GB2312;楷体"/>
                <w:b/>
                <w:b/>
                <w:sz w:val="24"/>
              </w:rPr>
            </w:pPr>
            <w:r>
              <w:rPr>
                <w:rFonts w:ascii="SimHei" w:hAnsi="SimHei" w:eastAsia="黑体"/>
                <w:b/>
                <w:sz w:val="24"/>
              </w:rPr>
              <w:t>公</w:t>
            </w:r>
          </w:p>
          <w:p>
            <w:pPr>
              <w:pStyle w:val="Normal"/>
              <w:ind w:firstLine="241"/>
              <w:rPr>
                <w:rFonts w:ascii="楷体_GB2312;楷体" w:hAnsi="楷体_GB2312;楷体" w:eastAsia="楷体_GB2312;楷体"/>
                <w:b/>
                <w:b/>
                <w:sz w:val="24"/>
              </w:rPr>
            </w:pPr>
            <w:r>
              <w:rPr>
                <w:rFonts w:ascii="SimHei" w:hAnsi="SimHei" w:eastAsia="黑体"/>
                <w:b/>
                <w:sz w:val="24"/>
              </w:rPr>
              <w:t>司</w:t>
            </w:r>
          </w:p>
          <w:p>
            <w:pPr>
              <w:pStyle w:val="Normal"/>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领</w:t>
            </w:r>
          </w:p>
          <w:p>
            <w:pPr>
              <w:pStyle w:val="Normal"/>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导</w:t>
            </w:r>
          </w:p>
          <w:p>
            <w:pPr>
              <w:pStyle w:val="Normal"/>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意</w:t>
            </w:r>
          </w:p>
          <w:p>
            <w:pPr>
              <w:pStyle w:val="Normal"/>
              <w:rPr>
                <w:rFonts w:ascii="楷体_GB2312;楷体" w:hAnsi="楷体_GB2312;楷体" w:eastAsia="楷体_GB2312;楷体"/>
                <w:b/>
                <w:b/>
                <w:sz w:val="24"/>
              </w:rPr>
            </w:pPr>
            <w:r>
              <w:rPr>
                <w:rFonts w:eastAsia="黑体" w:cs="楷体_GB2312;楷体" w:ascii="SimHei" w:hAnsi="SimHei"/>
                <w:b/>
                <w:sz w:val="24"/>
              </w:rPr>
              <w:t xml:space="preserve">  </w:t>
            </w:r>
            <w:r>
              <w:rPr>
                <w:rFonts w:ascii="SimHei" w:hAnsi="SimHei" w:eastAsia="黑体"/>
                <w:b/>
                <w:sz w:val="24"/>
              </w:rPr>
              <w:t>见</w:t>
            </w:r>
          </w:p>
        </w:tc>
        <w:tc>
          <w:tcPr>
            <w:tcW w:w="7968" w:type="dxa"/>
            <w:gridSpan w:val="8"/>
            <w:tcBorders>
              <w:top w:val="single" w:sz="6" w:space="0" w:color="000000"/>
              <w:start w:val="single" w:sz="6" w:space="0" w:color="000000"/>
              <w:bottom w:val="single" w:sz="6" w:space="0" w:color="000000"/>
              <w:end w:val="single" w:sz="12" w:space="0" w:color="000000"/>
            </w:tcBorders>
            <w:vAlign w:val="center"/>
          </w:tcPr>
          <w:p>
            <w:pPr>
              <w:pStyle w:val="Normal"/>
              <w:snapToGrid w:val="false"/>
              <w:rPr>
                <w:rFonts w:ascii="楷体_GB2312;楷体" w:hAnsi="楷体_GB2312;楷体" w:eastAsia="楷体_GB2312;楷体"/>
                <w:b/>
                <w:b/>
                <w:sz w:val="24"/>
              </w:rPr>
            </w:pPr>
            <w:r>
              <w:rPr>
                <w:rFonts w:eastAsia="黑体" w:ascii="SimHei" w:hAnsi="SimHei"/>
                <w:b/>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rFonts w:ascii="楷体_GB2312;楷体" w:hAnsi="楷体_GB2312;楷体" w:eastAsia="楷体_GB2312;楷体"/>
                <w:sz w:val="24"/>
              </w:rPr>
            </w:pPr>
            <w:r>
              <w:rPr>
                <w:rFonts w:eastAsia="黑体" w:ascii="SimHei" w:hAnsi="SimHei"/>
                <w:sz w:val="24"/>
              </w:rPr>
            </w:r>
          </w:p>
          <w:p>
            <w:pPr>
              <w:pStyle w:val="Normal"/>
              <w:rPr/>
            </w:pPr>
            <w:r>
              <w:rPr>
                <w:rFonts w:eastAsia="黑体" w:cs="楷体_GB2312;楷体" w:ascii="SimHei" w:hAnsi="SimHei"/>
                <w:sz w:val="24"/>
              </w:rPr>
              <w:t xml:space="preserve">                                   </w:t>
            </w:r>
            <w:r>
              <w:rPr>
                <w:rFonts w:ascii="SimHei" w:hAnsi="SimHei" w:eastAsia="黑体"/>
                <w:sz w:val="24"/>
              </w:rPr>
              <w:t>公司领导：</w:t>
            </w:r>
          </w:p>
          <w:p>
            <w:pPr>
              <w:pStyle w:val="Normal"/>
              <w:rPr>
                <w:rFonts w:ascii="楷体_GB2312;楷体" w:hAnsi="楷体_GB2312;楷体" w:eastAsia="楷体_GB2312;楷体"/>
                <w:sz w:val="24"/>
              </w:rPr>
            </w:pPr>
            <w:r>
              <w:rPr>
                <w:rFonts w:eastAsia="黑体" w:cs="楷体_GB2312;楷体" w:ascii="SimHei" w:hAnsi="SimHei"/>
                <w:sz w:val="24"/>
              </w:rPr>
              <w:t xml:space="preserve">                                       </w:t>
            </w:r>
            <w:r>
              <w:rPr>
                <w:rFonts w:ascii="SimHei" w:hAnsi="SimHei" w:eastAsia="黑体"/>
                <w:sz w:val="24"/>
              </w:rPr>
              <w:t>年    月    日</w:t>
            </w:r>
          </w:p>
        </w:tc>
      </w:tr>
      <w:tr>
        <w:trPr>
          <w:cantSplit w:val="true"/>
        </w:trPr>
        <w:tc>
          <w:tcPr>
            <w:tcW w:w="1065" w:type="dxa"/>
            <w:gridSpan w:val="2"/>
            <w:tcBorders>
              <w:top w:val="single" w:sz="6" w:space="0" w:color="000000"/>
              <w:start w:val="single" w:sz="12" w:space="0" w:color="000000"/>
              <w:bottom w:val="single" w:sz="12" w:space="0" w:color="000000"/>
              <w:end w:val="single" w:sz="6" w:space="0" w:color="000000"/>
            </w:tcBorders>
            <w:vAlign w:val="center"/>
          </w:tcPr>
          <w:p>
            <w:pPr>
              <w:pStyle w:val="Normal"/>
              <w:ind w:firstLine="241"/>
              <w:rPr>
                <w:rFonts w:ascii="楷体_GB2312;楷体" w:hAnsi="楷体_GB2312;楷体" w:eastAsia="楷体_GB2312;楷体"/>
                <w:b/>
                <w:b/>
                <w:sz w:val="24"/>
              </w:rPr>
            </w:pPr>
            <w:r>
              <w:rPr>
                <w:rFonts w:ascii="SimHei" w:hAnsi="SimHei" w:eastAsia="黑体"/>
                <w:b/>
                <w:sz w:val="24"/>
              </w:rPr>
              <w:t>备</w:t>
            </w:r>
          </w:p>
          <w:p>
            <w:pPr>
              <w:pStyle w:val="Normal"/>
              <w:ind w:firstLine="241"/>
              <w:rPr>
                <w:rFonts w:ascii="楷体_GB2312;楷体" w:hAnsi="楷体_GB2312;楷体" w:eastAsia="楷体_GB2312;楷体"/>
                <w:b/>
                <w:b/>
                <w:sz w:val="24"/>
              </w:rPr>
            </w:pPr>
            <w:r>
              <w:rPr>
                <w:rFonts w:eastAsia="黑体" w:ascii="SimHei" w:hAnsi="SimHei"/>
                <w:b/>
                <w:sz w:val="24"/>
              </w:rPr>
            </w:r>
          </w:p>
          <w:p>
            <w:pPr>
              <w:pStyle w:val="Normal"/>
              <w:ind w:firstLine="241"/>
              <w:rPr>
                <w:rFonts w:ascii="楷体_GB2312;楷体" w:hAnsi="楷体_GB2312;楷体" w:eastAsia="楷体_GB2312;楷体"/>
                <w:sz w:val="24"/>
              </w:rPr>
            </w:pPr>
            <w:r>
              <w:rPr>
                <w:rFonts w:ascii="SimHei" w:hAnsi="SimHei" w:eastAsia="黑体"/>
                <w:b/>
                <w:sz w:val="24"/>
              </w:rPr>
              <w:t>注</w:t>
            </w:r>
          </w:p>
        </w:tc>
        <w:tc>
          <w:tcPr>
            <w:tcW w:w="7968" w:type="dxa"/>
            <w:gridSpan w:val="8"/>
            <w:tcBorders>
              <w:top w:val="single" w:sz="6" w:space="0" w:color="000000"/>
              <w:start w:val="single" w:sz="6" w:space="0" w:color="000000"/>
              <w:bottom w:val="single" w:sz="12" w:space="0" w:color="000000"/>
              <w:end w:val="single" w:sz="12" w:space="0" w:color="000000"/>
            </w:tcBorders>
            <w:vAlign w:val="center"/>
          </w:tcPr>
          <w:p>
            <w:pPr>
              <w:pStyle w:val="Normal"/>
              <w:snapToGrid w:val="false"/>
              <w:rPr>
                <w:rFonts w:ascii="楷体_GB2312;楷体" w:hAnsi="楷体_GB2312;楷体" w:eastAsia="楷体_GB2312;楷体"/>
                <w:sz w:val="24"/>
              </w:rPr>
            </w:pPr>
            <w:r>
              <w:rPr>
                <w:rFonts w:eastAsia="黑体" w:ascii="SimHei" w:hAnsi="SimHei"/>
                <w:sz w:val="24"/>
              </w:rPr>
            </w:r>
          </w:p>
        </w:tc>
      </w:tr>
    </w:tbl>
    <w:p>
      <w:pPr>
        <w:pStyle w:val="Normal"/>
        <w:ind w:firstLine="420"/>
        <w:rPr/>
      </w:pPr>
      <w:r>
        <w:rPr>
          <w:rFonts w:ascii="SimHei" w:hAnsi="SimHei" w:eastAsia="黑体"/>
        </w:rPr>
      </w:r>
    </w:p>
    <w:sectPr>
      <w:headerReference w:type="default" r:id="rId2"/>
      <w:footerReference w:type="default" r:id="rId3"/>
      <w:type w:val="nextPage"/>
      <w:pgSz w:w="11906" w:h="16838"/>
      <w:pgMar w:left="1474" w:right="1474" w:header="851" w:top="1361" w:footer="992" w:bottom="136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仿宋_GB2312">
    <w:altName w:val="微软雅黑"/>
    <w:charset w:val="86"/>
    <w:family w:val="modern"/>
    <w:pitch w:val="default"/>
  </w:font>
  <w:font w:name="楷体_GB2312">
    <w:altName w:val="楷体"/>
    <w:charset w:val="86"/>
    <w:family w:val="modern"/>
    <w:pitch w:val="default"/>
  </w:font>
  <w:font w:name="Liberation Sans">
    <w:altName w:val="Arial"/>
    <w:charset w:val="01" w:characterSet="utf-8"/>
    <w:family w:val="swiss"/>
    <w:pitch w:val="variable"/>
  </w:font>
  <w:font w:name="黑体">
    <w:altName w:val="SimHei"/>
    <w:charset w:val="86"/>
    <w:family w:val="modern"/>
    <w:pitch w:val="default"/>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宋体;SimSun" w:hAnsi="宋体;SimSun" w:cs="宋体;SimSun"/>
        <w:color w:val="0080FF"/>
      </w:rPr>
    </w:pPr>
    <w:r>
      <w:rPr>
        <w:rFonts w:cs="宋体;SimSun" w:ascii="宋体;SimSun" w:hAnsi="宋体;SimSun"/>
        <w:color w:val="0080FF"/>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sz w:val="30"/>
      </w:rPr>
    </w:pPr>
    <w:r>
      <w:rPr>
        <w:sz w:val="3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832"/>
        </w:tabs>
        <w:ind w:start="832" w:hanging="360"/>
      </w:pPr>
      <w:rPr>
        <w:sz w:val="24"/>
        <w:bCs/>
        <w:rFonts w:ascii="仿宋_GB2312;微软雅黑" w:hAnsi="仿宋_GB2312;微软雅黑" w:eastAsia="仿宋_GB2312;微软雅黑"/>
      </w:rPr>
    </w:lvl>
  </w:abstractNum>
  <w:abstractNum w:abstractNumId="2">
    <w:lvl w:ilvl="0">
      <w:start w:val="6"/>
      <w:numFmt w:val="chineseCountingThousand"/>
      <w:lvlText w:val="第%1条"/>
      <w:lvlJc w:val="start"/>
      <w:pPr>
        <w:tabs>
          <w:tab w:val="num" w:pos="1442"/>
        </w:tabs>
        <w:ind w:start="1442" w:hanging="9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Wingdings" w:hAnsi="Wingdings" w:cs="Wingdings"/>
    </w:rPr>
  </w:style>
  <w:style w:type="character" w:styleId="WW8Num2z0">
    <w:name w:val="WW8Num2z0"/>
    <w:qFormat/>
    <w:rPr/>
  </w:style>
  <w:style w:type="character" w:styleId="WW8Num2z1">
    <w:name w:val="WW8Num2z1"/>
    <w:qFormat/>
    <w:rPr>
      <w:b/>
    </w:rPr>
  </w:style>
  <w:style w:type="character" w:styleId="WW8Num2z2">
    <w:name w:val="WW8Num2z2"/>
    <w:qFormat/>
    <w:rPr>
      <w:rFonts w:ascii="Times New Roman" w:hAnsi="Times New Roman" w:eastAsia="Times New Roman" w:cs="Times New Roman"/>
    </w:rPr>
  </w:style>
  <w:style w:type="character" w:styleId="WW8Num2z3">
    <w:name w:val="WW8Num2z3"/>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仿宋_GB2312;微软雅黑" w:hAnsi="仿宋_GB2312;微软雅黑" w:eastAsia="仿宋_GB2312;微软雅黑"/>
      <w:bCs/>
      <w:sz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0z1">
    <w:name w:val="WW8Num10z1"/>
    <w:qFormat/>
    <w:rPr>
      <w:b/>
    </w:rPr>
  </w:style>
  <w:style w:type="character" w:styleId="WW8Num10z2">
    <w:name w:val="WW8Num10z2"/>
    <w:qFormat/>
    <w:rPr>
      <w:rFonts w:ascii="Times New Roman" w:hAnsi="Times New Roman" w:eastAsia="Times New Roman" w:cs="Times New Roman"/>
    </w:rPr>
  </w:style>
  <w:style w:type="character" w:styleId="WW8Num10z3">
    <w:name w:val="WW8Num10z3"/>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b/>
      <w:lang w:val="en-US"/>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楷体_GB2312;楷体" w:hAnsi="楷体_GB2312;楷体" w:cs="楷体_GB2312;楷体"/>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Wingdings" w:hAnsi="Wingdings" w:cs="Wingdings"/>
    </w:rPr>
  </w:style>
  <w:style w:type="character" w:styleId="WW8Num15z0">
    <w:name w:val="WW8Num15z0"/>
    <w:qFormat/>
    <w:rPr>
      <w:rFonts w:ascii="楷体_GB2312;楷体" w:hAnsi="楷体_GB2312;楷体" w:cs="楷体_GB2312;楷体"/>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楷体_GB2312;楷体" w:hAnsi="楷体_GB2312;楷体" w:cs="楷体_GB2312;楷体"/>
    </w:rPr>
  </w:style>
  <w:style w:type="character" w:styleId="WW8Num18z0">
    <w:name w:val="WW8Num18z0"/>
    <w:qFormat/>
    <w:rPr>
      <w:rFonts w:ascii="Wingdings" w:hAnsi="Wingdings" w:cs="Wingdings"/>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Wingdings" w:hAnsi="Wingdings" w:cs="Wingdings"/>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批注框文本"/>
    <w:basedOn w:val="Normal"/>
    <w:qFormat/>
    <w:pPr/>
    <w:rPr>
      <w:sz w:val="18"/>
      <w:szCs w:val="18"/>
    </w:rPr>
  </w:style>
  <w:style w:type="paragraph" w:styleId="3">
    <w:name w:val="正文文本缩进 3"/>
    <w:basedOn w:val="Normal"/>
    <w:qFormat/>
    <w:pPr>
      <w:spacing w:before="0" w:after="120"/>
      <w:ind w:start="420" w:hanging="0"/>
    </w:pPr>
    <w:rPr>
      <w:sz w:val="16"/>
      <w:szCs w:val="16"/>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2011-05-10T10:23:00Z</dcterms:created>
  <dc:creator> </dc:creator>
  <dc:description/>
  <cp:keywords> </cp:keywords>
  <dc:language>en-US</dc:language>
  <cp:lastModifiedBy>Client</cp:lastModifiedBy>
  <cp:lastPrinted>2009-03-12T13:39:00Z</cp:lastPrinted>
  <dcterms:modified xsi:type="dcterms:W3CDTF">2017-06-20T15:06:00Z</dcterms:modified>
  <cp:revision>15</cp:revision>
  <dc:subject/>
  <dc:title> </dc:title>
</cp:coreProperties>
</file>