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3"/>
        <w:ind w:start="0" w:hanging="0"/>
        <w:jc w:val="center"/>
        <w:textAlignment w:val="auto"/>
        <w:rPr>
          <w:rFonts w:ascii="楷体" w:hAnsi="楷体" w:eastAsia="楷体" w:cs="楷体"/>
          <w:b/>
          <w:b/>
          <w:sz w:val="36"/>
          <w:szCs w:val="36"/>
        </w:rPr>
      </w:pPr>
      <w:r>
        <w:rPr>
          <w:rFonts w:ascii="SimHei" w:hAnsi="SimHei" w:cs="楷体" w:eastAsia="黑体"/>
          <w:b/>
          <w:sz w:val="36"/>
          <w:szCs w:val="36"/>
          <w:lang w:eastAsia="zh-CN"/>
        </w:rPr>
        <w:t>通讯公司</w:t>
      </w:r>
      <w:r>
        <w:rPr>
          <w:rFonts w:ascii="SimHei" w:hAnsi="SimHei" w:cs="楷体" w:eastAsia="黑体"/>
          <w:b/>
          <w:sz w:val="36"/>
          <w:szCs w:val="36"/>
        </w:rPr>
        <w:t>公司职位职等管理办法（修订）</w:t>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b/>
          <w:b/>
          <w:sz w:val="24"/>
        </w:rPr>
      </w:pPr>
      <w:r>
        <w:rPr>
          <w:rFonts w:ascii="SimHei" w:hAnsi="SimHei" w:cs="楷体" w:eastAsia="黑体"/>
          <w:b/>
          <w:sz w:val="24"/>
        </w:rPr>
        <w:t>第一章  总则</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第一条  目的</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（一）通过有效的职位管理，满足公司运营管理实现的需要，促进运作流程和人力资源配置的优化。</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（二）规范职位和职等管理，通过职位宽带化，为员工职业发展提供通道。</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第二条  原则</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（一）满足战略、架构与业务流程需要原则。职位职等的设置与管理应在满足公司经营发展战略需要的前提下，依托组织架构的框架，致力于保障业务流程的实现与优化。</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（二）动态管理原则。根据公司运营发展和人力资源数量与质量的变化，对职位职等和任职人员进行动态跟踪与调整，不断探索人力资源优化配置的方法与思路。</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（三）效率优先，兼顾人员现状原则。职位职等的设置与管理应以运作效率的提升为目标，同时考虑现有人员状况。</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（四）双因素原则。职位职等管理中同时体现职位价值因素与人员贡献度因素。</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第三条  适用范围</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sz w:val="24"/>
        </w:rPr>
      </w:pPr>
      <w:r>
        <w:rPr>
          <w:rFonts w:ascii="SimHei" w:hAnsi="SimHei" w:cs="楷体" w:eastAsia="黑体"/>
          <w:bCs/>
          <w:sz w:val="24"/>
        </w:rPr>
        <w:t>本办法适用于公司全体员工（不含离岗退养员工）职位职等的管理，其中省公司党组及分公司党委管理中层只纳入职位族经理条线及相应主族和子族，不纳入职位系列及职位水平等级，仍按原职务系列管理。</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第四条  职责与分工</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省公司人力资源部负责职位职等管理相关制度及办法的制定与管理，并对职位职等管理工作进行指导。</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各市分公司人力资源部负责职位日常管理与指导。</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b/>
          <w:b/>
          <w:sz w:val="24"/>
        </w:rPr>
      </w:pPr>
      <w:r>
        <w:rPr>
          <w:rFonts w:ascii="SimHei" w:hAnsi="SimHei" w:cs="楷体" w:eastAsia="黑体"/>
          <w:b/>
          <w:sz w:val="24"/>
        </w:rPr>
        <w:t>第二章  职位体系及定义</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第五条  职位</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职位即岗位，是一定的任务和职责的有机组合。每个职位应有唯一的职位名称。不同的员工可以从事同一个职位。省公司统一制订下发公司典型职位。</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lang w:eastAsia="zh-CN"/>
        </w:rPr>
        <w:t>第六条</w:t>
      </w:r>
      <w:r>
        <w:rPr>
          <w:rFonts w:ascii="SimHei" w:hAnsi="SimHei" w:cs="楷体" w:eastAsia="黑体"/>
          <w:b/>
          <w:sz w:val="24"/>
          <w:lang w:val="en-US" w:eastAsia="zh-CN"/>
        </w:rPr>
        <w:t xml:space="preserve"> </w:t>
      </w:r>
      <w:r>
        <w:rPr>
          <w:rFonts w:ascii="SimHei" w:hAnsi="SimHei" w:cs="楷体" w:eastAsia="黑体"/>
          <w:b/>
          <w:sz w:val="24"/>
        </w:rPr>
        <w:t>职位条线</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根据工作性质和工作能力要求相似性，公司职位分成综合、市场、技术、经理四大职位条线。</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lang w:eastAsia="zh-CN"/>
        </w:rPr>
        <w:t>第七条</w:t>
      </w:r>
      <w:r>
        <w:rPr>
          <w:rFonts w:ascii="SimHei" w:hAnsi="SimHei" w:cs="楷体" w:eastAsia="黑体"/>
          <w:b/>
          <w:sz w:val="24"/>
          <w:lang w:val="en-US" w:eastAsia="zh-CN"/>
        </w:rPr>
        <w:t xml:space="preserve"> </w:t>
      </w:r>
      <w:r>
        <w:rPr>
          <w:rFonts w:ascii="SimHei" w:hAnsi="SimHei" w:cs="楷体" w:eastAsia="黑体"/>
          <w:b/>
          <w:sz w:val="24"/>
        </w:rPr>
        <w:t>职位主族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根据职能相似性，每一职位条线分成相应的职位主族，具体十三主族为：</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bCs/>
          <w:kern w:val="0"/>
          <w:sz w:val="24"/>
        </w:rPr>
        <w:t>（一）综合线分成战略运营、人力资源、财务管理、党群工会、风险管理、行政后勤六个职位主族：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、战略运营：负责战略研究与管理、组织绩效等涉及公司战略运营方面的工作，以及创新管理、流程管理、知识管理、咨询项目管理、企业责任管理等涉及企业管理方面的工作。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、人力资源：负责人力资源规划、人力资源管理体系建设与运营等方面的管理，包括人力资源规划管理、岗位管理、招聘管理、绩效管理、培训管理、薪酬管理、员工档案管理等工作。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、财务管理：负责财务管理方面的制度制定、决策执行以及相关事务性工作。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4</w:t>
      </w:r>
      <w:r>
        <w:rPr>
          <w:rFonts w:ascii="SimHei" w:hAnsi="SimHei" w:cs="楷体" w:eastAsia="黑体"/>
          <w:bCs/>
          <w:kern w:val="0"/>
          <w:sz w:val="24"/>
        </w:rPr>
        <w:t>、党群工会：负责开展企业文化建设、精神文明建设和创建文明行业工作，开展员工的思想政治教育和疏导工作。组织公司民主、劳模、评先、劳动竞赛活动的开展，处理协调员工关系，保证员工的合法权益。</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5</w:t>
      </w:r>
      <w:r>
        <w:rPr>
          <w:rFonts w:ascii="SimHei" w:hAnsi="SimHei" w:cs="楷体" w:eastAsia="黑体"/>
          <w:bCs/>
          <w:kern w:val="0"/>
          <w:sz w:val="24"/>
        </w:rPr>
        <w:t>、风险管理：负责全面风险管理基础平台建设、廉政风险、</w:t>
      </w:r>
      <w:r>
        <w:rPr>
          <w:rFonts w:eastAsia="黑体" w:cs="楷体" w:ascii="SimHei" w:hAnsi="SimHei"/>
          <w:bCs/>
          <w:kern w:val="0"/>
          <w:sz w:val="24"/>
        </w:rPr>
        <w:t>SOX</w:t>
      </w:r>
      <w:r>
        <w:rPr>
          <w:rFonts w:ascii="SimHei" w:hAnsi="SimHei" w:cs="楷体" w:eastAsia="黑体"/>
          <w:bCs/>
          <w:kern w:val="0"/>
          <w:sz w:val="24"/>
        </w:rPr>
        <w:t>风险、法律风险等可能涉及到企业经营风险的管理工作。主要包括审计、纪检、监察、内控、法律事务等工作。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6</w:t>
      </w:r>
      <w:r>
        <w:rPr>
          <w:rFonts w:ascii="SimHei" w:hAnsi="SimHei" w:cs="楷体" w:eastAsia="黑体"/>
          <w:bCs/>
          <w:kern w:val="0"/>
          <w:sz w:val="24"/>
        </w:rPr>
        <w:t>、行政后勤：负责对公司的综合行政、后勤采购等进行管理，包括公文管理、文秘事务、新闻宣传、物资采购、接待事务、安全管理、档案管理、后勤管理等工作。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（二）市场线分成</w:t>
      </w:r>
      <w:r>
        <w:rPr>
          <w:rFonts w:ascii="SimHei" w:hAnsi="SimHei" w:cs="楷体" w:eastAsia="黑体"/>
          <w:bCs/>
          <w:kern w:val="0"/>
          <w:sz w:val="24"/>
        </w:rPr>
        <w:t>营销策划、运营管理、销售服务三个职位主族：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、营销策划：负责在内外部环境分析的基础上，确定营销策略（包括整体营销策略和各细分市场的营销策略。策略内容包括品牌、产品、资费、服务、渠道的策略）和营销资源规划。</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、运营管理：负责营销运营的管理工作，包括运营体系建设和营销策略执行的计划、组织、监控工作，以及各类市场和客户的产品管理、渠道管理、业务流程和服务管理等。</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3</w:t>
      </w:r>
      <w:r>
        <w:rPr>
          <w:rFonts w:ascii="SimHei" w:hAnsi="SimHei" w:cs="楷体" w:eastAsia="黑体"/>
          <w:sz w:val="24"/>
        </w:rPr>
        <w:t>、销售服务：负责各类产品、业务的销售执行和服务实施工作。包括销售服务的操作性工作和直接支持性工作。</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ascii="SimHei" w:hAnsi="SimHei" w:cs="楷体" w:eastAsia="黑体"/>
          <w:sz w:val="24"/>
        </w:rPr>
        <w:t>（三）技术线分成</w:t>
      </w:r>
      <w:r>
        <w:rPr>
          <w:rFonts w:ascii="SimHei" w:hAnsi="SimHei" w:cs="楷体" w:eastAsia="黑体"/>
          <w:bCs/>
          <w:kern w:val="0"/>
          <w:sz w:val="24"/>
        </w:rPr>
        <w:t>系统支撑、业务开发与支持、网络运营三个职位主族：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、系统支撑：负责在技术层面，为公司在信息化管理、业务运营方面提供信息系统支持，实现管理与运营的高效率。</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、业务开发与支持：负责建立完善业务开发体系，研究客户消费行为，开发适应市场变化的新业务，某集团市场的产品研发、优化及支撑工作，为业务发展提供技术及资源的支撑，实现快速响应客户需求的目的。</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、网络运营：负责通信网络的规划、建设、监控、维护、优化及网络运营管理，满足市场发展需求，确保网络高质量运行。</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ascii="SimHei" w:hAnsi="SimHei" w:cs="楷体" w:eastAsia="黑体"/>
          <w:bCs/>
          <w:kern w:val="0"/>
          <w:sz w:val="24"/>
        </w:rPr>
        <w:t>（四）经理线分为经理族一个职位主族：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经理族：指具有管理职责（即有下属汇报路径），通过指挥、协调他人的工作，实现组织目标。</w:t>
      </w:r>
    </w:p>
    <w:p>
      <w:pPr>
        <w:pStyle w:val="Normal"/>
        <w:keepNext w:val="false"/>
        <w:keepLines w:val="false"/>
        <w:pageBreakBefore w:val="false"/>
        <w:widowControl w:val="false"/>
        <w:kinsoku w:val="true"/>
        <w:overflowPunct w:val="true"/>
        <w:autoSpaceDE w:val="true"/>
        <w:bidi w:val="0"/>
        <w:spacing w:lineRule="auto" w:line="360"/>
        <w:ind w:start="0" w:firstLine="472"/>
        <w:textAlignment w:val="auto"/>
        <w:rPr>
          <w:rFonts w:ascii="楷体" w:hAnsi="楷体" w:eastAsia="楷体" w:cs="楷体"/>
          <w:b/>
          <w:b/>
          <w:sz w:val="24"/>
        </w:rPr>
      </w:pPr>
      <w:r>
        <w:rPr>
          <w:rFonts w:ascii="SimHei" w:hAnsi="SimHei" w:cs="楷体" w:eastAsia="黑体"/>
          <w:b/>
          <w:sz w:val="24"/>
        </w:rPr>
        <w:t>第八条  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sz w:val="24"/>
        </w:rPr>
      </w:pPr>
      <w:r>
        <w:rPr>
          <w:rFonts w:ascii="SimHei" w:hAnsi="SimHei" w:cs="楷体" w:eastAsia="黑体"/>
          <w:sz w:val="24"/>
        </w:rPr>
        <w:t>综合考虑职能、流程、专业、业务等相似性，每个职位主族分成相应的职位子族，具体二十九个职位子族为：</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Cs/>
          <w:kern w:val="0"/>
          <w:sz w:val="24"/>
        </w:rPr>
      </w:pPr>
      <w:r>
        <w:rPr>
          <w:rFonts w:ascii="SimHei" w:hAnsi="SimHei" w:cs="楷体" w:eastAsia="黑体"/>
          <w:sz w:val="24"/>
        </w:rPr>
        <w:t>（一）</w:t>
      </w:r>
      <w:r>
        <w:rPr>
          <w:rFonts w:ascii="SimHei" w:hAnsi="SimHei" w:cs="楷体" w:eastAsia="黑体"/>
          <w:bCs/>
          <w:kern w:val="0"/>
          <w:sz w:val="24"/>
        </w:rPr>
        <w:t>战略运营主族分成战略运营一个职位子族：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bCs/>
          <w:kern w:val="0"/>
          <w:sz w:val="24"/>
        </w:rPr>
        <w:t xml:space="preserve">战略运营：负责战略研究与管理、组织绩效等涉及公司战略运营方面的工作，以及创新管理、流程管理、知识管理、咨询项目管理、企业责任管理等涉及企业管理方面的工作。 </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（二）</w:t>
      </w:r>
      <w:r>
        <w:rPr>
          <w:rFonts w:ascii="SimHei" w:hAnsi="SimHei" w:cs="楷体" w:eastAsia="黑体"/>
          <w:bCs/>
          <w:kern w:val="0"/>
          <w:sz w:val="24"/>
        </w:rPr>
        <w:t>人力资源主族分为人力资源一个职位子族：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sz w:val="24"/>
        </w:rPr>
      </w:pPr>
      <w:r>
        <w:rPr>
          <w:rFonts w:ascii="SimHei" w:hAnsi="SimHei" w:cs="楷体" w:eastAsia="黑体"/>
          <w:sz w:val="24"/>
        </w:rPr>
        <w:t>人力资源：负责人力资源规划、人力资源管理体系建设与运营等方面的管理，包括人力资源规划管理、岗位管理、招聘管理、绩效管理、培训管理、薪酬管理、员工档案管理等工作。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（三）</w:t>
      </w:r>
      <w:r>
        <w:rPr>
          <w:rFonts w:ascii="SimHei" w:hAnsi="SimHei" w:cs="楷体" w:eastAsia="黑体"/>
          <w:bCs/>
          <w:kern w:val="0"/>
          <w:sz w:val="24"/>
        </w:rPr>
        <w:t>财务管理主族分为财务管理、核算管理二个职位子族：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、财务管理：负责公司预算的制定，规划、分解、跟踪公司年度经营目标，完善公司经营业绩考核体系；建立、优化公司统计管理，编写财务分析报告，防范运营风险，确保报告信息质量及按时完成披露。</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、核算管理：负责制定会计核算的流程、规范、管理办法，开展会计核算工作，及时、完整、真实披露会计信息，满足管理者信息需求。</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（四）</w:t>
      </w:r>
      <w:r>
        <w:rPr>
          <w:rFonts w:ascii="SimHei" w:hAnsi="SimHei" w:cs="楷体" w:eastAsia="黑体"/>
          <w:bCs/>
          <w:kern w:val="0"/>
          <w:sz w:val="24"/>
        </w:rPr>
        <w:t>党群工会主族分为党群工会一个职位子族：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sz w:val="24"/>
        </w:rPr>
      </w:pPr>
      <w:r>
        <w:rPr>
          <w:rFonts w:ascii="SimHei" w:hAnsi="SimHei" w:cs="楷体" w:eastAsia="黑体"/>
          <w:bCs/>
          <w:kern w:val="0"/>
          <w:sz w:val="24"/>
        </w:rPr>
        <w:t>党群工会：</w:t>
      </w:r>
      <w:r>
        <w:rPr>
          <w:rFonts w:ascii="SimHei" w:hAnsi="SimHei" w:cs="楷体" w:eastAsia="黑体"/>
          <w:sz w:val="24"/>
        </w:rPr>
        <w:t>负责开展企业文化建设、精神文明建设和创建文明行业工作 ，开展员工的思想政治教育和疏导工作。组织公司民主、劳模、评先、劳动竞赛活动的开展，处理协调员工关系，保证员工的合法权益。</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（五）</w:t>
      </w:r>
      <w:r>
        <w:rPr>
          <w:rFonts w:ascii="SimHei" w:hAnsi="SimHei" w:cs="楷体" w:eastAsia="黑体"/>
          <w:bCs/>
          <w:kern w:val="0"/>
          <w:sz w:val="24"/>
        </w:rPr>
        <w:t>风险管理主族分为风险管理一个职位子族：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bCs/>
          <w:kern w:val="0"/>
          <w:sz w:val="24"/>
        </w:rPr>
        <w:t>风险管理：负责全面风险管理基础平台建设、廉政风险、</w:t>
      </w:r>
      <w:r>
        <w:rPr>
          <w:rFonts w:eastAsia="黑体" w:cs="楷体" w:ascii="SimHei" w:hAnsi="SimHei"/>
          <w:bCs/>
          <w:kern w:val="0"/>
          <w:sz w:val="24"/>
        </w:rPr>
        <w:t>SOX</w:t>
      </w:r>
      <w:r>
        <w:rPr>
          <w:rFonts w:ascii="SimHei" w:hAnsi="SimHei" w:cs="楷体" w:eastAsia="黑体"/>
          <w:bCs/>
          <w:kern w:val="0"/>
          <w:sz w:val="24"/>
        </w:rPr>
        <w:t>风险、法律风险等可能涉及到企业经营风险的管理工作。主要包括审计、纪检、监察、内控、法律事务等工作。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（六）</w:t>
      </w:r>
      <w:r>
        <w:rPr>
          <w:rFonts w:ascii="SimHei" w:hAnsi="SimHei" w:cs="楷体" w:eastAsia="黑体"/>
          <w:bCs/>
          <w:kern w:val="0"/>
          <w:sz w:val="24"/>
        </w:rPr>
        <w:t>行政后勤主族分为综合行政、采购管理、后勤服务三个职位子族：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、综合行政：负责建立各项行政服务管理制度和工作流程，开展行政服务工作，包括公文管理、档案管理、新闻管理、会务组织、公关接待等日常工作，以及完成领导临时交办的相关事项。</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、采购管理：负责制定公司采购的相关规范、政策及物流管理制度，组织开展采购招投标管理、采购供应商管理工作，承担公司各类物资的采购、配送管理以及仓库物资的日常库存管理等工作。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、后勤服务：负责车辆管理、物业管理、安全管理等后勤服务相关工作，制定公司安全生产、通信保卫的相关制度、规范，组织开展安全生产、通信保卫等工作。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（七）</w:t>
      </w:r>
      <w:r>
        <w:rPr>
          <w:rFonts w:ascii="SimHei" w:hAnsi="SimHei" w:cs="楷体" w:eastAsia="黑体"/>
          <w:bCs/>
          <w:kern w:val="0"/>
          <w:sz w:val="24"/>
        </w:rPr>
        <w:t>营销策划主族分为经营分析、市场策划二个职位子族：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、经营分析：负责市场经营环境分析，组织开展市场调研工作，提供市场统计分析报告。针对公司的运营数据进行分析，为公司提供决策支持。</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市场策划：根据市场发展状况和客户需求，负责制定市场发展规划及发展策略。负责公司的品牌管理、资费政策、产品组合、终端营销、营销方案策划、市场宣传推广等工作，合理配置、协调各类资源，提升公司的整体营销水平。</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（八）</w:t>
      </w:r>
      <w:r>
        <w:rPr>
          <w:rFonts w:ascii="SimHei" w:hAnsi="SimHei" w:cs="楷体" w:eastAsia="黑体"/>
          <w:bCs/>
          <w:kern w:val="0"/>
          <w:sz w:val="24"/>
        </w:rPr>
        <w:t>运营管理主族分为业务管理、服务管理、渠道管理三个职位子族：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业务管理：负责制定、完善和监督执行各类业务运作的规则、流程，根据管理规范组织开展相关工作。包括资费管理、终端管理、欠费管理、业务稽核管理，合作伙伴的拓展、维系，以及号卡资源的规划、分配、监控等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、服务管理：负责制定完善各项服务管理制度、流程、规范和标准，开展各项服务质量检查、监督、考核和评比工作，制定服务提升方案和服务短板改善计划，提高服务质量</w:t>
      </w:r>
      <w:r>
        <w:rPr>
          <w:rFonts w:eastAsia="黑体" w:cs="楷体" w:ascii="SimHei" w:hAnsi="SimHei"/>
          <w:bCs/>
          <w:kern w:val="0"/>
          <w:sz w:val="24"/>
        </w:rPr>
        <w:t>,</w:t>
      </w:r>
      <w:r>
        <w:rPr>
          <w:rFonts w:ascii="SimHei" w:hAnsi="SimHei" w:cs="楷体" w:eastAsia="黑体"/>
          <w:bCs/>
          <w:kern w:val="0"/>
          <w:sz w:val="24"/>
        </w:rPr>
        <w:t>协调并持续优化服务流程，不断提升服务水平和客户满意度。</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、渠道管理：负责制定自有、社会、电子渠道的规划，组织开展新型营销和服务渠道的建设、拓展工作，收集、分析、记录、更新各类渠道相关信息，监控渠道的运营状况，确保渠道指标的达成。</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（九）</w:t>
      </w:r>
      <w:r>
        <w:rPr>
          <w:rFonts w:ascii="SimHei" w:hAnsi="SimHei" w:cs="楷体" w:eastAsia="黑体"/>
          <w:bCs/>
          <w:kern w:val="0"/>
          <w:sz w:val="24"/>
        </w:rPr>
        <w:t>销售服务主族分为电子销售服务、大客户销售服务、营业厅销售服务三个职位子族：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、电子销售服务：负责通过各种电子渠道向客户提供信息咨询、业务办理、投诉受理等服务，并开展客户关怀、主动呼出等活动。</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、大客户销售服务：某集团客户的需求，配合相关部门进行技术方案、应用方案的开发。向客户推荐各类信息化产品和服务，开展客户的拓展、关怀和日常回访等工作，提供顾问式服务。</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、营业厅销售服务：负责通过营业厅渠道，为客户提供业务办理、咨询、投诉受理等相关服务。</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（十）</w:t>
      </w:r>
      <w:r>
        <w:rPr>
          <w:rFonts w:ascii="SimHei" w:hAnsi="SimHei" w:cs="楷体" w:eastAsia="黑体"/>
          <w:bCs/>
          <w:kern w:val="0"/>
          <w:sz w:val="24"/>
        </w:rPr>
        <w:t>系统支撑主族分为系统开发管理、系统运维管理二个职位子族：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、系统开发管理：负责管理信息系统及业务支撑系统（</w:t>
      </w:r>
      <w:r>
        <w:rPr>
          <w:rFonts w:eastAsia="黑体" w:cs="楷体" w:ascii="SimHei" w:hAnsi="SimHei"/>
          <w:bCs/>
          <w:kern w:val="0"/>
          <w:sz w:val="24"/>
        </w:rPr>
        <w:t>BOSS</w:t>
      </w:r>
      <w:r>
        <w:rPr>
          <w:rFonts w:ascii="SimHei" w:hAnsi="SimHei" w:cs="楷体" w:eastAsia="黑体"/>
          <w:bCs/>
          <w:kern w:val="0"/>
          <w:sz w:val="24"/>
        </w:rPr>
        <w:t>系统、经分系统、客服系统等）的规划、开发与测试，包括系统规划、软件开发、软件测试、业务开发、业务测试，组织完成支撑系统的扩容扩建工作。</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、系统运维管理：主要负责管理信息系统及业务支撑系统（</w:t>
      </w:r>
      <w:r>
        <w:rPr>
          <w:rFonts w:eastAsia="黑体" w:cs="楷体" w:ascii="SimHei" w:hAnsi="SimHei"/>
          <w:bCs/>
          <w:kern w:val="0"/>
          <w:sz w:val="24"/>
        </w:rPr>
        <w:t>BOSS</w:t>
      </w:r>
      <w:r>
        <w:rPr>
          <w:rFonts w:ascii="SimHei" w:hAnsi="SimHei" w:cs="楷体" w:eastAsia="黑体"/>
          <w:bCs/>
          <w:kern w:val="0"/>
          <w:sz w:val="24"/>
        </w:rPr>
        <w:t>系统、经分系统、客服系统等）的监控、维护和优化，包括数据库管理、平台维护、硬件维护、应用系统维护等工作，保障系统功能的正常运行和实现。</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（十一）</w:t>
      </w:r>
      <w:r>
        <w:rPr>
          <w:rFonts w:ascii="SimHei" w:hAnsi="SimHei" w:cs="楷体" w:eastAsia="黑体"/>
          <w:bCs/>
          <w:kern w:val="0"/>
          <w:sz w:val="24"/>
        </w:rPr>
        <w:t>业务开发与支持主族分为业务开发与支持一个职位子族：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bCs/>
          <w:kern w:val="0"/>
          <w:sz w:val="24"/>
        </w:rPr>
        <w:t>业务开发与支持：负责建立完善业务开发体系，研究客户消费行为，开发适应市场变化的新业务，某集团市场的产品研发、优化及支撑工作。为业务发展提供技术及资源的支撑，实现快速响应客户需求的目的。</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ascii="SimHei" w:hAnsi="SimHei" w:cs="楷体" w:eastAsia="黑体"/>
          <w:sz w:val="24"/>
        </w:rPr>
        <w:t>（十二）</w:t>
      </w:r>
      <w:r>
        <w:rPr>
          <w:rFonts w:ascii="SimHei" w:hAnsi="SimHei" w:cs="楷体" w:eastAsia="黑体"/>
          <w:bCs/>
          <w:kern w:val="0"/>
          <w:sz w:val="24"/>
        </w:rPr>
        <w:t>网络运营主族分为网络规划、工程建设、网络运营管理、网络监控、网络维护、网络优化六个职位子族：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1</w:t>
      </w:r>
      <w:r>
        <w:rPr>
          <w:rFonts w:ascii="SimHei" w:hAnsi="SimHei" w:cs="楷体" w:eastAsia="黑体"/>
          <w:bCs/>
          <w:kern w:val="0"/>
          <w:sz w:val="24"/>
        </w:rPr>
        <w:t>、网络规划：负责跟踪研究信息产业新技术、新趋势，规划公司整体网络建设，科学制定网络规划和建设方案。制定网络的年度投资计划和扩容方案，做好项目建设前期工作，满足市场发展需求。</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2</w:t>
      </w:r>
      <w:r>
        <w:rPr>
          <w:rFonts w:ascii="SimHei" w:hAnsi="SimHei" w:cs="楷体" w:eastAsia="黑体"/>
          <w:bCs/>
          <w:kern w:val="0"/>
          <w:sz w:val="24"/>
        </w:rPr>
        <w:t>、工程建设：负责组织开展公司各类网络、基础设施的建设工作，包括工程的宏观管理、招投标管理、工程实施管理、工程监控等，开展工程技术研究工作，保障公司各类工程建设的顺利开展。</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3</w:t>
      </w:r>
      <w:r>
        <w:rPr>
          <w:rFonts w:ascii="SimHei" w:hAnsi="SimHei" w:cs="楷体" w:eastAsia="黑体"/>
          <w:bCs/>
          <w:kern w:val="0"/>
          <w:sz w:val="24"/>
        </w:rPr>
        <w:t>、网络运营管理：负责网络安全生产宏观管理工作，组织开展网间互联管理及战备应急通信工作，完成特殊通信工作任务。制定网络质量管理工作目标与规章制度，开展全网网络分析工作，为公司经营决策提供参考依据。</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4</w:t>
      </w:r>
      <w:r>
        <w:rPr>
          <w:rFonts w:ascii="SimHei" w:hAnsi="SimHei" w:cs="楷体" w:eastAsia="黑体"/>
          <w:bCs/>
          <w:kern w:val="0"/>
          <w:sz w:val="24"/>
        </w:rPr>
        <w:t>、网络监控：负责对各专业通信网实施实时监控和网络投诉处理，及时组织处理网络运行中出现的故障和网络投诉等异常情况，实现网络故障和投诉的闭环管理。</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5</w:t>
      </w:r>
      <w:r>
        <w:rPr>
          <w:rFonts w:ascii="SimHei" w:hAnsi="SimHei" w:cs="楷体" w:eastAsia="黑体"/>
          <w:bCs/>
          <w:kern w:val="0"/>
          <w:sz w:val="24"/>
        </w:rPr>
        <w:t>、网络维护：负责各专业通信网络的运营、维护、安全工作，保证通信网络正常运行。</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bCs/>
          <w:kern w:val="0"/>
          <w:sz w:val="24"/>
        </w:rPr>
      </w:pPr>
      <w:r>
        <w:rPr>
          <w:rFonts w:eastAsia="黑体" w:cs="楷体" w:ascii="SimHei" w:hAnsi="SimHei"/>
          <w:bCs/>
          <w:kern w:val="0"/>
          <w:sz w:val="24"/>
        </w:rPr>
        <w:t>6</w:t>
      </w:r>
      <w:r>
        <w:rPr>
          <w:rFonts w:ascii="SimHei" w:hAnsi="SimHei" w:cs="楷体" w:eastAsia="黑体"/>
          <w:bCs/>
          <w:kern w:val="0"/>
          <w:sz w:val="24"/>
        </w:rPr>
        <w:t>、网络优化：负责开展网优技术的研究，制定网络资源优化配置与调整的方案，并组织开展日常网络优化工作，确保网络质量。</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sz w:val="24"/>
        </w:rPr>
      </w:pPr>
      <w:r>
        <w:rPr>
          <w:rFonts w:ascii="SimHei" w:hAnsi="SimHei" w:cs="楷体" w:eastAsia="黑体"/>
          <w:sz w:val="24"/>
        </w:rPr>
        <w:t>（十三）经理族主族分为一级经理、二级经理、三级经理三个职位子族：</w:t>
      </w:r>
    </w:p>
    <w:p>
      <w:pPr>
        <w:pStyle w:val="Normal"/>
        <w:keepNext w:val="false"/>
        <w:keepLines w:val="false"/>
        <w:pageBreakBefore w:val="false"/>
        <w:widowControl w:val="false"/>
        <w:numPr>
          <w:ilvl w:val="0"/>
          <w:numId w:val="1"/>
        </w:numPr>
        <w:kinsoku w:val="true"/>
        <w:overflowPunct w:val="true"/>
        <w:autoSpaceDE w:val="true"/>
        <w:bidi w:val="0"/>
        <w:spacing w:lineRule="auto" w:line="360"/>
        <w:ind w:start="0" w:firstLine="420"/>
        <w:textAlignment w:val="auto"/>
        <w:rPr>
          <w:rFonts w:ascii="楷体" w:hAnsi="楷体" w:eastAsia="楷体" w:cs="楷体"/>
          <w:bCs/>
          <w:sz w:val="24"/>
        </w:rPr>
      </w:pPr>
      <w:r>
        <w:rPr>
          <w:rFonts w:ascii="SimHei" w:hAnsi="SimHei" w:cs="楷体" w:eastAsia="黑体"/>
          <w:bCs/>
          <w:sz w:val="24"/>
        </w:rPr>
        <w:t>一级经理：省公司管理层。</w:t>
      </w:r>
    </w:p>
    <w:p>
      <w:pPr>
        <w:pStyle w:val="Normal"/>
        <w:keepNext w:val="false"/>
        <w:keepLines w:val="false"/>
        <w:pageBreakBefore w:val="false"/>
        <w:widowControl w:val="false"/>
        <w:numPr>
          <w:ilvl w:val="0"/>
          <w:numId w:val="1"/>
        </w:numPr>
        <w:tabs>
          <w:tab w:val="clear" w:pos="420"/>
          <w:tab w:val="left" w:pos="832" w:leader="none"/>
        </w:tabs>
        <w:kinsoku w:val="true"/>
        <w:overflowPunct w:val="true"/>
        <w:autoSpaceDE w:val="true"/>
        <w:bidi w:val="0"/>
        <w:spacing w:lineRule="auto" w:line="360"/>
        <w:ind w:start="0" w:firstLine="420"/>
        <w:textAlignment w:val="auto"/>
        <w:rPr>
          <w:rFonts w:ascii="楷体" w:hAnsi="楷体" w:eastAsia="楷体" w:cs="楷体"/>
          <w:sz w:val="24"/>
        </w:rPr>
      </w:pPr>
      <w:r>
        <w:rPr>
          <w:rFonts w:ascii="SimHei" w:hAnsi="SimHei" w:cs="楷体" w:eastAsia="黑体"/>
          <w:bCs/>
          <w:sz w:val="24"/>
        </w:rPr>
        <w:t>二级经理：市分公司管理层、省公司部门中层。</w:t>
      </w:r>
    </w:p>
    <w:p>
      <w:pPr>
        <w:pStyle w:val="Normal"/>
        <w:keepNext w:val="false"/>
        <w:keepLines w:val="false"/>
        <w:pageBreakBefore w:val="false"/>
        <w:widowControl w:val="false"/>
        <w:numPr>
          <w:ilvl w:val="0"/>
          <w:numId w:val="1"/>
        </w:numPr>
        <w:tabs>
          <w:tab w:val="clear" w:pos="420"/>
          <w:tab w:val="left" w:pos="832" w:leader="none"/>
        </w:tabs>
        <w:kinsoku w:val="true"/>
        <w:overflowPunct w:val="true"/>
        <w:autoSpaceDE w:val="true"/>
        <w:bidi w:val="0"/>
        <w:spacing w:lineRule="auto" w:line="360"/>
        <w:ind w:start="0" w:firstLine="420"/>
        <w:textAlignment w:val="auto"/>
        <w:rPr>
          <w:rFonts w:ascii="楷体" w:hAnsi="楷体" w:eastAsia="楷体" w:cs="楷体"/>
          <w:sz w:val="24"/>
        </w:rPr>
      </w:pPr>
      <w:r>
        <w:rPr>
          <w:rFonts w:ascii="SimHei" w:hAnsi="SimHei" w:cs="楷体" w:eastAsia="黑体"/>
          <w:bCs/>
          <w:sz w:val="24"/>
        </w:rPr>
        <w:t>三级经理：县</w:t>
      </w:r>
      <w:r>
        <w:rPr>
          <w:rFonts w:eastAsia="黑体" w:cs="楷体" w:ascii="SimHei" w:hAnsi="SimHei"/>
          <w:bCs/>
          <w:sz w:val="24"/>
        </w:rPr>
        <w:t>(</w:t>
      </w:r>
      <w:r>
        <w:rPr>
          <w:rFonts w:ascii="SimHei" w:hAnsi="SimHei" w:cs="楷体" w:eastAsia="黑体"/>
          <w:bCs/>
          <w:sz w:val="24"/>
        </w:rPr>
        <w:t>市、区</w:t>
      </w:r>
      <w:r>
        <w:rPr>
          <w:rFonts w:eastAsia="黑体" w:cs="楷体" w:ascii="SimHei" w:hAnsi="SimHei"/>
          <w:bCs/>
          <w:sz w:val="24"/>
        </w:rPr>
        <w:t>)</w:t>
      </w:r>
      <w:r>
        <w:rPr>
          <w:rFonts w:ascii="SimHei" w:hAnsi="SimHei" w:cs="楷体" w:eastAsia="黑体"/>
          <w:bCs/>
          <w:sz w:val="24"/>
        </w:rPr>
        <w:t>分公司管理层、市分公司中层。</w:t>
      </w:r>
    </w:p>
    <w:p>
      <w:pPr>
        <w:pStyle w:val="Normal"/>
        <w:keepNext w:val="false"/>
        <w:keepLines w:val="false"/>
        <w:pageBreakBefore w:val="false"/>
        <w:widowControl w:val="false"/>
        <w:kinsoku w:val="true"/>
        <w:overflowPunct w:val="true"/>
        <w:autoSpaceDE w:val="true"/>
        <w:bidi w:val="0"/>
        <w:spacing w:lineRule="auto" w:line="360"/>
        <w:ind w:start="0" w:firstLine="47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555"/>
        <w:textAlignment w:val="auto"/>
        <w:rPr>
          <w:rFonts w:ascii="楷体" w:hAnsi="楷体" w:eastAsia="楷体" w:cs="楷体"/>
          <w:b/>
          <w:b/>
          <w:sz w:val="24"/>
        </w:rPr>
      </w:pPr>
      <w:r>
        <w:rPr>
          <w:rFonts w:ascii="SimHei" w:hAnsi="SimHei" w:cs="楷体" w:eastAsia="黑体"/>
          <w:b/>
          <w:sz w:val="24"/>
        </w:rPr>
        <w:t>第九条  职位系列</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b/>
          <w:b/>
          <w:sz w:val="24"/>
        </w:rPr>
      </w:pPr>
      <w:r>
        <w:rPr>
          <w:rFonts w:ascii="SimHei" w:hAnsi="SimHei" w:cs="楷体" w:eastAsia="黑体"/>
          <w:sz w:val="24"/>
        </w:rPr>
        <w:t>根据实际职位的角色定位和任职标准，每个典型职位分为管理、主办和助理三个职位系列。</w:t>
      </w:r>
    </w:p>
    <w:p>
      <w:pPr>
        <w:pStyle w:val="Normal"/>
        <w:keepNext w:val="false"/>
        <w:keepLines w:val="false"/>
        <w:pageBreakBefore w:val="false"/>
        <w:widowControl w:val="false"/>
        <w:kinsoku w:val="true"/>
        <w:overflowPunct w:val="true"/>
        <w:autoSpaceDE w:val="true"/>
        <w:bidi w:val="0"/>
        <w:spacing w:lineRule="auto" w:line="360"/>
        <w:ind w:start="0" w:firstLine="391"/>
        <w:textAlignment w:val="auto"/>
        <w:rPr>
          <w:rFonts w:cs="楷体"/>
        </w:rPr>
      </w:pPr>
      <w:r>
        <w:rPr>
          <w:rFonts w:ascii="SimHei" w:hAnsi="SimHei" w:cs="楷体" w:eastAsia="黑体"/>
          <w:sz w:val="24"/>
        </w:rPr>
        <w:t>根据公司内部职位性质差异，分为职能管理类和生产服务类来界定职位系列的角色定位和任职标准。</w:t>
      </w:r>
    </w:p>
    <w:tbl>
      <w:tblPr>
        <w:tblW w:w="7920" w:type="dxa"/>
        <w:jc w:val="center"/>
        <w:tblInd w:w="0" w:type="dxa"/>
        <w:tblLayout w:type="fixed"/>
        <w:tblCellMar>
          <w:top w:w="0" w:type="dxa"/>
          <w:start w:w="108" w:type="dxa"/>
          <w:bottom w:w="0" w:type="dxa"/>
          <w:end w:w="108" w:type="dxa"/>
        </w:tblCellMar>
      </w:tblPr>
      <w:tblGrid>
        <w:gridCol w:w="1980"/>
        <w:gridCol w:w="1980"/>
        <w:gridCol w:w="1620"/>
        <w:gridCol w:w="2340"/>
      </w:tblGrid>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eastAsia="黑体" w:cs="楷体" w:ascii="SimHei" w:hAnsi="SimHei"/>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管理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主办</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助理</w:t>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职能管理类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规划指导</w:t>
            </w:r>
            <w:r>
              <w:rPr>
                <w:rFonts w:eastAsia="黑体" w:cs="楷体" w:ascii="SimHei" w:hAnsi="SimHei"/>
                <w:sz w:val="24"/>
              </w:rPr>
              <w:t>/</w:t>
            </w:r>
            <w:r>
              <w:rPr>
                <w:rFonts w:ascii="SimHei" w:hAnsi="SimHei" w:cs="楷体" w:eastAsia="黑体"/>
                <w:sz w:val="24"/>
              </w:rPr>
              <w:t>管理协调</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专业执行</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操作实施</w:t>
            </w:r>
            <w:r>
              <w:rPr>
                <w:rFonts w:eastAsia="黑体" w:cs="楷体" w:ascii="SimHei" w:hAnsi="SimHei"/>
                <w:sz w:val="24"/>
              </w:rPr>
              <w:t>/</w:t>
            </w:r>
            <w:r>
              <w:rPr>
                <w:rFonts w:ascii="SimHei" w:hAnsi="SimHei" w:cs="楷体" w:eastAsia="黑体"/>
                <w:sz w:val="24"/>
              </w:rPr>
              <w:t>专业辅助</w:t>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生产服务类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生产管理</w:t>
            </w:r>
            <w:r>
              <w:rPr>
                <w:rFonts w:eastAsia="黑体" w:cs="楷体" w:ascii="SimHei" w:hAnsi="SimHei"/>
                <w:sz w:val="24"/>
              </w:rPr>
              <w:t>/</w:t>
            </w:r>
            <w:r>
              <w:rPr>
                <w:rFonts w:ascii="SimHei" w:hAnsi="SimHei" w:cs="楷体" w:eastAsia="黑体"/>
                <w:sz w:val="24"/>
              </w:rPr>
              <w:t>专业生产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高级操作</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z w:val="24"/>
              </w:rPr>
            </w:pPr>
            <w:r>
              <w:rPr>
                <w:rFonts w:ascii="SimHei" w:hAnsi="SimHei" w:cs="楷体" w:eastAsia="黑体"/>
                <w:sz w:val="24"/>
              </w:rPr>
              <w:t>基本操作</w:t>
            </w:r>
          </w:p>
        </w:tc>
      </w:tr>
    </w:tbl>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color w:val="FF0000"/>
          <w:sz w:val="24"/>
        </w:rPr>
      </w:pPr>
      <w:r>
        <w:rPr>
          <w:rFonts w:eastAsia="黑体" w:cs="楷体" w:ascii="SimHei" w:hAnsi="SimHei"/>
          <w:color w:val="FF0000"/>
          <w:sz w:val="24"/>
        </w:rPr>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第十条  职位职等及职位水平等级</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职等代表职位在公司内部的相对价值地位。公司把职等确定为</w:t>
      </w:r>
      <w:r>
        <w:rPr>
          <w:rFonts w:eastAsia="黑体" w:cs="楷体" w:ascii="SimHei" w:hAnsi="SimHei"/>
          <w:sz w:val="24"/>
        </w:rPr>
        <w:t>1-19</w:t>
      </w:r>
      <w:r>
        <w:rPr>
          <w:rFonts w:ascii="SimHei" w:hAnsi="SimHei" w:cs="楷体" w:eastAsia="黑体"/>
          <w:sz w:val="24"/>
        </w:rPr>
        <w:t>等，最低为</w:t>
      </w:r>
      <w:r>
        <w:rPr>
          <w:rFonts w:eastAsia="黑体" w:cs="楷体" w:ascii="SimHei" w:hAnsi="SimHei"/>
          <w:sz w:val="24"/>
        </w:rPr>
        <w:t>1</w:t>
      </w:r>
      <w:r>
        <w:rPr>
          <w:rFonts w:ascii="SimHei" w:hAnsi="SimHei" w:cs="楷体" w:eastAsia="黑体"/>
          <w:sz w:val="24"/>
        </w:rPr>
        <w:t>等，最高为</w:t>
      </w:r>
      <w:r>
        <w:rPr>
          <w:rFonts w:eastAsia="黑体" w:cs="楷体" w:ascii="SimHei" w:hAnsi="SimHei"/>
          <w:sz w:val="24"/>
        </w:rPr>
        <w:t>19</w:t>
      </w:r>
      <w:r>
        <w:rPr>
          <w:rFonts w:ascii="SimHei" w:hAnsi="SimHei" w:cs="楷体" w:eastAsia="黑体"/>
          <w:sz w:val="24"/>
        </w:rPr>
        <w:t>等。公司使用惠悦全球职等系统对职位进行评估所确定的职等称为该职位的标准职等，该职位的拓展职等—水平等级具体规定如下：</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（一）管理、主办、助理系列设高级、标准级、中级、初级四个水平等级；</w:t>
      </w:r>
      <w:r>
        <w:rPr>
          <w:rFonts w:ascii="SimHei" w:hAnsi="SimHei" w:cs="楷体" w:eastAsia="黑体"/>
          <w:color w:val="000000"/>
          <w:sz w:val="24"/>
        </w:rPr>
        <w:t>该职位标准职</w:t>
      </w:r>
      <w:r>
        <w:rPr>
          <w:rFonts w:ascii="SimHei" w:hAnsi="SimHei" w:cs="楷体" w:eastAsia="黑体"/>
          <w:sz w:val="24"/>
        </w:rPr>
        <w:t>等</w:t>
      </w:r>
      <w:r>
        <w:rPr>
          <w:rFonts w:ascii="SimHei" w:hAnsi="SimHei" w:cs="楷体" w:eastAsia="黑体"/>
          <w:color w:val="000000"/>
          <w:sz w:val="24"/>
        </w:rPr>
        <w:t>为标准级。</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color w:val="FF0000"/>
          <w:sz w:val="24"/>
        </w:rPr>
      </w:pPr>
      <w:r>
        <w:rPr>
          <w:rFonts w:ascii="SimHei" w:hAnsi="SimHei" w:cs="楷体" w:eastAsia="黑体"/>
          <w:sz w:val="24"/>
        </w:rPr>
        <w:t>（二）管理系列职位标准职等即为惠悦全球职等系统对职位进行评估所确定的职等；主办系列职位标准职等为管理系列职位标准职等下延</w:t>
      </w:r>
      <w:r>
        <w:rPr>
          <w:rFonts w:eastAsia="黑体" w:cs="楷体" w:ascii="SimHei" w:hAnsi="SimHei"/>
          <w:sz w:val="24"/>
        </w:rPr>
        <w:t>2</w:t>
      </w:r>
      <w:r>
        <w:rPr>
          <w:rFonts w:ascii="SimHei" w:hAnsi="SimHei" w:cs="楷体" w:eastAsia="黑体"/>
          <w:sz w:val="24"/>
        </w:rPr>
        <w:t>个职等；助理系列职位标准职等为管理系列职位标准职等下延</w:t>
      </w:r>
      <w:r>
        <w:rPr>
          <w:rFonts w:eastAsia="黑体" w:cs="楷体" w:ascii="SimHei" w:hAnsi="SimHei"/>
          <w:sz w:val="24"/>
        </w:rPr>
        <w:t>3</w:t>
      </w:r>
      <w:r>
        <w:rPr>
          <w:rFonts w:ascii="SimHei" w:hAnsi="SimHei" w:cs="楷体" w:eastAsia="黑体"/>
          <w:sz w:val="24"/>
        </w:rPr>
        <w:t>个职等。</w:t>
      </w:r>
      <w:r>
        <w:rPr>
          <w:rFonts w:ascii="SimHei" w:hAnsi="SimHei" w:cs="楷体" w:eastAsia="黑体"/>
          <w:b/>
          <w:bCs/>
          <w:sz w:val="24"/>
        </w:rPr>
        <w:t xml:space="preserve"> </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color w:val="000000"/>
          <w:sz w:val="24"/>
        </w:rPr>
      </w:pPr>
      <w:r>
        <w:rPr>
          <w:rFonts w:ascii="SimHei" w:hAnsi="SimHei" w:cs="楷体" w:eastAsia="黑体"/>
          <w:bCs/>
          <w:sz w:val="24"/>
        </w:rPr>
        <w:t>（三）</w:t>
      </w:r>
      <w:r>
        <w:rPr>
          <w:rFonts w:ascii="SimHei" w:hAnsi="SimHei" w:cs="楷体" w:eastAsia="黑体"/>
          <w:bCs/>
          <w:color w:val="000000"/>
          <w:sz w:val="24"/>
        </w:rPr>
        <w:t>各系列职位水平等级对应的职等最低为１等，如标准职等为１的系列职位只设标准级、高级水平等级；标准职等为</w:t>
      </w:r>
      <w:r>
        <w:rPr>
          <w:rFonts w:eastAsia="黑体" w:cs="楷体" w:ascii="SimHei" w:hAnsi="SimHei"/>
          <w:bCs/>
          <w:color w:val="000000"/>
          <w:sz w:val="24"/>
        </w:rPr>
        <w:t>2</w:t>
      </w:r>
      <w:r>
        <w:rPr>
          <w:rFonts w:ascii="SimHei" w:hAnsi="SimHei" w:cs="楷体" w:eastAsia="黑体"/>
          <w:bCs/>
          <w:color w:val="000000"/>
          <w:sz w:val="24"/>
        </w:rPr>
        <w:t>的系列职位只设初级、标准级、高级水平等级。</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color w:val="000000"/>
          <w:sz w:val="24"/>
        </w:rPr>
      </w:pPr>
      <w:r>
        <w:rPr>
          <w:rFonts w:ascii="SimHei" w:hAnsi="SimHei" w:cs="楷体" w:eastAsia="黑体"/>
          <w:color w:val="000000"/>
          <w:sz w:val="24"/>
        </w:rPr>
        <w:t>下文中若不特别说明，职位职等一般指该职位标准职等。</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color w:val="000000"/>
          <w:sz w:val="24"/>
        </w:rPr>
      </w:pPr>
      <w:r>
        <w:rPr>
          <w:rFonts w:eastAsia="黑体" w:cs="楷体" w:ascii="SimHei" w:hAnsi="SimHei"/>
          <w:color w:val="000000"/>
          <w:sz w:val="24"/>
        </w:rPr>
      </w:r>
    </w:p>
    <w:p>
      <w:pPr>
        <w:pStyle w:val="Normal"/>
        <w:keepNext w:val="false"/>
        <w:keepLines w:val="false"/>
        <w:pageBreakBefore w:val="false"/>
        <w:widowControl w:val="false"/>
        <w:kinsoku w:val="true"/>
        <w:overflowPunct w:val="true"/>
        <w:autoSpaceDE w:val="true"/>
        <w:bidi w:val="0"/>
        <w:spacing w:lineRule="auto" w:line="360"/>
        <w:ind w:start="0" w:firstLine="555"/>
        <w:textAlignment w:val="auto"/>
        <w:rPr>
          <w:rFonts w:ascii="楷体" w:hAnsi="楷体" w:eastAsia="楷体" w:cs="楷体"/>
          <w:b/>
          <w:b/>
          <w:sz w:val="24"/>
        </w:rPr>
      </w:pPr>
      <w:r>
        <w:rPr>
          <w:rFonts w:ascii="SimHei" w:hAnsi="SimHei" w:cs="楷体" w:eastAsia="黑体"/>
          <w:b/>
          <w:sz w:val="24"/>
        </w:rPr>
        <w:t>第十一条  职位体系</w:t>
      </w:r>
    </w:p>
    <w:p>
      <w:pPr>
        <w:pStyle w:val="Normal"/>
        <w:keepNext w:val="false"/>
        <w:keepLines w:val="false"/>
        <w:pageBreakBefore w:val="false"/>
        <w:widowControl w:val="false"/>
        <w:kinsoku w:val="true"/>
        <w:overflowPunct w:val="true"/>
        <w:autoSpaceDE w:val="true"/>
        <w:bidi w:val="0"/>
        <w:spacing w:lineRule="auto" w:line="360"/>
        <w:ind w:start="0" w:firstLine="555"/>
        <w:textAlignment w:val="auto"/>
        <w:rPr>
          <w:rFonts w:ascii="楷体" w:hAnsi="楷体" w:eastAsia="楷体" w:cs="楷体"/>
          <w:sz w:val="24"/>
        </w:rPr>
      </w:pPr>
      <w:r>
        <w:rPr>
          <w:rFonts w:ascii="SimHei" w:hAnsi="SimHei" w:cs="楷体" w:eastAsia="黑体"/>
          <w:sz w:val="24"/>
        </w:rPr>
        <w:t>由职位条线、职位主族、职位子族、典型职位，同时结合职位系列、职位水平等级对应的职位晋升通道，构成公司的职位体系。</w:t>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b/>
          <w:b/>
          <w:sz w:val="24"/>
        </w:rPr>
      </w:pPr>
      <w:r>
        <w:rPr>
          <w:rFonts w:ascii="SimHei" w:hAnsi="SimHei" w:cs="楷体" w:eastAsia="黑体"/>
          <w:b/>
          <w:sz w:val="24"/>
        </w:rPr>
        <w:t>第三章  职位管理</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第十二条  职位增设</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职位增设是指公司组织架构发生调整或业务流程发生重大变化时，设计新增职位，并明确其职责和标准职等的过程。职位增设应严格履行审批程序：</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、职位增设需求部门提出职位增设申请，申请应包括职位说明书、设立依据、建议职等等。</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、所在公司人力资源部在调研分析的基础上，提出设置或调整建议。</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t>3</w:t>
      </w:r>
      <w:r>
        <w:rPr>
          <w:rFonts w:ascii="SimHei" w:hAnsi="SimHei" w:cs="楷体" w:eastAsia="黑体"/>
          <w:sz w:val="24"/>
        </w:rPr>
        <w:t>、所在公司领导同意后，人力资源部组织落实。</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第十三条  职位维护</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职位维护是指对已有职位的职位职责、任职资格等根据实际变化进行维护，并对职位说明书加以修订的过程。职位维护一般每年进行一次，由所在公司人力资源部统一组织开展。</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第十四条　职位调整</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职位调整是指对已有职位的职位名称、职责、标准职等、任职资格等依据实际情况和发展需要进行调整并重新确定的过程。职位调整可以根据实际需要随时进行。</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（一）职位调整需求部门提出职位调整申请，申请应包括调整后的职位说明书、调整依据、建议新职等（标准职等）等。</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（二）所在公司人力资源部在调研的基础上，提出调整建议。</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（三）所在公司领导同意后，人力资源部组织落实。</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职位调整适用于部门分工、业务流程、人员配置等有重大变化，影响到职位核心职责及价值的情况；对于非核心职责的分工调整，一般只做职位维护。</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职位职等设置、调整的审批应以省公司下发的典型职位和职位职等确定相关原则为依据。如所设职位或调整后职位不在省公司下发的典型职位内，应报省公司人力资源部审批。</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b/>
          <w:b/>
          <w:sz w:val="24"/>
        </w:rPr>
      </w:pPr>
      <w:r>
        <w:rPr>
          <w:rFonts w:ascii="SimHei" w:hAnsi="SimHei" w:cs="楷体" w:eastAsia="黑体"/>
          <w:b/>
          <w:sz w:val="24"/>
        </w:rPr>
        <w:t>第四章  人员配置与调整</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第十五条  新进公司员工职位水平等级</w:t>
      </w:r>
      <w:r>
        <w:rPr>
          <w:rFonts w:eastAsia="黑体" w:cs="楷体" w:ascii="SimHei" w:hAnsi="SimHei"/>
          <w:b/>
          <w:sz w:val="24"/>
        </w:rPr>
        <w:t>/</w:t>
      </w:r>
      <w:r>
        <w:rPr>
          <w:rFonts w:ascii="SimHei" w:hAnsi="SimHei" w:cs="楷体" w:eastAsia="黑体"/>
          <w:b/>
          <w:sz w:val="24"/>
        </w:rPr>
        <w:t>个人职等确定</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新进员工录用后及试岗期</w:t>
      </w:r>
      <w:r>
        <w:rPr>
          <w:rFonts w:eastAsia="黑体" w:cs="楷体" w:ascii="SimHei" w:hAnsi="SimHei"/>
          <w:sz w:val="24"/>
        </w:rPr>
        <w:t>/</w:t>
      </w:r>
      <w:r>
        <w:rPr>
          <w:rFonts w:ascii="SimHei" w:hAnsi="SimHei" w:cs="楷体" w:eastAsia="黑体"/>
          <w:sz w:val="24"/>
        </w:rPr>
        <w:t>见习期满转正后，应通过人员配置确认其职位、职位系列、职位水平等级及个人职等。</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员工职位水平等级与员工个人职等相对应，将确定员工薪酬标准，员工个人职等确定需根据员工本人工作年限的最低要求（详见附件一）和所任岗位的岗位标准职等确定。工作年限包含试岗期时间。</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（一）管理系列职位新进员工个人职等确定（员工职位水平等级由个人职等对应确定）：</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eastAsia="黑体" w:cs="楷体" w:ascii="SimHei" w:hAnsi="SimHei"/>
          <w:b/>
          <w:sz w:val="24"/>
          <w:szCs w:val="24"/>
        </w:rPr>
        <w:t>1</w:t>
      </w:r>
      <w:r>
        <w:rPr>
          <w:rFonts w:ascii="SimHei" w:hAnsi="SimHei" w:cs="楷体" w:eastAsia="黑体"/>
          <w:b/>
          <w:sz w:val="24"/>
          <w:szCs w:val="24"/>
        </w:rPr>
        <w:t>、应届毕业全日制博士研究生</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自进入移动公司工作起三个月为试岗期，试岗期员工个人职等对应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7</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分位确定。试岗期满，经试岗期考核良好及以上，员工个人职等对应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8</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分位定等，另加该员工的工龄分位值；试岗期考核良好以下的，员工个人职等不作调整，另加该员工的工龄分位值。工龄分位值的计算详见《</w:t>
      </w:r>
      <w:r>
        <w:rPr>
          <w:rFonts w:ascii="SimHei" w:hAnsi="SimHei" w:cs="楷体" w:eastAsia="黑体"/>
          <w:sz w:val="24"/>
          <w:szCs w:val="24"/>
          <w:lang w:eastAsia="zh-CN"/>
        </w:rPr>
        <w:t>通讯公司</w:t>
      </w:r>
      <w:r>
        <w:rPr>
          <w:rFonts w:ascii="SimHei" w:hAnsi="SimHei" w:cs="楷体" w:eastAsia="黑体"/>
          <w:sz w:val="24"/>
          <w:szCs w:val="24"/>
        </w:rPr>
        <w:t>公司</w:t>
      </w:r>
      <w:r>
        <w:rPr>
          <w:rFonts w:eastAsia="黑体" w:cs="楷体" w:ascii="SimHei" w:hAnsi="SimHei"/>
          <w:sz w:val="24"/>
          <w:szCs w:val="24"/>
        </w:rPr>
        <w:t>19</w:t>
      </w:r>
      <w:r>
        <w:rPr>
          <w:rFonts w:ascii="SimHei" w:hAnsi="SimHei" w:cs="楷体" w:eastAsia="黑体"/>
          <w:sz w:val="24"/>
          <w:szCs w:val="24"/>
        </w:rPr>
        <w:t>等薪酬管理办法》。</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eastAsia="黑体" w:cs="楷体" w:ascii="SimHei" w:hAnsi="SimHei"/>
          <w:b/>
          <w:sz w:val="24"/>
          <w:szCs w:val="24"/>
        </w:rPr>
        <w:t>2</w:t>
      </w:r>
      <w:r>
        <w:rPr>
          <w:rFonts w:ascii="SimHei" w:hAnsi="SimHei" w:cs="楷体" w:eastAsia="黑体"/>
          <w:b/>
          <w:sz w:val="24"/>
          <w:szCs w:val="24"/>
        </w:rPr>
        <w:t>、应届毕业全日制硕士研究生</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自进入移动公司工作起六个月为试岗期，试岗期员工个人职等对应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6</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分位确定。试岗期满，经试岗期考核良好及以上，员工个人职等对应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7</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分位定等，另加该员工的工龄分位值；试岗期考核良好以下的，员工个人职等不作调整，另加该员工的工龄分位值。</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eastAsia="黑体" w:cs="楷体" w:ascii="SimHei" w:hAnsi="SimHei"/>
          <w:b/>
          <w:sz w:val="24"/>
          <w:szCs w:val="24"/>
        </w:rPr>
        <w:t>3</w:t>
      </w:r>
      <w:r>
        <w:rPr>
          <w:rFonts w:ascii="SimHei" w:hAnsi="SimHei" w:cs="楷体" w:eastAsia="黑体"/>
          <w:b/>
          <w:sz w:val="24"/>
          <w:szCs w:val="24"/>
        </w:rPr>
        <w:t>、应届毕业全日制大学本科毕业生及以下（含双学位本科毕业生）</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自进入移动公司工作起</w:t>
      </w:r>
      <w:r>
        <w:rPr>
          <w:rFonts w:eastAsia="黑体" w:cs="楷体" w:ascii="SimHei" w:hAnsi="SimHei"/>
          <w:sz w:val="24"/>
          <w:szCs w:val="24"/>
        </w:rPr>
        <w:t>1</w:t>
      </w:r>
      <w:r>
        <w:rPr>
          <w:rFonts w:ascii="SimHei" w:hAnsi="SimHei" w:cs="楷体" w:eastAsia="黑体"/>
          <w:sz w:val="24"/>
          <w:szCs w:val="24"/>
        </w:rPr>
        <w:t>年内为见习期，本科毕业生对应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4B</w:t>
      </w:r>
      <w:r>
        <w:rPr>
          <w:rFonts w:ascii="SimHei" w:hAnsi="SimHei" w:cs="楷体" w:eastAsia="黑体"/>
          <w:sz w:val="24"/>
          <w:szCs w:val="24"/>
        </w:rPr>
        <w:t>的</w:t>
      </w:r>
      <w:r>
        <w:rPr>
          <w:rFonts w:eastAsia="黑体" w:cs="楷体" w:ascii="SimHei" w:hAnsi="SimHei"/>
          <w:sz w:val="24"/>
          <w:szCs w:val="24"/>
        </w:rPr>
        <w:t>70</w:t>
      </w:r>
      <w:r>
        <w:rPr>
          <w:rFonts w:ascii="SimHei" w:hAnsi="SimHei" w:cs="楷体" w:eastAsia="黑体"/>
          <w:sz w:val="24"/>
          <w:szCs w:val="24"/>
        </w:rPr>
        <w:t>分位值确定；大专毕业生对应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4B</w:t>
      </w:r>
      <w:r>
        <w:rPr>
          <w:rFonts w:ascii="SimHei" w:hAnsi="SimHei" w:cs="楷体" w:eastAsia="黑体"/>
          <w:sz w:val="24"/>
          <w:szCs w:val="24"/>
        </w:rPr>
        <w:t>的</w:t>
      </w:r>
      <w:r>
        <w:rPr>
          <w:rFonts w:eastAsia="黑体" w:cs="楷体" w:ascii="SimHei" w:hAnsi="SimHei"/>
          <w:sz w:val="24"/>
          <w:szCs w:val="24"/>
        </w:rPr>
        <w:t>50</w:t>
      </w:r>
      <w:r>
        <w:rPr>
          <w:rFonts w:ascii="SimHei" w:hAnsi="SimHei" w:cs="楷体" w:eastAsia="黑体"/>
          <w:sz w:val="24"/>
          <w:szCs w:val="24"/>
        </w:rPr>
        <w:t>分位值确定；中专及以下毕业生对应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4B</w:t>
      </w:r>
      <w:r>
        <w:rPr>
          <w:rFonts w:ascii="SimHei" w:hAnsi="SimHei" w:cs="楷体" w:eastAsia="黑体"/>
          <w:sz w:val="24"/>
          <w:szCs w:val="24"/>
        </w:rPr>
        <w:t>的</w:t>
      </w:r>
      <w:r>
        <w:rPr>
          <w:rFonts w:eastAsia="黑体" w:cs="楷体" w:ascii="SimHei" w:hAnsi="SimHei"/>
          <w:sz w:val="24"/>
          <w:szCs w:val="24"/>
        </w:rPr>
        <w:t>30</w:t>
      </w:r>
      <w:r>
        <w:rPr>
          <w:rFonts w:ascii="SimHei" w:hAnsi="SimHei" w:cs="楷体" w:eastAsia="黑体"/>
          <w:sz w:val="24"/>
          <w:szCs w:val="24"/>
        </w:rPr>
        <w:t>分位值确定。见习期满后，考核良好以下，员工个人职等对应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5</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分位值定等，另加该员工的工龄分位值；考核良好及以上，员工个人职等对应</w:t>
      </w:r>
      <w:r>
        <w:rPr>
          <w:rFonts w:eastAsia="黑体" w:cs="楷体" w:ascii="SimHei" w:hAnsi="SimHei"/>
          <w:sz w:val="24"/>
          <w:szCs w:val="24"/>
        </w:rPr>
        <w:t>19</w:t>
      </w:r>
      <w:r>
        <w:rPr>
          <w:rFonts w:ascii="SimHei" w:hAnsi="SimHei" w:cs="楷体" w:eastAsia="黑体"/>
          <w:sz w:val="24"/>
          <w:szCs w:val="24"/>
        </w:rPr>
        <w:t>等薪酬按</w:t>
      </w:r>
      <w:r>
        <w:rPr>
          <w:rFonts w:eastAsia="黑体" w:cs="楷体" w:ascii="SimHei" w:hAnsi="SimHei"/>
          <w:sz w:val="24"/>
          <w:szCs w:val="24"/>
        </w:rPr>
        <w:t>6</w:t>
      </w:r>
      <w:r>
        <w:rPr>
          <w:rFonts w:ascii="SimHei" w:hAnsi="SimHei" w:cs="楷体" w:eastAsia="黑体"/>
          <w:sz w:val="24"/>
          <w:szCs w:val="24"/>
        </w:rPr>
        <w:t>等</w:t>
      </w:r>
      <w:r>
        <w:rPr>
          <w:rFonts w:eastAsia="黑体" w:cs="楷体" w:ascii="SimHei" w:hAnsi="SimHei"/>
          <w:sz w:val="24"/>
          <w:szCs w:val="24"/>
        </w:rPr>
        <w:t>0</w:t>
      </w:r>
      <w:r>
        <w:rPr>
          <w:rFonts w:ascii="SimHei" w:hAnsi="SimHei" w:cs="楷体" w:eastAsia="黑体"/>
          <w:sz w:val="24"/>
          <w:szCs w:val="24"/>
        </w:rPr>
        <w:t>分位定等，另加该员工的工龄分位值。</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eastAsia="黑体" w:cs="楷体" w:ascii="SimHei" w:hAnsi="SimHei"/>
          <w:b/>
          <w:sz w:val="24"/>
          <w:szCs w:val="24"/>
        </w:rPr>
        <w:t>4</w:t>
      </w:r>
      <w:r>
        <w:rPr>
          <w:rFonts w:ascii="SimHei" w:hAnsi="SimHei" w:cs="楷体" w:eastAsia="黑体"/>
          <w:b/>
          <w:sz w:val="24"/>
          <w:szCs w:val="24"/>
        </w:rPr>
        <w:t>、社会招聘人员（含军转人员）</w:t>
      </w:r>
    </w:p>
    <w:p>
      <w:pPr>
        <w:pStyle w:val="3"/>
        <w:keepNext w:val="false"/>
        <w:keepLines w:val="false"/>
        <w:pageBreakBefore w:val="false"/>
        <w:widowControl w:val="false"/>
        <w:kinsoku w:val="true"/>
        <w:overflowPunct w:val="true"/>
        <w:autoSpaceDE w:val="true"/>
        <w:bidi w:val="0"/>
        <w:spacing w:lineRule="auto" w:line="360" w:before="0" w:after="0"/>
        <w:ind w:start="0" w:firstLine="524"/>
        <w:textAlignment w:val="auto"/>
        <w:rPr>
          <w:rFonts w:ascii="楷体" w:hAnsi="楷体" w:eastAsia="楷体" w:cs="楷体"/>
          <w:sz w:val="24"/>
          <w:szCs w:val="24"/>
        </w:rPr>
      </w:pPr>
      <w:r>
        <w:rPr>
          <w:rFonts w:ascii="SimHei" w:hAnsi="SimHei" w:cs="楷体" w:eastAsia="黑体"/>
          <w:sz w:val="24"/>
          <w:szCs w:val="24"/>
        </w:rPr>
        <w:t>自进入移动公司工作起六个月为试岗期（学历为博士研究生的，试岗期三个月）。</w:t>
      </w:r>
    </w:p>
    <w:p>
      <w:pPr>
        <w:pStyle w:val="Normal"/>
        <w:keepNext w:val="false"/>
        <w:keepLines w:val="false"/>
        <w:pageBreakBefore w:val="false"/>
        <w:widowControl w:val="false"/>
        <w:tabs>
          <w:tab w:val="clear" w:pos="420"/>
          <w:tab w:val="left" w:pos="360" w:leader="none"/>
          <w:tab w:val="left" w:pos="540" w:leader="none"/>
        </w:tabs>
        <w:kinsoku w:val="true"/>
        <w:overflowPunct w:val="true"/>
        <w:autoSpaceDE w:val="true"/>
        <w:bidi w:val="0"/>
        <w:snapToGrid w:val="false"/>
        <w:spacing w:lineRule="auto" w:line="360"/>
        <w:ind w:start="0" w:firstLine="524"/>
        <w:textAlignment w:val="auto"/>
        <w:rPr>
          <w:rFonts w:ascii="楷体" w:hAnsi="楷体" w:eastAsia="楷体" w:cs="楷体"/>
          <w:sz w:val="24"/>
        </w:rPr>
      </w:pPr>
      <w:r>
        <w:rPr>
          <w:rFonts w:ascii="SimHei" w:hAnsi="SimHei" w:cs="楷体" w:eastAsia="黑体"/>
          <w:sz w:val="24"/>
        </w:rPr>
        <w:t>员工个人职等根据附件一和所任岗位的岗位标准职等定等，另加该员工的工龄分位值。试岗期员工个人职等按低一等</w:t>
      </w:r>
      <w:r>
        <w:rPr>
          <w:rFonts w:eastAsia="黑体" w:cs="楷体" w:ascii="SimHei" w:hAnsi="SimHei"/>
          <w:sz w:val="24"/>
        </w:rPr>
        <w:t>0</w:t>
      </w:r>
      <w:r>
        <w:rPr>
          <w:rFonts w:ascii="SimHei" w:hAnsi="SimHei" w:cs="楷体" w:eastAsia="黑体"/>
          <w:sz w:val="24"/>
        </w:rPr>
        <w:t>分位值执行。其中社会招聘人员的工作年限按以下标准计算：</w:t>
      </w:r>
    </w:p>
    <w:p>
      <w:pPr>
        <w:pStyle w:val="Normal"/>
        <w:keepNext w:val="false"/>
        <w:keepLines w:val="false"/>
        <w:pageBreakBefore w:val="false"/>
        <w:widowControl w:val="false"/>
        <w:tabs>
          <w:tab w:val="clear" w:pos="420"/>
          <w:tab w:val="left" w:pos="360" w:leader="none"/>
          <w:tab w:val="left" w:pos="540" w:leader="none"/>
        </w:tabs>
        <w:kinsoku w:val="true"/>
        <w:overflowPunct w:val="true"/>
        <w:autoSpaceDE w:val="true"/>
        <w:bidi w:val="0"/>
        <w:snapToGrid w:val="false"/>
        <w:spacing w:lineRule="auto" w:line="360"/>
        <w:ind w:start="0" w:firstLine="524"/>
        <w:textAlignment w:val="auto"/>
        <w:rPr>
          <w:rFonts w:ascii="楷体" w:hAnsi="楷体" w:eastAsia="楷体" w:cs="楷体"/>
          <w:sz w:val="24"/>
        </w:rPr>
      </w:pPr>
      <w:r>
        <w:rPr>
          <w:rFonts w:ascii="SimHei" w:hAnsi="SimHei" w:cs="楷体" w:eastAsia="黑体"/>
          <w:sz w:val="24"/>
        </w:rPr>
        <w:t>在外单位（非移动系统）工作年限按</w:t>
      </w:r>
      <w:r>
        <w:rPr>
          <w:rFonts w:eastAsia="黑体" w:cs="楷体" w:ascii="SimHei" w:hAnsi="SimHei"/>
          <w:sz w:val="24"/>
        </w:rPr>
        <w:t>75%</w:t>
      </w:r>
      <w:r>
        <w:rPr>
          <w:rFonts w:ascii="SimHei" w:hAnsi="SimHei" w:cs="楷体" w:eastAsia="黑体"/>
          <w:sz w:val="24"/>
        </w:rPr>
        <w:t>计算；在移动公司工作年限（含部队军龄）按</w:t>
      </w:r>
      <w:r>
        <w:rPr>
          <w:rFonts w:eastAsia="黑体" w:cs="楷体" w:ascii="SimHei" w:hAnsi="SimHei"/>
          <w:sz w:val="24"/>
        </w:rPr>
        <w:t>100%</w:t>
      </w:r>
      <w:r>
        <w:rPr>
          <w:rFonts w:ascii="SimHei" w:hAnsi="SimHei" w:cs="楷体" w:eastAsia="黑体"/>
          <w:sz w:val="24"/>
        </w:rPr>
        <w:t>计算。工作年限计算采取四舍五入的方式。</w:t>
      </w:r>
    </w:p>
    <w:p>
      <w:pPr>
        <w:pStyle w:val="3"/>
        <w:keepNext w:val="false"/>
        <w:keepLines w:val="false"/>
        <w:pageBreakBefore w:val="false"/>
        <w:widowControl w:val="false"/>
        <w:kinsoku w:val="true"/>
        <w:overflowPunct w:val="true"/>
        <w:autoSpaceDE w:val="true"/>
        <w:bidi w:val="0"/>
        <w:spacing w:lineRule="auto" w:line="360" w:before="0" w:after="0"/>
        <w:ind w:start="0" w:firstLine="524"/>
        <w:textAlignment w:val="auto"/>
        <w:rPr>
          <w:rFonts w:ascii="楷体" w:hAnsi="楷体" w:eastAsia="楷体" w:cs="楷体"/>
          <w:sz w:val="24"/>
          <w:szCs w:val="24"/>
        </w:rPr>
      </w:pPr>
      <w:r>
        <w:rPr>
          <w:rFonts w:ascii="SimHei" w:hAnsi="SimHei" w:cs="楷体" w:eastAsia="黑体"/>
          <w:sz w:val="24"/>
          <w:szCs w:val="24"/>
        </w:rPr>
        <w:t>对于引进的特殊人才由公司管理层确定定等。</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70"/>
        <w:textAlignment w:val="auto"/>
        <w:rPr>
          <w:rFonts w:ascii="楷体" w:hAnsi="楷体" w:eastAsia="楷体" w:cs="楷体"/>
          <w:sz w:val="24"/>
        </w:rPr>
      </w:pPr>
      <w:r>
        <w:rPr>
          <w:rFonts w:ascii="SimHei" w:hAnsi="SimHei" w:cs="楷体" w:eastAsia="黑体"/>
          <w:sz w:val="24"/>
        </w:rPr>
        <w:t>（二）主办系列职位新进员工个人职等按管理系列职位确定职等下延</w:t>
      </w:r>
      <w:r>
        <w:rPr>
          <w:rFonts w:eastAsia="黑体" w:cs="楷体" w:ascii="SimHei" w:hAnsi="SimHei"/>
          <w:sz w:val="24"/>
        </w:rPr>
        <w:t>2</w:t>
      </w:r>
      <w:r>
        <w:rPr>
          <w:rFonts w:ascii="SimHei" w:hAnsi="SimHei" w:cs="楷体" w:eastAsia="黑体"/>
          <w:sz w:val="24"/>
        </w:rPr>
        <w:t>等确定；助理系列职位新进员工个人职等按管理系列职位确定职等下延</w:t>
      </w:r>
      <w:r>
        <w:rPr>
          <w:rFonts w:eastAsia="黑体" w:cs="楷体" w:ascii="SimHei" w:hAnsi="SimHei"/>
          <w:sz w:val="24"/>
        </w:rPr>
        <w:t>3</w:t>
      </w:r>
      <w:r>
        <w:rPr>
          <w:rFonts w:ascii="SimHei" w:hAnsi="SimHei" w:cs="楷体" w:eastAsia="黑体"/>
          <w:sz w:val="24"/>
        </w:rPr>
        <w:t>等确定。其中，如所任职位在管理系列中标准职等为</w:t>
      </w:r>
      <w:r>
        <w:rPr>
          <w:rFonts w:eastAsia="黑体" w:cs="楷体" w:ascii="SimHei" w:hAnsi="SimHei"/>
          <w:sz w:val="24"/>
        </w:rPr>
        <w:t>5</w:t>
      </w:r>
      <w:r>
        <w:rPr>
          <w:rFonts w:ascii="SimHei" w:hAnsi="SimHei" w:cs="楷体" w:eastAsia="黑体"/>
          <w:sz w:val="24"/>
        </w:rPr>
        <w:t>等及以下的，主办、助理系列职位新进员工个人按所任职位系列职位标准职等</w:t>
      </w:r>
      <w:r>
        <w:rPr>
          <w:rFonts w:eastAsia="黑体" w:cs="楷体" w:ascii="SimHei" w:hAnsi="SimHei"/>
          <w:sz w:val="24"/>
        </w:rPr>
        <w:t>0</w:t>
      </w:r>
      <w:r>
        <w:rPr>
          <w:rFonts w:ascii="SimHei" w:hAnsi="SimHei" w:cs="楷体" w:eastAsia="黑体"/>
          <w:sz w:val="24"/>
        </w:rPr>
        <w:t>分位定岗，最低为</w:t>
      </w:r>
      <w:r>
        <w:rPr>
          <w:rFonts w:eastAsia="黑体" w:cs="楷体" w:ascii="SimHei" w:hAnsi="SimHei"/>
          <w:sz w:val="24"/>
        </w:rPr>
        <w:t>1</w:t>
      </w:r>
      <w:r>
        <w:rPr>
          <w:rFonts w:ascii="SimHei" w:hAnsi="SimHei" w:cs="楷体" w:eastAsia="黑体"/>
          <w:sz w:val="24"/>
        </w:rPr>
        <w:t>等。员工职位水平等级由个人职等对应确定。</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对于部分计件</w:t>
      </w:r>
      <w:r>
        <w:rPr>
          <w:rFonts w:eastAsia="黑体" w:cs="楷体" w:ascii="SimHei" w:hAnsi="SimHei"/>
          <w:sz w:val="24"/>
          <w:szCs w:val="24"/>
        </w:rPr>
        <w:t>/</w:t>
      </w:r>
      <w:r>
        <w:rPr>
          <w:rFonts w:ascii="SimHei" w:hAnsi="SimHei" w:cs="楷体" w:eastAsia="黑体"/>
          <w:sz w:val="24"/>
          <w:szCs w:val="24"/>
        </w:rPr>
        <w:t>量等职位（营业员、话务员、客户经理、驾驶员等）可根据实际不确定具体水平等级及个人职等，按计件</w:t>
      </w:r>
      <w:r>
        <w:rPr>
          <w:rFonts w:eastAsia="黑体" w:cs="楷体" w:ascii="SimHei" w:hAnsi="SimHei"/>
          <w:sz w:val="24"/>
          <w:szCs w:val="24"/>
        </w:rPr>
        <w:t>/</w:t>
      </w:r>
      <w:r>
        <w:rPr>
          <w:rFonts w:ascii="SimHei" w:hAnsi="SimHei" w:cs="楷体" w:eastAsia="黑体"/>
          <w:sz w:val="24"/>
          <w:szCs w:val="24"/>
        </w:rPr>
        <w:t>量相关办法确定薪酬标准。</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ascii="SimHei" w:hAnsi="SimHei" w:cs="楷体" w:eastAsia="黑体"/>
          <w:b/>
          <w:sz w:val="24"/>
          <w:szCs w:val="24"/>
        </w:rPr>
        <w:t>第十六条  员工职位调整</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因工作需要，员工进行职位调整时，需由部门填写《</w:t>
      </w:r>
      <w:r>
        <w:rPr>
          <w:rFonts w:ascii="SimHei" w:hAnsi="SimHei" w:cs="楷体" w:eastAsia="黑体"/>
          <w:sz w:val="24"/>
          <w:szCs w:val="24"/>
          <w:lang w:eastAsia="zh-CN"/>
        </w:rPr>
        <w:t>通讯公司</w:t>
      </w:r>
      <w:r>
        <w:rPr>
          <w:rFonts w:ascii="SimHei" w:hAnsi="SimHei" w:cs="楷体" w:eastAsia="黑体"/>
          <w:sz w:val="24"/>
          <w:szCs w:val="24"/>
        </w:rPr>
        <w:t>公司员工职位调整审批表》</w:t>
      </w:r>
      <w:r>
        <w:rPr>
          <w:rFonts w:eastAsia="黑体" w:cs="楷体" w:ascii="SimHei" w:hAnsi="SimHei"/>
          <w:sz w:val="24"/>
          <w:szCs w:val="24"/>
        </w:rPr>
        <w:t>(</w:t>
      </w:r>
      <w:r>
        <w:rPr>
          <w:rFonts w:ascii="SimHei" w:hAnsi="SimHei" w:cs="楷体" w:eastAsia="黑体"/>
          <w:sz w:val="24"/>
          <w:szCs w:val="24"/>
        </w:rPr>
        <w:t>详见附件二</w:t>
      </w:r>
      <w:r>
        <w:rPr>
          <w:rFonts w:eastAsia="黑体" w:cs="楷体" w:ascii="SimHei" w:hAnsi="SimHei"/>
          <w:sz w:val="24"/>
          <w:szCs w:val="24"/>
        </w:rPr>
        <w:t>)</w:t>
      </w:r>
      <w:r>
        <w:rPr>
          <w:rFonts w:ascii="SimHei" w:hAnsi="SimHei" w:cs="楷体" w:eastAsia="黑体"/>
          <w:sz w:val="24"/>
          <w:szCs w:val="24"/>
        </w:rPr>
        <w:t>，并经人力资源部和公司领导审批同意。</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市、县（市</w:t>
      </w:r>
      <w:r>
        <w:rPr>
          <w:rFonts w:eastAsia="黑体" w:cs="楷体" w:ascii="SimHei" w:hAnsi="SimHei"/>
          <w:sz w:val="24"/>
          <w:szCs w:val="24"/>
        </w:rPr>
        <w:t>/</w:t>
      </w:r>
      <w:r>
        <w:rPr>
          <w:rFonts w:ascii="SimHei" w:hAnsi="SimHei" w:cs="楷体" w:eastAsia="黑体"/>
          <w:sz w:val="24"/>
          <w:szCs w:val="24"/>
        </w:rPr>
        <w:t>市城区）分公司</w:t>
      </w:r>
      <w:r>
        <w:rPr>
          <w:rFonts w:eastAsia="黑体" w:cs="楷体" w:ascii="SimHei" w:hAnsi="SimHei"/>
          <w:sz w:val="24"/>
          <w:szCs w:val="24"/>
        </w:rPr>
        <w:t>8</w:t>
      </w:r>
      <w:r>
        <w:rPr>
          <w:rFonts w:ascii="SimHei" w:hAnsi="SimHei" w:cs="楷体" w:eastAsia="黑体"/>
          <w:sz w:val="24"/>
          <w:szCs w:val="24"/>
        </w:rPr>
        <w:t>等、省公司</w:t>
      </w:r>
      <w:r>
        <w:rPr>
          <w:rFonts w:eastAsia="黑体" w:cs="楷体" w:ascii="SimHei" w:hAnsi="SimHei"/>
          <w:sz w:val="24"/>
          <w:szCs w:val="24"/>
        </w:rPr>
        <w:t>10</w:t>
      </w:r>
      <w:r>
        <w:rPr>
          <w:rFonts w:ascii="SimHei" w:hAnsi="SimHei" w:cs="楷体" w:eastAsia="黑体"/>
          <w:sz w:val="24"/>
          <w:szCs w:val="24"/>
        </w:rPr>
        <w:t>等及以上新增或空缺职位，除采用招聘和同职等平调调配满足外，原则上应以竞聘形式进行人员配备。竞聘员工个人职等与竞聘职位标准职等一般相差不超过</w:t>
      </w:r>
      <w:r>
        <w:rPr>
          <w:rFonts w:eastAsia="黑体" w:cs="楷体" w:ascii="SimHei" w:hAnsi="SimHei"/>
          <w:sz w:val="24"/>
          <w:szCs w:val="24"/>
        </w:rPr>
        <w:t>2</w:t>
      </w:r>
      <w:r>
        <w:rPr>
          <w:rFonts w:ascii="SimHei" w:hAnsi="SimHei" w:cs="楷体" w:eastAsia="黑体"/>
          <w:sz w:val="24"/>
          <w:szCs w:val="24"/>
        </w:rPr>
        <w:t>等。</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b/>
          <w:b/>
          <w:sz w:val="24"/>
          <w:szCs w:val="24"/>
        </w:rPr>
      </w:pPr>
      <w:r>
        <w:rPr>
          <w:rFonts w:ascii="SimHei" w:hAnsi="SimHei" w:cs="楷体" w:eastAsia="黑体"/>
          <w:b/>
          <w:sz w:val="24"/>
          <w:szCs w:val="24"/>
        </w:rPr>
        <w:t>第十七条  员工职位系列调整</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员工职位系列调整是指员工因角色定位及工作性质的变化在管理、主办、助理职位系列间进行调整。</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职位系列的调整由省公司根据需要集中组织。具体调整要求及流程按公司相关办法和规定执行。</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第十八条  员工职位水平等级</w:t>
      </w:r>
      <w:r>
        <w:rPr>
          <w:rFonts w:eastAsia="黑体" w:cs="楷体" w:ascii="SimHei" w:hAnsi="SimHei"/>
          <w:b/>
          <w:sz w:val="24"/>
        </w:rPr>
        <w:t>/</w:t>
      </w:r>
      <w:r>
        <w:rPr>
          <w:rFonts w:ascii="SimHei" w:hAnsi="SimHei" w:cs="楷体" w:eastAsia="黑体"/>
          <w:b/>
          <w:sz w:val="24"/>
        </w:rPr>
        <w:t>个人职等调整</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一、员工职位不变情况下，职位水平等级</w:t>
      </w:r>
      <w:r>
        <w:rPr>
          <w:rFonts w:eastAsia="黑体" w:cs="楷体" w:ascii="SimHei" w:hAnsi="SimHei"/>
          <w:b/>
          <w:sz w:val="24"/>
        </w:rPr>
        <w:t>/</w:t>
      </w:r>
      <w:r>
        <w:rPr>
          <w:rFonts w:ascii="SimHei" w:hAnsi="SimHei" w:cs="楷体" w:eastAsia="黑体"/>
          <w:b/>
          <w:sz w:val="24"/>
        </w:rPr>
        <w:t>个人职等调整：</w:t>
      </w:r>
    </w:p>
    <w:p>
      <w:pPr>
        <w:pStyle w:val="Normal"/>
        <w:keepNext w:val="false"/>
        <w:keepLines w:val="false"/>
        <w:pageBreakBefore w:val="false"/>
        <w:widowControl w:val="false"/>
        <w:tabs>
          <w:tab w:val="clear" w:pos="420"/>
          <w:tab w:val="left" w:pos="105" w:leader="none"/>
          <w:tab w:val="left" w:pos="1245" w:leader="none"/>
        </w:tabs>
        <w:kinsoku w:val="true"/>
        <w:overflowPunct w:val="true"/>
        <w:autoSpaceDE w:val="true"/>
        <w:bidi w:val="0"/>
        <w:snapToGrid w:val="false"/>
        <w:spacing w:lineRule="auto" w:line="360"/>
        <w:ind w:start="0" w:firstLine="480"/>
        <w:textAlignment w:val="auto"/>
        <w:rPr>
          <w:rFonts w:ascii="楷体" w:hAnsi="楷体" w:eastAsia="楷体" w:cs="楷体"/>
          <w:spacing w:val="20"/>
          <w:sz w:val="24"/>
        </w:rPr>
      </w:pPr>
      <w:r>
        <w:rPr>
          <w:rFonts w:ascii="SimHei" w:hAnsi="SimHei" w:cs="楷体" w:eastAsia="黑体"/>
          <w:sz w:val="24"/>
        </w:rPr>
        <w:t>（一）标准级及以下水平等级的调整</w:t>
      </w:r>
      <w:r>
        <w:rPr>
          <w:rFonts w:ascii="SimHei" w:hAnsi="SimHei" w:cs="楷体" w:eastAsia="黑体"/>
          <w:spacing w:val="20"/>
          <w:sz w:val="24"/>
        </w:rPr>
        <w:t>根据年度绩效结果通过调整绩效分位值，逐步调整到位</w:t>
      </w:r>
      <w:r>
        <w:rPr>
          <w:rFonts w:eastAsia="黑体" w:cs="楷体" w:ascii="SimHei" w:hAnsi="SimHei"/>
          <w:bCs/>
          <w:spacing w:val="20"/>
          <w:sz w:val="24"/>
        </w:rPr>
        <w:t>(</w:t>
      </w:r>
      <w:r>
        <w:rPr>
          <w:rFonts w:ascii="SimHei" w:hAnsi="SimHei" w:cs="楷体" w:eastAsia="黑体"/>
          <w:bCs/>
          <w:spacing w:val="20"/>
          <w:sz w:val="24"/>
        </w:rPr>
        <w:t>对于个人职等晋升的，必须满足连续两年绩效结果良好及以上，</w:t>
      </w:r>
      <w:r>
        <w:rPr>
          <w:rFonts w:ascii="SimHei" w:hAnsi="SimHei" w:cs="楷体" w:eastAsia="黑体"/>
          <w:spacing w:val="20"/>
          <w:sz w:val="24"/>
        </w:rPr>
        <w:t>各市分公司可根据具体职位及分公司实际，再另外附加一定的调整要求</w:t>
      </w:r>
      <w:r>
        <w:rPr>
          <w:rFonts w:ascii="SimHei" w:hAnsi="SimHei" w:cs="楷体" w:eastAsia="黑体"/>
          <w:b/>
          <w:bCs/>
          <w:spacing w:val="20"/>
          <w:sz w:val="24"/>
        </w:rPr>
        <w:t>）</w:t>
      </w:r>
      <w:r>
        <w:rPr>
          <w:rFonts w:ascii="SimHei" w:hAnsi="SimHei" w:cs="楷体" w:eastAsia="黑体"/>
          <w:spacing w:val="20"/>
          <w:sz w:val="24"/>
        </w:rPr>
        <w:t>。具体规定如下：</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eastAsia="黑体" w:cs="楷体" w:ascii="SimHei" w:hAnsi="SimHei"/>
          <w:sz w:val="24"/>
          <w:szCs w:val="24"/>
        </w:rPr>
        <w:t>1</w:t>
      </w:r>
      <w:r>
        <w:rPr>
          <w:rFonts w:ascii="SimHei" w:hAnsi="SimHei" w:cs="楷体" w:eastAsia="黑体"/>
          <w:sz w:val="24"/>
          <w:szCs w:val="24"/>
        </w:rPr>
        <w:t>、员工个人职位水平等级低于现任职位标准级，正常调整的：</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）当年绩效考核年度结果出来后，在次年根据绩效结果进行调整薪酬分位值（指当年</w:t>
      </w:r>
      <w:r>
        <w:rPr>
          <w:rFonts w:eastAsia="黑体" w:cs="楷体" w:ascii="SimHei" w:hAnsi="SimHei"/>
          <w:sz w:val="24"/>
          <w:szCs w:val="24"/>
        </w:rPr>
        <w:t>6</w:t>
      </w:r>
      <w:r>
        <w:rPr>
          <w:rFonts w:ascii="SimHei" w:hAnsi="SimHei" w:cs="楷体" w:eastAsia="黑体"/>
          <w:sz w:val="24"/>
          <w:szCs w:val="24"/>
        </w:rPr>
        <w:t>月</w:t>
      </w:r>
      <w:r>
        <w:rPr>
          <w:rFonts w:eastAsia="黑体" w:cs="楷体" w:ascii="SimHei" w:hAnsi="SimHei"/>
          <w:sz w:val="24"/>
          <w:szCs w:val="24"/>
        </w:rPr>
        <w:t>30</w:t>
      </w:r>
      <w:r>
        <w:rPr>
          <w:rFonts w:ascii="SimHei" w:hAnsi="SimHei" w:cs="楷体" w:eastAsia="黑体"/>
          <w:sz w:val="24"/>
          <w:szCs w:val="24"/>
        </w:rPr>
        <w:t>日前进公司，当年</w:t>
      </w:r>
      <w:r>
        <w:rPr>
          <w:rFonts w:eastAsia="黑体" w:cs="楷体" w:ascii="SimHei" w:hAnsi="SimHei"/>
          <w:sz w:val="24"/>
          <w:szCs w:val="24"/>
        </w:rPr>
        <w:t>6</w:t>
      </w:r>
      <w:r>
        <w:rPr>
          <w:rFonts w:ascii="SimHei" w:hAnsi="SimHei" w:cs="楷体" w:eastAsia="黑体"/>
          <w:sz w:val="24"/>
          <w:szCs w:val="24"/>
        </w:rPr>
        <w:t>月</w:t>
      </w:r>
      <w:r>
        <w:rPr>
          <w:rFonts w:eastAsia="黑体" w:cs="楷体" w:ascii="SimHei" w:hAnsi="SimHei"/>
          <w:sz w:val="24"/>
          <w:szCs w:val="24"/>
        </w:rPr>
        <w:t>30</w:t>
      </w:r>
      <w:r>
        <w:rPr>
          <w:rFonts w:ascii="SimHei" w:hAnsi="SimHei" w:cs="楷体" w:eastAsia="黑体"/>
          <w:sz w:val="24"/>
          <w:szCs w:val="24"/>
        </w:rPr>
        <w:t>日后进公司的，次年不进行年度调整。调整时间一般为次年</w:t>
      </w:r>
      <w:r>
        <w:rPr>
          <w:rFonts w:eastAsia="黑体" w:cs="楷体" w:ascii="SimHei" w:hAnsi="SimHei"/>
          <w:sz w:val="24"/>
          <w:szCs w:val="24"/>
        </w:rPr>
        <w:t>4</w:t>
      </w:r>
      <w:r>
        <w:rPr>
          <w:rFonts w:ascii="SimHei" w:hAnsi="SimHei" w:cs="楷体" w:eastAsia="黑体"/>
          <w:sz w:val="24"/>
          <w:szCs w:val="24"/>
        </w:rPr>
        <w:t>月），调整方法如下：</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eastAsia="黑体"/>
        </w:rPr>
      </w:r>
      <w:r>
        <w:rPr>
          <w:sz w:val="24"/>
          <w:szCs w:val="24"/>
          <w:rFonts w:eastAsia="黑体" w:cs="楷体" w:ascii="SimHei" w:hAnsi="SimHei"/>
          <w:lang w:val="en-US" w:eastAsia="en-US"/>
        </w:rPr>
      </w:r>
      <w:r>
        <w:rPr>
          <w:rFonts w:eastAsia="黑体" w:cs="楷体" w:ascii="SimHei" w:hAnsi="SimHei"/>
          <w:sz w:val="24"/>
          <w:szCs w:val="24"/>
          <w:lang w:val="en-US" w:eastAsia="en-US"/>
        </w:rPr>
      </w:r>
      <w:r>
        <w:rPr>
          <w:sz w:val="24"/>
          <w:szCs w:val="24"/>
          <w:rFonts w:eastAsia="黑体" w:cs="楷体" w:ascii="SimHei" w:hAnsi="SimHei"/>
          <w:lang w:val="en-US" w:eastAsia="en-US"/>
        </w:rPr>
      </w:r>
      <w:r>
        <w:rPr>
          <w:rFonts w:eastAsia="黑体" w:cs="楷体" w:ascii="SimHei" w:hAnsi="SimHei"/>
          <w:sz w:val="24"/>
          <w:szCs w:val="24"/>
          <w:lang w:val="en-US" w:eastAsia="en-US"/>
        </w:rPr>
        <w:t>i</w:t>
      </w:r>
      <w:r>
        <w:rPr>
          <w:rFonts w:eastAsia="黑体" w:cs="楷体" w:ascii="SimHei" w:hAnsi="SimHei"/>
          <w:sz w:val="24"/>
          <w:szCs w:val="24"/>
          <w:lang w:val="en-US" w:eastAsia="en-US"/>
        </w:rPr>
      </w:r>
      <w:r>
        <w:rPr>
          <w:sz w:val="24"/>
          <w:szCs w:val="24"/>
          <w:rFonts w:eastAsia="黑体" w:cs="楷体" w:ascii="SimHei" w:hAnsi="SimHei"/>
          <w:lang w:val="en-US" w:eastAsia="en-US"/>
        </w:rPr>
      </w:r>
      <w:r>
        <w:rPr>
          <w:rFonts w:ascii="SimHei" w:hAnsi="SimHei" w:cs="楷体" w:eastAsia="黑体"/>
          <w:sz w:val="24"/>
          <w:szCs w:val="24"/>
        </w:rPr>
        <w:t>、调整标准：</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绩效结果优秀：加</w:t>
      </w:r>
      <w:r>
        <w:rPr>
          <w:rFonts w:eastAsia="黑体" w:cs="楷体" w:ascii="SimHei" w:hAnsi="SimHei"/>
          <w:sz w:val="24"/>
          <w:szCs w:val="24"/>
        </w:rPr>
        <w:t>40</w:t>
      </w:r>
      <w:r>
        <w:rPr>
          <w:rFonts w:ascii="SimHei" w:hAnsi="SimHei" w:cs="楷体" w:eastAsia="黑体"/>
          <w:sz w:val="24"/>
          <w:szCs w:val="24"/>
        </w:rPr>
        <w:t>分位；</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绩效结果优良：加</w:t>
      </w:r>
      <w:r>
        <w:rPr>
          <w:rFonts w:eastAsia="黑体" w:cs="楷体" w:ascii="SimHei" w:hAnsi="SimHei"/>
          <w:sz w:val="24"/>
          <w:szCs w:val="24"/>
        </w:rPr>
        <w:t>30</w:t>
      </w:r>
      <w:r>
        <w:rPr>
          <w:rFonts w:ascii="SimHei" w:hAnsi="SimHei" w:cs="楷体" w:eastAsia="黑体"/>
          <w:sz w:val="24"/>
          <w:szCs w:val="24"/>
        </w:rPr>
        <w:t>分位；</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绩效结果良好：加</w:t>
      </w:r>
      <w:r>
        <w:rPr>
          <w:rFonts w:eastAsia="黑体" w:cs="楷体" w:ascii="SimHei" w:hAnsi="SimHei"/>
          <w:sz w:val="24"/>
          <w:szCs w:val="24"/>
        </w:rPr>
        <w:t>25</w:t>
      </w:r>
      <w:r>
        <w:rPr>
          <w:rFonts w:ascii="SimHei" w:hAnsi="SimHei" w:cs="楷体" w:eastAsia="黑体"/>
          <w:sz w:val="24"/>
          <w:szCs w:val="24"/>
        </w:rPr>
        <w:t>分位；</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绩效结果一般：加</w:t>
      </w:r>
      <w:r>
        <w:rPr>
          <w:rFonts w:eastAsia="黑体" w:cs="楷体" w:ascii="SimHei" w:hAnsi="SimHei"/>
          <w:sz w:val="24"/>
          <w:szCs w:val="24"/>
        </w:rPr>
        <w:t>15</w:t>
      </w:r>
      <w:r>
        <w:rPr>
          <w:rFonts w:ascii="SimHei" w:hAnsi="SimHei" w:cs="楷体" w:eastAsia="黑体"/>
          <w:sz w:val="24"/>
          <w:szCs w:val="24"/>
        </w:rPr>
        <w:t>分位。</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eastAsia="黑体"/>
        </w:rPr>
      </w:r>
      <w:r>
        <w:rPr>
          <w:sz w:val="24"/>
          <w:szCs w:val="24"/>
          <w:rFonts w:eastAsia="黑体" w:cs="楷体" w:ascii="SimHei" w:hAnsi="SimHei"/>
          <w:lang w:val="en-US" w:eastAsia="en-US"/>
        </w:rPr>
      </w:r>
      <w:r>
        <w:rPr>
          <w:rFonts w:eastAsia="黑体" w:cs="楷体" w:ascii="SimHei" w:hAnsi="SimHei"/>
          <w:sz w:val="24"/>
          <w:szCs w:val="24"/>
          <w:lang w:val="en-US" w:eastAsia="en-US"/>
        </w:rPr>
      </w:r>
      <w:r>
        <w:rPr>
          <w:sz w:val="24"/>
          <w:szCs w:val="24"/>
          <w:rFonts w:eastAsia="黑体" w:cs="楷体" w:ascii="SimHei" w:hAnsi="SimHei"/>
          <w:lang w:val="en-US" w:eastAsia="en-US"/>
        </w:rPr>
      </w:r>
      <w:r>
        <w:rPr>
          <w:rFonts w:eastAsia="黑体" w:cs="楷体" w:ascii="SimHei" w:hAnsi="SimHei"/>
          <w:sz w:val="24"/>
          <w:szCs w:val="24"/>
          <w:lang w:val="en-US" w:eastAsia="en-US"/>
        </w:rPr>
        <w:t>ii</w:t>
      </w:r>
      <w:r>
        <w:rPr>
          <w:rFonts w:eastAsia="黑体" w:cs="楷体" w:ascii="SimHei" w:hAnsi="SimHei"/>
          <w:sz w:val="24"/>
          <w:szCs w:val="24"/>
          <w:lang w:val="en-US" w:eastAsia="en-US"/>
        </w:rPr>
      </w:r>
      <w:r>
        <w:rPr>
          <w:sz w:val="24"/>
          <w:szCs w:val="24"/>
          <w:rFonts w:eastAsia="黑体" w:cs="楷体" w:ascii="SimHei" w:hAnsi="SimHei"/>
          <w:lang w:val="en-US" w:eastAsia="en-US"/>
        </w:rPr>
      </w:r>
      <w:r>
        <w:rPr>
          <w:rFonts w:ascii="SimHei" w:hAnsi="SimHei" w:cs="楷体" w:eastAsia="黑体"/>
          <w:sz w:val="24"/>
          <w:szCs w:val="24"/>
        </w:rPr>
        <w:t>、如该员工现薪酬（不包括工龄分位值、职称分位值）低于上一水平等级对应职等</w:t>
      </w:r>
      <w:r>
        <w:rPr>
          <w:rFonts w:eastAsia="黑体" w:cs="楷体" w:ascii="SimHei" w:hAnsi="SimHei"/>
          <w:sz w:val="24"/>
          <w:szCs w:val="24"/>
        </w:rPr>
        <w:t>0</w:t>
      </w:r>
      <w:r>
        <w:rPr>
          <w:rFonts w:ascii="SimHei" w:hAnsi="SimHei" w:cs="楷体" w:eastAsia="黑体"/>
          <w:sz w:val="24"/>
          <w:szCs w:val="24"/>
        </w:rPr>
        <w:t>分位薪酬标准的，根据绩效结果进行年度薪酬分位值调整；</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eastAsia="黑体"/>
        </w:rPr>
      </w:r>
      <w:r>
        <w:rPr>
          <w:sz w:val="24"/>
          <w:szCs w:val="24"/>
          <w:rFonts w:eastAsia="黑体" w:cs="楷体" w:ascii="SimHei" w:hAnsi="SimHei"/>
          <w:lang w:val="en-US" w:eastAsia="en-US"/>
        </w:rPr>
      </w:r>
      <w:r>
        <w:rPr>
          <w:rFonts w:eastAsia="黑体" w:cs="楷体" w:ascii="SimHei" w:hAnsi="SimHei"/>
          <w:sz w:val="24"/>
          <w:szCs w:val="24"/>
          <w:lang w:val="en-US" w:eastAsia="en-US"/>
        </w:rPr>
      </w:r>
      <w:r>
        <w:rPr>
          <w:sz w:val="24"/>
          <w:szCs w:val="24"/>
          <w:rFonts w:eastAsia="黑体" w:cs="楷体" w:ascii="SimHei" w:hAnsi="SimHei"/>
          <w:lang w:val="en-US" w:eastAsia="en-US"/>
        </w:rPr>
      </w:r>
      <w:r>
        <w:rPr>
          <w:rFonts w:eastAsia="黑体" w:cs="楷体" w:ascii="SimHei" w:hAnsi="SimHei"/>
          <w:sz w:val="24"/>
          <w:szCs w:val="24"/>
          <w:lang w:val="en-US" w:eastAsia="en-US"/>
        </w:rPr>
        <w:t>iii</w:t>
      </w:r>
      <w:r>
        <w:rPr>
          <w:rFonts w:eastAsia="黑体" w:cs="楷体" w:ascii="SimHei" w:hAnsi="SimHei"/>
          <w:sz w:val="24"/>
          <w:szCs w:val="24"/>
          <w:lang w:val="en-US" w:eastAsia="en-US"/>
        </w:rPr>
      </w:r>
      <w:r>
        <w:rPr>
          <w:sz w:val="24"/>
          <w:szCs w:val="24"/>
          <w:rFonts w:eastAsia="黑体" w:cs="楷体" w:ascii="SimHei" w:hAnsi="SimHei"/>
          <w:lang w:val="en-US" w:eastAsia="en-US"/>
        </w:rPr>
      </w:r>
      <w:r>
        <w:rPr>
          <w:rFonts w:ascii="SimHei" w:hAnsi="SimHei" w:cs="楷体" w:eastAsia="黑体"/>
          <w:sz w:val="24"/>
          <w:szCs w:val="24"/>
        </w:rPr>
        <w:t>、如该员工现薪酬（不包括工龄分位值、职称分位值）超过上一水平等级对应职等</w:t>
      </w:r>
      <w:r>
        <w:rPr>
          <w:rFonts w:eastAsia="黑体" w:cs="楷体" w:ascii="SimHei" w:hAnsi="SimHei"/>
          <w:sz w:val="24"/>
          <w:szCs w:val="24"/>
        </w:rPr>
        <w:t>0</w:t>
      </w:r>
      <w:r>
        <w:rPr>
          <w:rFonts w:ascii="SimHei" w:hAnsi="SimHei" w:cs="楷体" w:eastAsia="黑体"/>
          <w:sz w:val="24"/>
          <w:szCs w:val="24"/>
        </w:rPr>
        <w:t>分位薪酬标准的，按现薪酬折算到上一水平等级对应职等的相应分位值，然后进行年度薪酬分位值调整，最高不超过该员工现任职位的职位标准职等</w:t>
      </w:r>
      <w:r>
        <w:rPr>
          <w:rFonts w:eastAsia="黑体" w:cs="楷体" w:ascii="SimHei" w:hAnsi="SimHei"/>
          <w:sz w:val="24"/>
          <w:szCs w:val="24"/>
        </w:rPr>
        <w:t>50</w:t>
      </w:r>
      <w:r>
        <w:rPr>
          <w:rFonts w:ascii="SimHei" w:hAnsi="SimHei" w:cs="楷体" w:eastAsia="黑体"/>
          <w:sz w:val="24"/>
          <w:szCs w:val="24"/>
        </w:rPr>
        <w:t>分位（不包括工龄分位值、职称分位值）。</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eastAsia="黑体" w:cs="楷体" w:ascii="SimHei" w:hAnsi="SimHei"/>
          <w:sz w:val="24"/>
          <w:szCs w:val="24"/>
        </w:rPr>
        <w:t>2</w:t>
      </w:r>
      <w:r>
        <w:rPr>
          <w:rFonts w:ascii="SimHei" w:hAnsi="SimHei" w:cs="楷体" w:eastAsia="黑体"/>
          <w:sz w:val="24"/>
          <w:szCs w:val="24"/>
        </w:rPr>
        <w:t>、员工个人职位水平等级等于现任职位标准级，正常调整的：</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如员工现薪酬分位值（不包括工龄分位值、职称分位值）低于该职位标准职等</w:t>
      </w:r>
      <w:r>
        <w:rPr>
          <w:rFonts w:eastAsia="黑体" w:cs="楷体" w:ascii="SimHei" w:hAnsi="SimHei"/>
          <w:sz w:val="24"/>
          <w:szCs w:val="24"/>
        </w:rPr>
        <w:t>50</w:t>
      </w:r>
      <w:r>
        <w:rPr>
          <w:rFonts w:ascii="SimHei" w:hAnsi="SimHei" w:cs="楷体" w:eastAsia="黑体"/>
          <w:sz w:val="24"/>
          <w:szCs w:val="24"/>
        </w:rPr>
        <w:t>分位的，根据员工绩效结果</w:t>
      </w:r>
      <w:r>
        <w:rPr>
          <w:rFonts w:eastAsia="黑体" w:cs="楷体" w:ascii="SimHei" w:hAnsi="SimHei"/>
          <w:sz w:val="24"/>
          <w:szCs w:val="24"/>
        </w:rPr>
        <w:t>,</w:t>
      </w:r>
      <w:r>
        <w:rPr>
          <w:rFonts w:ascii="SimHei" w:hAnsi="SimHei" w:cs="楷体" w:eastAsia="黑体"/>
          <w:sz w:val="24"/>
          <w:szCs w:val="24"/>
        </w:rPr>
        <w:t>进行年度薪酬分位值调整，最高不超过该职位标准职等</w:t>
      </w:r>
      <w:r>
        <w:rPr>
          <w:rFonts w:eastAsia="黑体" w:cs="楷体" w:ascii="SimHei" w:hAnsi="SimHei"/>
          <w:sz w:val="24"/>
          <w:szCs w:val="24"/>
        </w:rPr>
        <w:t>50</w:t>
      </w:r>
      <w:r>
        <w:rPr>
          <w:rFonts w:ascii="SimHei" w:hAnsi="SimHei" w:cs="楷体" w:eastAsia="黑体"/>
          <w:sz w:val="24"/>
          <w:szCs w:val="24"/>
        </w:rPr>
        <w:t>分位（不包括工龄分位值、职称分位值）；</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如员工现薪酬分位值（不包括工龄分位值、职称分位值）已等于或高于该职位标准职等</w:t>
      </w:r>
      <w:r>
        <w:rPr>
          <w:rFonts w:eastAsia="黑体" w:cs="楷体" w:ascii="SimHei" w:hAnsi="SimHei"/>
          <w:sz w:val="24"/>
          <w:szCs w:val="24"/>
        </w:rPr>
        <w:t>50</w:t>
      </w:r>
      <w:r>
        <w:rPr>
          <w:rFonts w:ascii="SimHei" w:hAnsi="SimHei" w:cs="楷体" w:eastAsia="黑体"/>
          <w:sz w:val="24"/>
          <w:szCs w:val="24"/>
        </w:rPr>
        <w:t>分位的，不再按绩效结果进行年度薪酬分位值调整。</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eastAsia="黑体" w:cs="楷体" w:ascii="SimHei" w:hAnsi="SimHei"/>
          <w:sz w:val="24"/>
          <w:szCs w:val="24"/>
        </w:rPr>
        <w:t>3</w:t>
      </w:r>
      <w:r>
        <w:rPr>
          <w:rFonts w:ascii="SimHei" w:hAnsi="SimHei" w:cs="楷体" w:eastAsia="黑体"/>
          <w:sz w:val="24"/>
          <w:szCs w:val="24"/>
        </w:rPr>
        <w:t>、员工个人职位水平等级下调的：</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该员工工作年限不满五年的，从次月起按新职位水平等级定等；工作年限满五年、不满十年的</w:t>
      </w:r>
      <w:r>
        <w:rPr>
          <w:rFonts w:eastAsia="黑体" w:cs="楷体" w:ascii="SimHei" w:hAnsi="SimHei"/>
          <w:sz w:val="24"/>
        </w:rPr>
        <w:t>,</w:t>
      </w:r>
      <w:r>
        <w:rPr>
          <w:rFonts w:ascii="SimHei" w:hAnsi="SimHei" w:cs="楷体" w:eastAsia="黑体"/>
          <w:sz w:val="24"/>
        </w:rPr>
        <w:t>从次月起逐年降一等，直至新职位水平等级职等；工作年限满十年的，第一年保持原职位水平等级职等不变一年，从次年一年期满的次月起逐年降一等</w:t>
      </w:r>
      <w:r>
        <w:rPr>
          <w:rFonts w:eastAsia="黑体" w:cs="楷体" w:ascii="SimHei" w:hAnsi="SimHei"/>
          <w:sz w:val="24"/>
        </w:rPr>
        <w:t>,</w:t>
      </w:r>
      <w:r>
        <w:rPr>
          <w:rFonts w:ascii="SimHei" w:hAnsi="SimHei" w:cs="楷体" w:eastAsia="黑体"/>
          <w:sz w:val="24"/>
        </w:rPr>
        <w:t>直至新职位水平等级职等。</w:t>
      </w:r>
    </w:p>
    <w:p>
      <w:pPr>
        <w:pStyle w:val="3"/>
        <w:keepNext w:val="false"/>
        <w:keepLines w:val="false"/>
        <w:pageBreakBefore w:val="false"/>
        <w:widowControl w:val="false"/>
        <w:kinsoku w:val="true"/>
        <w:overflowPunct w:val="true"/>
        <w:autoSpaceDE w:val="true"/>
        <w:bidi w:val="0"/>
        <w:spacing w:lineRule="auto" w:line="360" w:before="0" w:after="0"/>
        <w:ind w:start="0" w:firstLine="480"/>
        <w:textAlignment w:val="auto"/>
        <w:rPr>
          <w:rFonts w:ascii="楷体" w:hAnsi="楷体" w:eastAsia="楷体" w:cs="楷体"/>
          <w:sz w:val="24"/>
          <w:szCs w:val="24"/>
        </w:rPr>
      </w:pPr>
      <w:r>
        <w:rPr>
          <w:rFonts w:ascii="SimHei" w:hAnsi="SimHei" w:cs="楷体" w:eastAsia="黑体"/>
          <w:sz w:val="24"/>
          <w:szCs w:val="24"/>
        </w:rPr>
        <w:t>该员工薪酬分位值不变。</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（二）标准级与高级水平等级之间的调整</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标准级晋升为高级水平等级一般通过竞聘的方式进行，比例原则控制在达到职位标准级水平等级人员的</w:t>
      </w:r>
      <w:r>
        <w:rPr>
          <w:rFonts w:eastAsia="黑体" w:cs="楷体" w:ascii="SimHei" w:hAnsi="SimHei"/>
          <w:sz w:val="24"/>
        </w:rPr>
        <w:t>15%</w:t>
      </w:r>
      <w:r>
        <w:rPr>
          <w:rFonts w:ascii="SimHei" w:hAnsi="SimHei" w:cs="楷体" w:eastAsia="黑体"/>
          <w:sz w:val="24"/>
        </w:rPr>
        <w:t>以内，聘期一年，该员工的个人水平等级从聘任的次月起调整，绩效分位值不变。</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同时符合下列所有条件的人员，具备标准级调整到高级的基本条件：</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）在本职位标准级工作满一年以上。</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w:t>
      </w:r>
      <w:r>
        <w:rPr>
          <w:rFonts w:ascii="SimHei" w:hAnsi="SimHei" w:cs="楷体" w:eastAsia="黑体"/>
          <w:bCs/>
          <w:sz w:val="24"/>
        </w:rPr>
        <w:t>上年度绩效考核良好以上。</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其中省公司标准职等为</w:t>
      </w:r>
      <w:r>
        <w:rPr>
          <w:rFonts w:eastAsia="黑体" w:cs="楷体" w:ascii="SimHei" w:hAnsi="SimHei"/>
          <w:sz w:val="24"/>
        </w:rPr>
        <w:t>8</w:t>
      </w:r>
      <w:r>
        <w:rPr>
          <w:rFonts w:ascii="SimHei" w:hAnsi="SimHei" w:cs="楷体" w:eastAsia="黑体"/>
          <w:sz w:val="24"/>
        </w:rPr>
        <w:t>等及以上、分公司标准职等为</w:t>
      </w:r>
      <w:r>
        <w:rPr>
          <w:rFonts w:eastAsia="黑体" w:cs="楷体" w:ascii="SimHei" w:hAnsi="SimHei"/>
          <w:sz w:val="24"/>
        </w:rPr>
        <w:t>7</w:t>
      </w:r>
      <w:r>
        <w:rPr>
          <w:rFonts w:ascii="SimHei" w:hAnsi="SimHei" w:cs="楷体" w:eastAsia="黑体"/>
          <w:sz w:val="24"/>
        </w:rPr>
        <w:t>等及以上的职位标准级与高级水平等级之间的调整按照公司专业技术通道职位竞聘管理办法规定执行。</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70"/>
        <w:textAlignment w:val="auto"/>
        <w:rPr>
          <w:rFonts w:ascii="楷体" w:hAnsi="楷体" w:eastAsia="楷体" w:cs="楷体"/>
          <w:bCs/>
          <w:sz w:val="24"/>
        </w:rPr>
      </w:pPr>
      <w:r>
        <w:rPr>
          <w:rFonts w:ascii="SimHei" w:hAnsi="SimHei" w:cs="楷体" w:eastAsia="黑体"/>
          <w:bCs/>
          <w:sz w:val="24"/>
        </w:rPr>
        <w:t>省公司</w:t>
      </w:r>
      <w:r>
        <w:rPr>
          <w:rFonts w:eastAsia="黑体" w:cs="楷体" w:ascii="SimHei" w:hAnsi="SimHei"/>
          <w:bCs/>
          <w:sz w:val="24"/>
        </w:rPr>
        <w:t>8</w:t>
      </w:r>
      <w:r>
        <w:rPr>
          <w:rFonts w:ascii="SimHei" w:hAnsi="SimHei" w:cs="楷体" w:eastAsia="黑体"/>
          <w:bCs/>
          <w:sz w:val="24"/>
        </w:rPr>
        <w:t>等以下、分公司</w:t>
      </w:r>
      <w:r>
        <w:rPr>
          <w:rFonts w:eastAsia="黑体" w:cs="楷体" w:ascii="SimHei" w:hAnsi="SimHei"/>
          <w:bCs/>
          <w:sz w:val="24"/>
        </w:rPr>
        <w:t>7</w:t>
      </w:r>
      <w:r>
        <w:rPr>
          <w:rFonts w:ascii="SimHei" w:hAnsi="SimHei" w:cs="楷体" w:eastAsia="黑体"/>
          <w:bCs/>
          <w:sz w:val="24"/>
        </w:rPr>
        <w:t>等以下职位标准级与高级之间的晋升，省公司将晋升指标分配给每个部门，部门通过内部竞聘方式确定人选；分公司在指标范围内组织实施。</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（三）员工年度绩效考核结果欠佳，员工职位水平等级降一级，个人职等对应降一等，薪酬分位值降至对应职等相同分位值。</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二、员工职位变化情况下，职位水平等级</w:t>
      </w:r>
      <w:r>
        <w:rPr>
          <w:rFonts w:eastAsia="黑体" w:cs="楷体" w:ascii="SimHei" w:hAnsi="SimHei"/>
          <w:b/>
          <w:sz w:val="24"/>
        </w:rPr>
        <w:t>/</w:t>
      </w:r>
      <w:r>
        <w:rPr>
          <w:rFonts w:ascii="SimHei" w:hAnsi="SimHei" w:cs="楷体" w:eastAsia="黑体"/>
          <w:b/>
          <w:sz w:val="24"/>
        </w:rPr>
        <w:t>个人职等调整：</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eastAsia="黑体" w:cs="楷体" w:ascii="SimHei" w:hAnsi="SimHei"/>
          <w:sz w:val="24"/>
        </w:rPr>
        <w:t>1</w:t>
      </w:r>
      <w:r>
        <w:rPr>
          <w:rFonts w:ascii="SimHei" w:hAnsi="SimHei" w:cs="楷体" w:eastAsia="黑体"/>
          <w:sz w:val="24"/>
        </w:rPr>
        <w:t>、标准职等相同的不同职位之间调整，套用个人原职等对应水平等级。</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eastAsia="黑体" w:cs="楷体" w:ascii="SimHei" w:hAnsi="SimHei"/>
          <w:sz w:val="24"/>
        </w:rPr>
        <w:t>2</w:t>
      </w:r>
      <w:r>
        <w:rPr>
          <w:rFonts w:ascii="SimHei" w:hAnsi="SimHei" w:cs="楷体" w:eastAsia="黑体"/>
          <w:sz w:val="24"/>
        </w:rPr>
        <w:t>、由低职等职位变动为高职等职位的，个人职等当年保持不变，如个人原职等与新职位各水平等级对应职等有重合的，套用原个人职等对应水平等级；如个人原职等与新职位各水平等级对应职等没有重合的，个人职位水平等级暂不确定；待当年完整绩效考核年度结果出来后，在次年根据绩效结果进行调整薪酬分位值，逐步调整到位（按第十八条一、（一）、</w:t>
      </w:r>
      <w:r>
        <w:rPr>
          <w:rFonts w:eastAsia="黑体" w:cs="楷体" w:ascii="SimHei" w:hAnsi="SimHei"/>
          <w:sz w:val="24"/>
        </w:rPr>
        <w:t>1</w:t>
      </w:r>
      <w:r>
        <w:rPr>
          <w:rFonts w:ascii="SimHei" w:hAnsi="SimHei" w:cs="楷体" w:eastAsia="黑体"/>
          <w:sz w:val="24"/>
        </w:rPr>
        <w:t>条规定执行）。</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eastAsia="黑体" w:cs="楷体" w:ascii="SimHei" w:hAnsi="SimHei"/>
          <w:sz w:val="24"/>
        </w:rPr>
        <w:t>3</w:t>
      </w:r>
      <w:r>
        <w:rPr>
          <w:rFonts w:ascii="SimHei" w:hAnsi="SimHei" w:cs="楷体" w:eastAsia="黑体"/>
          <w:sz w:val="24"/>
        </w:rPr>
        <w:t>、由高职等职位变动为低职等职位的，如个人原职等与新职位各水平等级对应职等有重合的，套用个人原职等对应新职位相应水平等级；如个人原职等与新职位各水平等级对应职等没有重合的，执行新职位的高级（均按第十八条一、（一）、</w:t>
      </w:r>
      <w:r>
        <w:rPr>
          <w:rFonts w:eastAsia="黑体" w:cs="楷体" w:ascii="SimHei" w:hAnsi="SimHei"/>
          <w:sz w:val="24"/>
        </w:rPr>
        <w:t>3</w:t>
      </w:r>
      <w:r>
        <w:rPr>
          <w:rFonts w:ascii="SimHei" w:hAnsi="SimHei" w:cs="楷体" w:eastAsia="黑体"/>
          <w:sz w:val="24"/>
        </w:rPr>
        <w:t>条逐步调整到位；因工作失职等降职而职位调整的按相关规定执行）。</w:t>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b/>
          <w:b/>
          <w:sz w:val="24"/>
        </w:rPr>
      </w:pPr>
      <w:r>
        <w:rPr>
          <w:rFonts w:ascii="SimHei" w:hAnsi="SimHei" w:cs="楷体" w:eastAsia="黑体"/>
          <w:b/>
          <w:sz w:val="24"/>
        </w:rPr>
        <w:t>第五章  附则</w:t>
      </w:r>
    </w:p>
    <w:p>
      <w:pPr>
        <w:pStyle w:val="Normal"/>
        <w:keepNext w:val="false"/>
        <w:keepLines w:val="false"/>
        <w:pageBreakBefore w:val="false"/>
        <w:widowControl w:val="false"/>
        <w:kinsoku w:val="true"/>
        <w:overflowPunct w:val="true"/>
        <w:autoSpaceDE w:val="true"/>
        <w:bidi w:val="0"/>
        <w:spacing w:lineRule="auto" w:line="360"/>
        <w:ind w:start="0" w:firstLine="482"/>
        <w:textAlignment w:val="auto"/>
        <w:rPr>
          <w:rFonts w:ascii="楷体" w:hAnsi="楷体" w:eastAsia="楷体" w:cs="楷体"/>
          <w:b/>
          <w:b/>
          <w:sz w:val="24"/>
        </w:rPr>
      </w:pPr>
      <w:r>
        <w:rPr>
          <w:rFonts w:ascii="SimHei" w:hAnsi="SimHei" w:cs="楷体" w:eastAsia="黑体"/>
          <w:b/>
          <w:sz w:val="24"/>
        </w:rPr>
        <w:t>第十九条  其它</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（一）如本办法与公司其他文件规定相冲突的，按本办法执行。</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（二）中层实职退出人员等有特殊规定的按相关规定执行。</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某集团有关规定执行。</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ascii="SimHei" w:hAnsi="SimHei" w:cs="楷体" w:eastAsia="黑体"/>
          <w:sz w:val="24"/>
        </w:rPr>
        <w:t>（四）本办法解释权属省公司人力资源部。</w:t>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firstLine="480"/>
        <w:textAlignment w:val="auto"/>
        <w:rPr>
          <w:rFonts w:ascii="楷体" w:hAnsi="楷体" w:eastAsia="楷体" w:cs="楷体"/>
          <w:sz w:val="24"/>
        </w:rPr>
      </w:pPr>
      <w:r>
        <w:rPr>
          <w:rFonts w:ascii="SimHei" w:hAnsi="SimHei" w:cs="楷体" w:eastAsia="黑体"/>
          <w:sz w:val="24"/>
        </w:rPr>
        <w:t>（五）本办法自发文之日起实施。</w:t>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pacing w:lineRule="auto" w:line="360"/>
        <w:ind w:start="0" w:firstLine="480"/>
        <w:textAlignment w:val="auto"/>
        <w:rPr>
          <w:rFonts w:ascii="楷体" w:hAnsi="楷体" w:eastAsia="楷体" w:cs="楷体"/>
          <w:sz w:val="24"/>
        </w:rPr>
      </w:pPr>
      <w:r>
        <w:rPr>
          <w:rFonts w:eastAsia="黑体" w:cs="楷体" w:ascii="SimHei" w:hAnsi="SimHei"/>
          <w:sz w:val="24"/>
        </w:rPr>
      </w:r>
    </w:p>
    <w:p>
      <w:pPr>
        <w:pStyle w:val="Normal"/>
        <w:keepNext w:val="false"/>
        <w:keepLines w:val="false"/>
        <w:pageBreakBefore w:val="false"/>
        <w:widowControl w:val="false"/>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ascii="SimHei" w:hAnsi="SimHei" w:cs="楷体" w:eastAsia="黑体"/>
          <w:spacing w:val="20"/>
          <w:sz w:val="24"/>
        </w:rPr>
        <w:t>附件一：</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560"/>
        <w:textAlignment w:val="auto"/>
        <w:rPr>
          <w:rFonts w:cs="楷体"/>
        </w:rPr>
      </w:pPr>
      <w:r>
        <w:rPr>
          <w:rFonts w:eastAsia="黑体" w:cs="楷体" w:ascii="SimHei" w:hAnsi="SimHei"/>
          <w:spacing w:val="20"/>
          <w:sz w:val="24"/>
        </w:rPr>
        <w:t xml:space="preserve">                                      </w:t>
      </w:r>
      <w:r>
        <w:rPr>
          <w:rFonts w:ascii="SimHei" w:hAnsi="SimHei" w:cs="楷体" w:eastAsia="黑体"/>
          <w:spacing w:val="20"/>
          <w:sz w:val="24"/>
        </w:rPr>
        <w:t>单位：年</w:t>
      </w:r>
    </w:p>
    <w:tbl>
      <w:tblPr>
        <w:tblW w:w="8835" w:type="dxa"/>
        <w:jc w:val="center"/>
        <w:tblInd w:w="0" w:type="dxa"/>
        <w:tblLayout w:type="fixed"/>
        <w:tblCellMar>
          <w:top w:w="0" w:type="dxa"/>
          <w:start w:w="0" w:type="dxa"/>
          <w:bottom w:w="0" w:type="dxa"/>
          <w:end w:w="0" w:type="dxa"/>
        </w:tblCellMar>
      </w:tblPr>
      <w:tblGrid>
        <w:gridCol w:w="1065"/>
        <w:gridCol w:w="1575"/>
        <w:gridCol w:w="1470"/>
        <w:gridCol w:w="1470"/>
        <w:gridCol w:w="1470"/>
        <w:gridCol w:w="1785"/>
      </w:tblGrid>
      <w:tr>
        <w:trPr>
          <w:trHeight w:val="270" w:hRule="atLeast"/>
        </w:trPr>
        <w:tc>
          <w:tcPr>
            <w:tcW w:w="1065" w:type="dxa"/>
            <w:vMerge w:val="restart"/>
            <w:tcBorders>
              <w:top w:val="single" w:sz="4" w:space="0" w:color="000000"/>
              <w:start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职等</w:t>
            </w:r>
          </w:p>
        </w:tc>
        <w:tc>
          <w:tcPr>
            <w:tcW w:w="7770" w:type="dxa"/>
            <w:gridSpan w:val="5"/>
            <w:tcBorders>
              <w:top w:val="single" w:sz="4"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工作年限</w:t>
            </w:r>
          </w:p>
        </w:tc>
      </w:tr>
      <w:tr>
        <w:trPr>
          <w:trHeight w:val="450" w:hRule="atLeast"/>
        </w:trPr>
        <w:tc>
          <w:tcPr>
            <w:tcW w:w="1065" w:type="dxa"/>
            <w:vMerge w:val="continue"/>
            <w:tcBorders>
              <w:top w:val="single" w:sz="4" w:space="0" w:color="000000"/>
              <w:start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楷体" w:cs="楷体" w:ascii="楷体" w:hAnsi="楷体"/>
                <w:spacing w:val="20"/>
                <w:sz w:val="24"/>
              </w:rPr>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博士</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硕士</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本科</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专科</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中专及以下</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11</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5</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7</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9</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10</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3</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6</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8</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9</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3</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5</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7</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8</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3</w:t>
            </w:r>
            <w:r>
              <w:rPr>
                <w:rFonts w:ascii="SimHei" w:hAnsi="SimHei" w:cs="楷体" w:eastAsia="黑体"/>
                <w:spacing w:val="20"/>
                <w:sz w:val="24"/>
              </w:rPr>
              <w:t>个月后</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5</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7</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3</w:t>
            </w:r>
            <w:r>
              <w:rPr>
                <w:rFonts w:ascii="SimHei" w:hAnsi="SimHei" w:cs="楷体" w:eastAsia="黑体"/>
                <w:spacing w:val="20"/>
                <w:sz w:val="24"/>
              </w:rPr>
              <w:t>个月内</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6</w:t>
            </w:r>
            <w:r>
              <w:rPr>
                <w:rFonts w:ascii="SimHei" w:hAnsi="SimHei" w:cs="楷体" w:eastAsia="黑体"/>
                <w:spacing w:val="20"/>
                <w:sz w:val="24"/>
              </w:rPr>
              <w:t>个月后</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3</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4</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6</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6</w:t>
            </w:r>
            <w:r>
              <w:rPr>
                <w:rFonts w:ascii="SimHei" w:hAnsi="SimHei" w:cs="楷体" w:eastAsia="黑体"/>
                <w:spacing w:val="20"/>
                <w:sz w:val="24"/>
              </w:rPr>
              <w:t>个月内</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2</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5</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1</w:t>
            </w:r>
          </w:p>
        </w:tc>
      </w:tr>
      <w:tr>
        <w:trPr>
          <w:trHeight w:val="270" w:hRule="atLeast"/>
        </w:trPr>
        <w:tc>
          <w:tcPr>
            <w:tcW w:w="1065" w:type="dxa"/>
            <w:tcBorders>
              <w:top w:val="single" w:sz="6" w:space="0" w:color="000000"/>
              <w:start w:val="single" w:sz="6" w:space="0" w:color="000000"/>
              <w:bottom w:val="single" w:sz="4"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t>4</w:t>
            </w:r>
          </w:p>
        </w:tc>
        <w:tc>
          <w:tcPr>
            <w:tcW w:w="1575" w:type="dxa"/>
            <w:tcBorders>
              <w:top w:val="single" w:sz="6" w:space="0" w:color="000000"/>
              <w:start w:val="single" w:sz="6" w:space="0" w:color="000000"/>
              <w:bottom w:val="single" w:sz="4"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eastAsia="黑体" w:cs="楷体" w:ascii="SimHei" w:hAnsi="SimHei"/>
                <w:spacing w:val="20"/>
                <w:sz w:val="24"/>
              </w:rPr>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见习期内</w:t>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见习期内</w:t>
            </w:r>
          </w:p>
        </w:tc>
        <w:tc>
          <w:tcPr>
            <w:tcW w:w="1785" w:type="dxa"/>
            <w:tcBorders>
              <w:top w:val="single" w:sz="6" w:space="0" w:color="000000"/>
              <w:start w:val="single" w:sz="6"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jc w:val="center"/>
              <w:textAlignment w:val="auto"/>
              <w:rPr>
                <w:rFonts w:ascii="楷体" w:hAnsi="楷体" w:eastAsia="楷体" w:cs="楷体"/>
                <w:spacing w:val="20"/>
                <w:sz w:val="24"/>
              </w:rPr>
            </w:pPr>
            <w:r>
              <w:rPr>
                <w:rFonts w:ascii="SimHei" w:hAnsi="SimHei" w:cs="楷体" w:eastAsia="黑体"/>
                <w:spacing w:val="20"/>
                <w:sz w:val="24"/>
              </w:rPr>
              <w:t>见习期内</w:t>
            </w:r>
          </w:p>
        </w:tc>
      </w:tr>
    </w:tbl>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eastAsia="黑体" w:cs="楷体" w:ascii="SimHei" w:hAnsi="SimHei"/>
          <w:spacing w:val="20"/>
          <w:sz w:val="24"/>
        </w:rPr>
      </w:r>
    </w:p>
    <w:p>
      <w:pPr>
        <w:pStyle w:val="Normal"/>
        <w:keepNext w:val="false"/>
        <w:keepLines w:val="false"/>
        <w:pageBreakBefore w:val="false"/>
        <w:widowControl w:val="false"/>
        <w:tabs>
          <w:tab w:val="clear" w:pos="420"/>
          <w:tab w:val="left" w:pos="840" w:leader="none"/>
        </w:tabs>
        <w:kinsoku w:val="true"/>
        <w:overflowPunct w:val="true"/>
        <w:autoSpaceDE w:val="true"/>
        <w:bidi w:val="0"/>
        <w:snapToGrid w:val="false"/>
        <w:spacing w:lineRule="auto" w:line="360"/>
        <w:ind w:start="0" w:hanging="0"/>
        <w:textAlignment w:val="auto"/>
        <w:rPr>
          <w:rFonts w:ascii="楷体" w:hAnsi="楷体" w:eastAsia="楷体" w:cs="楷体"/>
          <w:spacing w:val="20"/>
          <w:sz w:val="24"/>
        </w:rPr>
      </w:pPr>
      <w:r>
        <w:rPr>
          <w:rFonts w:ascii="SimHei" w:hAnsi="SimHei" w:cs="楷体" w:eastAsia="黑体"/>
          <w:spacing w:val="20"/>
          <w:sz w:val="24"/>
        </w:rPr>
        <w:t>附件二：</w:t>
      </w:r>
    </w:p>
    <w:p>
      <w:pPr>
        <w:pStyle w:val="Normal"/>
        <w:keepNext w:val="false"/>
        <w:keepLines w:val="false"/>
        <w:pageBreakBefore w:val="false"/>
        <w:widowControl w:val="false"/>
        <w:kinsoku w:val="true"/>
        <w:overflowPunct w:val="true"/>
        <w:autoSpaceDE w:val="true"/>
        <w:bidi w:val="0"/>
        <w:spacing w:lineRule="auto" w:line="360"/>
        <w:ind w:start="0" w:hanging="0"/>
        <w:jc w:val="center"/>
        <w:textAlignment w:val="auto"/>
        <w:rPr>
          <w:rFonts w:ascii="楷体" w:hAnsi="楷体" w:eastAsia="楷体" w:cs="楷体"/>
          <w:spacing w:val="30"/>
          <w:sz w:val="36"/>
          <w:szCs w:val="36"/>
        </w:rPr>
      </w:pPr>
      <w:r>
        <w:rPr>
          <w:rFonts w:ascii="SimHei" w:hAnsi="SimHei" w:cs="楷体" w:eastAsia="黑体"/>
          <w:spacing w:val="30"/>
          <w:sz w:val="36"/>
          <w:szCs w:val="36"/>
          <w:lang w:eastAsia="zh-CN"/>
        </w:rPr>
        <w:t>通讯公司</w:t>
      </w:r>
      <w:r>
        <w:rPr>
          <w:rFonts w:ascii="SimHei" w:hAnsi="SimHei" w:cs="楷体" w:eastAsia="黑体"/>
          <w:spacing w:val="30"/>
          <w:sz w:val="36"/>
          <w:szCs w:val="36"/>
        </w:rPr>
        <w:t>员工岗位调整审批表</w:t>
      </w:r>
    </w:p>
    <w:p>
      <w:pPr>
        <w:pStyle w:val="Normal"/>
        <w:keepNext w:val="false"/>
        <w:keepLines w:val="false"/>
        <w:pageBreakBefore w:val="false"/>
        <w:widowControl w:val="false"/>
        <w:kinsoku w:val="true"/>
        <w:overflowPunct w:val="true"/>
        <w:autoSpaceDE w:val="true"/>
        <w:bidi w:val="0"/>
        <w:spacing w:lineRule="auto" w:line="360"/>
        <w:ind w:start="0" w:hanging="0"/>
        <w:textAlignment w:val="auto"/>
        <w:rPr>
          <w:rFonts w:ascii="楷体" w:hAnsi="楷体" w:eastAsia="楷体" w:cs="楷体"/>
          <w:spacing w:val="30"/>
          <w:sz w:val="36"/>
          <w:szCs w:val="36"/>
        </w:rPr>
      </w:pPr>
      <w:r>
        <w:rPr>
          <w:rFonts w:eastAsia="黑体" w:cs="楷体" w:ascii="SimHei" w:hAnsi="SimHei"/>
          <w:spacing w:val="30"/>
          <w:sz w:val="36"/>
          <w:szCs w:val="36"/>
        </w:rPr>
      </w:r>
    </w:p>
    <w:tbl>
      <w:tblPr>
        <w:tblW w:w="9033" w:type="dxa"/>
        <w:jc w:val="center"/>
        <w:tblInd w:w="0" w:type="dxa"/>
        <w:tblLayout w:type="fixed"/>
        <w:tblCellMar>
          <w:top w:w="0" w:type="dxa"/>
          <w:start w:w="108" w:type="dxa"/>
          <w:bottom w:w="0" w:type="dxa"/>
          <w:end w:w="108" w:type="dxa"/>
        </w:tblCellMar>
      </w:tblPr>
      <w:tblGrid>
        <w:gridCol w:w="1053"/>
        <w:gridCol w:w="12"/>
        <w:gridCol w:w="1038"/>
        <w:gridCol w:w="525"/>
        <w:gridCol w:w="420"/>
        <w:gridCol w:w="1050"/>
        <w:gridCol w:w="1050"/>
        <w:gridCol w:w="1050"/>
        <w:gridCol w:w="945"/>
        <w:gridCol w:w="1890"/>
      </w:tblGrid>
      <w:tr>
        <w:trPr>
          <w:trHeight w:val="680" w:hRule="atLeast"/>
        </w:trPr>
        <w:tc>
          <w:tcPr>
            <w:tcW w:w="1053" w:type="dxa"/>
            <w:tcBorders>
              <w:top w:val="single" w:sz="12"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z w:val="24"/>
              </w:rPr>
              <w:t>姓  名</w:t>
            </w:r>
          </w:p>
        </w:tc>
        <w:tc>
          <w:tcPr>
            <w:tcW w:w="1050" w:type="dxa"/>
            <w:gridSpan w:val="2"/>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tc>
        <w:tc>
          <w:tcPr>
            <w:tcW w:w="945" w:type="dxa"/>
            <w:gridSpan w:val="2"/>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z w:val="24"/>
              </w:rPr>
              <w:t>性 别</w:t>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firstLine="100"/>
              <w:textAlignment w:val="auto"/>
              <w:rPr>
                <w:rFonts w:ascii="楷体" w:hAnsi="楷体" w:eastAsia="楷体" w:cs="楷体"/>
                <w:b/>
                <w:b/>
                <w:spacing w:val="-20"/>
                <w:sz w:val="24"/>
              </w:rPr>
            </w:pPr>
            <w:r>
              <w:rPr>
                <w:rFonts w:ascii="SimHei" w:hAnsi="SimHei" w:cs="楷体" w:eastAsia="黑体"/>
                <w:b/>
                <w:spacing w:val="-20"/>
                <w:sz w:val="24"/>
              </w:rPr>
              <w:t>学 历</w:t>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pacing w:val="-20"/>
                <w:sz w:val="24"/>
              </w:rPr>
            </w:pPr>
            <w:r>
              <w:rPr>
                <w:rFonts w:eastAsia="黑体" w:cs="楷体" w:ascii="SimHei" w:hAnsi="SimHei"/>
                <w:b/>
                <w:spacing w:val="-20"/>
                <w:sz w:val="24"/>
              </w:rPr>
            </w:r>
          </w:p>
        </w:tc>
        <w:tc>
          <w:tcPr>
            <w:tcW w:w="945" w:type="dxa"/>
            <w:tcBorders>
              <w:top w:val="single" w:sz="12"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z w:val="24"/>
              </w:rPr>
              <w:t>进公司</w:t>
            </w:r>
          </w:p>
          <w:p>
            <w:pPr>
              <w:pStyle w:val="Normal"/>
              <w:keepNext w:val="false"/>
              <w:keepLines w:val="false"/>
              <w:widowControl w:val="false"/>
              <w:kinsoku w:val="true"/>
              <w:overflowPunct w:val="true"/>
              <w:autoSpaceDE w:val="true"/>
              <w:bidi w:val="0"/>
              <w:spacing w:lineRule="auto" w:line="360"/>
              <w:ind w:start="0" w:firstLine="120"/>
              <w:textAlignment w:val="auto"/>
              <w:rPr>
                <w:rFonts w:ascii="楷体" w:hAnsi="楷体" w:eastAsia="楷体" w:cs="楷体"/>
                <w:sz w:val="24"/>
              </w:rPr>
            </w:pPr>
            <w:r>
              <w:rPr>
                <w:rFonts w:ascii="SimHei" w:hAnsi="SimHei" w:cs="楷体" w:eastAsia="黑体"/>
                <w:b/>
                <w:sz w:val="24"/>
              </w:rPr>
              <w:t>时间</w:t>
            </w:r>
          </w:p>
        </w:tc>
        <w:tc>
          <w:tcPr>
            <w:tcW w:w="1890" w:type="dxa"/>
            <w:tcBorders>
              <w:top w:val="single" w:sz="12"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sz w:val="24"/>
              </w:rPr>
            </w:pPr>
            <w:r>
              <w:rPr>
                <w:rFonts w:eastAsia="黑体" w:cs="楷体" w:ascii="SimHei" w:hAnsi="SimHei"/>
                <w:sz w:val="24"/>
              </w:rPr>
            </w:r>
          </w:p>
        </w:tc>
      </w:tr>
      <w:tr>
        <w:trPr>
          <w:trHeight w:val="680" w:hRule="atLeast"/>
        </w:trPr>
        <w:tc>
          <w:tcPr>
            <w:tcW w:w="1053" w:type="dxa"/>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z w:val="24"/>
              </w:rPr>
              <w:t>变动前</w:t>
            </w:r>
          </w:p>
        </w:tc>
        <w:tc>
          <w:tcPr>
            <w:tcW w:w="1575" w:type="dxa"/>
            <w:gridSpan w:val="3"/>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pacing w:val="-20"/>
                <w:sz w:val="24"/>
              </w:rPr>
              <w:t xml:space="preserve">现 任 职 </w:t>
            </w:r>
            <w:r>
              <w:rPr>
                <w:rFonts w:ascii="SimHei" w:hAnsi="SimHei" w:cs="楷体" w:eastAsia="黑体"/>
                <w:b/>
                <w:sz w:val="24"/>
              </w:rPr>
              <w:t>位</w:t>
            </w:r>
          </w:p>
        </w:tc>
        <w:tc>
          <w:tcPr>
            <w:tcW w:w="2520" w:type="dxa"/>
            <w:gridSpan w:val="3"/>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tc>
        <w:tc>
          <w:tcPr>
            <w:tcW w:w="1995" w:type="dxa"/>
            <w:gridSpan w:val="2"/>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pacing w:val="-20"/>
                <w:sz w:val="24"/>
              </w:rPr>
              <w:t xml:space="preserve">岗 位 标 准 职 </w:t>
            </w:r>
            <w:r>
              <w:rPr>
                <w:rFonts w:ascii="SimHei" w:hAnsi="SimHei" w:cs="楷体" w:eastAsia="黑体"/>
                <w:b/>
                <w:sz w:val="24"/>
              </w:rPr>
              <w:t>等</w:t>
            </w:r>
          </w:p>
        </w:tc>
        <w:tc>
          <w:tcPr>
            <w:tcW w:w="1890" w:type="dxa"/>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tc>
      </w:tr>
      <w:tr>
        <w:trPr>
          <w:trHeight w:val="680" w:hRule="atLeast"/>
        </w:trPr>
        <w:tc>
          <w:tcPr>
            <w:tcW w:w="1053" w:type="dxa"/>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ascii="SimHei" w:hAnsi="SimHei" w:cs="楷体" w:eastAsia="黑体"/>
                <w:b/>
                <w:sz w:val="24"/>
              </w:rPr>
              <w:t>变动后</w:t>
            </w:r>
          </w:p>
        </w:tc>
        <w:tc>
          <w:tcPr>
            <w:tcW w:w="1575" w:type="dxa"/>
            <w:gridSpan w:val="3"/>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pacing w:val="-20"/>
                <w:sz w:val="24"/>
              </w:rPr>
            </w:pPr>
            <w:r>
              <w:rPr>
                <w:rFonts w:ascii="SimHei" w:hAnsi="SimHei" w:cs="楷体" w:eastAsia="黑体"/>
                <w:b/>
                <w:spacing w:val="-20"/>
                <w:sz w:val="24"/>
              </w:rPr>
              <w:t>拟 任 职 位</w:t>
            </w:r>
          </w:p>
        </w:tc>
        <w:tc>
          <w:tcPr>
            <w:tcW w:w="2520" w:type="dxa"/>
            <w:gridSpan w:val="3"/>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pacing w:val="-20"/>
                <w:sz w:val="24"/>
              </w:rPr>
            </w:pPr>
            <w:r>
              <w:rPr>
                <w:rFonts w:eastAsia="黑体" w:cs="楷体" w:ascii="SimHei" w:hAnsi="SimHei"/>
                <w:b/>
                <w:spacing w:val="-20"/>
                <w:sz w:val="24"/>
              </w:rPr>
            </w:r>
          </w:p>
        </w:tc>
        <w:tc>
          <w:tcPr>
            <w:tcW w:w="1995" w:type="dxa"/>
            <w:gridSpan w:val="2"/>
            <w:tcBorders>
              <w:top w:val="single" w:sz="6" w:space="0" w:color="000000"/>
              <w:start w:val="single" w:sz="6"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pacing w:val="-20"/>
                <w:sz w:val="24"/>
              </w:rPr>
            </w:pPr>
            <w:r>
              <w:rPr>
                <w:rFonts w:ascii="SimHei" w:hAnsi="SimHei" w:cs="楷体" w:eastAsia="黑体"/>
                <w:b/>
                <w:spacing w:val="-20"/>
                <w:sz w:val="24"/>
              </w:rPr>
              <w:t>岗 位 标 准 职</w:t>
            </w:r>
            <w:r>
              <w:rPr>
                <w:rFonts w:ascii="SimHei" w:hAnsi="SimHei" w:cs="楷体" w:eastAsia="黑体"/>
                <w:b/>
                <w:sz w:val="24"/>
              </w:rPr>
              <w:t>等</w:t>
            </w:r>
          </w:p>
        </w:tc>
        <w:tc>
          <w:tcPr>
            <w:tcW w:w="1890" w:type="dxa"/>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pacing w:val="-20"/>
                <w:sz w:val="24"/>
              </w:rPr>
            </w:pPr>
            <w:r>
              <w:rPr>
                <w:rFonts w:eastAsia="黑体" w:cs="楷体" w:ascii="SimHei" w:hAnsi="SimHei"/>
                <w:b/>
                <w:spacing w:val="-20"/>
                <w:sz w:val="24"/>
              </w:rPr>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岗</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位</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变</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动</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理</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由</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所</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在</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部</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门</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意</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firstLine="4200"/>
              <w:textAlignment w:val="auto"/>
              <w:rPr>
                <w:rFonts w:ascii="楷体" w:hAnsi="楷体" w:eastAsia="楷体" w:cs="楷体"/>
                <w:sz w:val="24"/>
              </w:rPr>
            </w:pPr>
            <w:r>
              <w:rPr>
                <w:rFonts w:ascii="SimHei" w:hAnsi="SimHei" w:cs="楷体" w:eastAsia="黑体"/>
                <w:sz w:val="24"/>
              </w:rPr>
              <w:t>部门经理：</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年     月    日</w:t>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人</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力</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资</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源</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部</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意</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部门经理：</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年    月    日</w:t>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公</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司</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领</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导</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意</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b/>
                <w:b/>
                <w:sz w:val="24"/>
              </w:rPr>
            </w:pPr>
            <w:r>
              <w:rPr>
                <w:rFonts w:eastAsia="黑体" w:cs="楷体" w:ascii="SimHei" w:hAnsi="SimHei"/>
                <w:b/>
                <w:sz w:val="24"/>
              </w:rPr>
              <w:t xml:space="preserve">  </w:t>
            </w:r>
            <w:r>
              <w:rPr>
                <w:rFonts w:ascii="SimHei" w:hAnsi="SimHei" w:cs="楷体"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b/>
                <w:b/>
                <w:sz w:val="24"/>
              </w:rPr>
            </w:pPr>
            <w:r>
              <w:rPr>
                <w:rFonts w:eastAsia="黑体" w:cs="楷体" w:ascii="SimHei" w:hAnsi="SimHei"/>
                <w:b/>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公司领导：</w:t>
            </w:r>
          </w:p>
          <w:p>
            <w:pPr>
              <w:pStyle w:val="Normal"/>
              <w:keepNext w:val="false"/>
              <w:keepLines w:val="false"/>
              <w:widowControl w:val="false"/>
              <w:kinsoku w:val="true"/>
              <w:overflowPunct w:val="true"/>
              <w:autoSpaceDE w:val="true"/>
              <w:bidi w:val="0"/>
              <w:spacing w:lineRule="auto" w:line="360"/>
              <w:ind w:start="0" w:hanging="0"/>
              <w:textAlignment w:val="auto"/>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年    月    日</w:t>
            </w:r>
          </w:p>
        </w:tc>
      </w:tr>
      <w:tr>
        <w:trPr>
          <w:cantSplit w:val="true"/>
        </w:trPr>
        <w:tc>
          <w:tcPr>
            <w:tcW w:w="1065" w:type="dxa"/>
            <w:gridSpan w:val="2"/>
            <w:tcBorders>
              <w:top w:val="single" w:sz="6" w:space="0" w:color="000000"/>
              <w:start w:val="single" w:sz="12" w:space="0" w:color="000000"/>
              <w:bottom w:val="single" w:sz="12" w:space="0" w:color="000000"/>
              <w:end w:val="single" w:sz="6" w:space="0" w:color="000000"/>
            </w:tcBorders>
            <w:vAlign w:val="center"/>
          </w:tcPr>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ascii="SimHei" w:hAnsi="SimHei" w:cs="楷体" w:eastAsia="黑体"/>
                <w:b/>
                <w:sz w:val="24"/>
              </w:rPr>
              <w:t>备</w:t>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b/>
                <w:b/>
                <w:sz w:val="24"/>
              </w:rPr>
            </w:pPr>
            <w:r>
              <w:rPr>
                <w:rFonts w:eastAsia="黑体" w:cs="楷体" w:ascii="SimHei" w:hAnsi="SimHei"/>
                <w:b/>
                <w:sz w:val="24"/>
              </w:rPr>
            </w:r>
          </w:p>
          <w:p>
            <w:pPr>
              <w:pStyle w:val="Normal"/>
              <w:keepNext w:val="false"/>
              <w:keepLines w:val="false"/>
              <w:widowControl w:val="false"/>
              <w:kinsoku w:val="true"/>
              <w:overflowPunct w:val="true"/>
              <w:autoSpaceDE w:val="true"/>
              <w:bidi w:val="0"/>
              <w:spacing w:lineRule="auto" w:line="360"/>
              <w:ind w:start="0" w:firstLine="241"/>
              <w:textAlignment w:val="auto"/>
              <w:rPr>
                <w:rFonts w:ascii="楷体" w:hAnsi="楷体" w:eastAsia="楷体" w:cs="楷体"/>
                <w:sz w:val="24"/>
              </w:rPr>
            </w:pPr>
            <w:r>
              <w:rPr>
                <w:rFonts w:ascii="SimHei" w:hAnsi="SimHei" w:cs="楷体" w:eastAsia="黑体"/>
                <w:b/>
                <w:sz w:val="24"/>
              </w:rPr>
              <w:t>注</w:t>
            </w:r>
          </w:p>
        </w:tc>
        <w:tc>
          <w:tcPr>
            <w:tcW w:w="7968" w:type="dxa"/>
            <w:gridSpan w:val="8"/>
            <w:tcBorders>
              <w:top w:val="single" w:sz="6" w:space="0" w:color="000000"/>
              <w:start w:val="single" w:sz="6" w:space="0" w:color="000000"/>
              <w:bottom w:val="single" w:sz="12" w:space="0" w:color="000000"/>
              <w:end w:val="single" w:sz="12"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hanging="0"/>
              <w:textAlignment w:val="auto"/>
              <w:rPr>
                <w:rFonts w:ascii="楷体" w:hAnsi="楷体" w:eastAsia="楷体" w:cs="楷体"/>
                <w:sz w:val="24"/>
              </w:rPr>
            </w:pPr>
            <w:r>
              <w:rPr>
                <w:rFonts w:eastAsia="黑体" w:cs="楷体" w:ascii="SimHei" w:hAnsi="SimHei"/>
                <w:sz w:val="24"/>
              </w:rPr>
            </w:r>
          </w:p>
        </w:tc>
      </w:tr>
    </w:tbl>
    <w:p>
      <w:pPr>
        <w:pStyle w:val="Normal"/>
        <w:keepNext w:val="false"/>
        <w:keepLines w:val="false"/>
        <w:pageBreakBefore w:val="false"/>
        <w:widowControl w:val="false"/>
        <w:kinsoku w:val="true"/>
        <w:overflowPunct w:val="true"/>
        <w:autoSpaceDE w:val="true"/>
        <w:bidi w:val="0"/>
        <w:spacing w:lineRule="auto" w:line="360"/>
        <w:ind w:start="0" w:firstLine="420"/>
        <w:textAlignment w:val="auto"/>
        <w:rPr>
          <w:rFonts w:ascii="楷体" w:hAnsi="楷体" w:eastAsia="楷体" w:cs="楷体"/>
        </w:rPr>
      </w:pPr>
      <w:r>
        <w:rPr>
          <w:rFonts w:eastAsia="黑体" w:cs="楷体" w:ascii="SimHei" w:hAnsi="SimHei"/>
        </w:rPr>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宋体" w:hAnsi="宋体" w:cs="宋体"/>
        <w:color w:val="0080FF"/>
      </w:rPr>
    </w:pPr>
    <w:r>
      <w:rPr>
        <w:rFonts w:cs="宋体" w:ascii="宋体" w:hAnsi="宋体"/>
        <w:color w:val="0080FF"/>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832" w:hanging="360"/>
      </w:pPr>
      <w:rPr>
        <w:rFonts w:cs="楷体"/>
      </w:rPr>
    </w:lvl>
    <w:lvl w:ilvl="1">
      <w:start w:val="1"/>
      <w:numFmt w:val="lowerLetter"/>
      <w:lvlText w:val="%2)"/>
      <w:lvlJc w:val="start"/>
      <w:pPr>
        <w:tabs>
          <w:tab w:val="num" w:pos="0"/>
        </w:tabs>
        <w:ind w:start="1312" w:hanging="420"/>
      </w:pPr>
      <w:rPr/>
    </w:lvl>
    <w:lvl w:ilvl="2">
      <w:start w:val="1"/>
      <w:numFmt w:val="lowerRoman"/>
      <w:lvlText w:val="%3."/>
      <w:lvlJc w:val="end"/>
      <w:pPr>
        <w:tabs>
          <w:tab w:val="num" w:pos="0"/>
        </w:tabs>
        <w:ind w:start="1732" w:hanging="420"/>
      </w:pPr>
      <w:rPr/>
    </w:lvl>
    <w:lvl w:ilvl="3">
      <w:start w:val="1"/>
      <w:numFmt w:val="decimal"/>
      <w:lvlText w:val="%4."/>
      <w:lvlJc w:val="start"/>
      <w:pPr>
        <w:tabs>
          <w:tab w:val="num" w:pos="0"/>
        </w:tabs>
        <w:ind w:start="2152" w:hanging="420"/>
      </w:pPr>
      <w:rPr/>
    </w:lvl>
    <w:lvl w:ilvl="4">
      <w:start w:val="1"/>
      <w:numFmt w:val="lowerLetter"/>
      <w:lvlText w:val="%5)"/>
      <w:lvlJc w:val="start"/>
      <w:pPr>
        <w:tabs>
          <w:tab w:val="num" w:pos="0"/>
        </w:tabs>
        <w:ind w:start="2572" w:hanging="420"/>
      </w:pPr>
      <w:rPr/>
    </w:lvl>
    <w:lvl w:ilvl="5">
      <w:start w:val="1"/>
      <w:numFmt w:val="lowerRoman"/>
      <w:lvlText w:val="%6."/>
      <w:lvlJc w:val="end"/>
      <w:pPr>
        <w:tabs>
          <w:tab w:val="num" w:pos="0"/>
        </w:tabs>
        <w:ind w:start="2992" w:hanging="420"/>
      </w:pPr>
      <w:rPr/>
    </w:lvl>
    <w:lvl w:ilvl="6">
      <w:start w:val="1"/>
      <w:numFmt w:val="decimal"/>
      <w:lvlText w:val="%7."/>
      <w:lvlJc w:val="start"/>
      <w:pPr>
        <w:tabs>
          <w:tab w:val="num" w:pos="0"/>
        </w:tabs>
        <w:ind w:start="3412" w:hanging="420"/>
      </w:pPr>
      <w:rPr/>
    </w:lvl>
    <w:lvl w:ilvl="7">
      <w:start w:val="1"/>
      <w:numFmt w:val="lowerLetter"/>
      <w:lvlText w:val="%8)"/>
      <w:lvlJc w:val="start"/>
      <w:pPr>
        <w:tabs>
          <w:tab w:val="num" w:pos="0"/>
        </w:tabs>
        <w:ind w:start="3832" w:hanging="420"/>
      </w:pPr>
      <w:rPr/>
    </w:lvl>
    <w:lvl w:ilvl="8">
      <w:start w:val="1"/>
      <w:numFmt w:val="lowerRoman"/>
      <w:lvlText w:val="%9."/>
      <w:lvlJc w:val="end"/>
      <w:pPr>
        <w:tabs>
          <w:tab w:val="num" w:pos="0"/>
        </w:tabs>
        <w:ind w:start="4252"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cs="楷体"/>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缩进 3"/>
    <w:basedOn w:val="Normal"/>
    <w:qFormat/>
    <w:pPr>
      <w:spacing w:before="0" w:after="120"/>
      <w:ind w:start="420" w:hanging="0"/>
    </w:pPr>
    <w:rPr>
      <w:sz w:val="16"/>
      <w:szCs w:val="16"/>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2880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2011-05-10T10:23:00Z</dcterms:created>
  <dc:creator> </dc:creator>
  <dc:description/>
  <dc:language>en-US</dc:language>
  <cp:lastModifiedBy>Administrator</cp:lastModifiedBy>
  <cp:lastPrinted>2009-03-12T13:39:00Z</cp:lastPrinted>
  <dcterms:modified xsi:type="dcterms:W3CDTF">2019-10-15T16:45:27Z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