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A1" w:rsidRDefault="00A347A1" w:rsidP="006D434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SimHei" w:eastAsia="黑体" w:hint="eastAsia" w:hAnsi="SimHei"/>
          <w:sz w:val="44"/>
          <w:szCs w:val="44"/>
        </w:rPr>
        <w:t>航天信息（山东）科技</w:t>
      </w:r>
      <w:r w:rsidR="007D496A">
        <w:rPr>
          <w:rFonts w:ascii="SimHei" w:eastAsia="黑体" w:hint="eastAsia" w:hAnsi="SimHei"/>
          <w:sz w:val="44"/>
          <w:szCs w:val="44"/>
        </w:rPr>
        <w:t>有限</w:t>
      </w:r>
      <w:r>
        <w:rPr>
          <w:rFonts w:ascii="SimHei" w:eastAsia="黑体" w:hint="eastAsia" w:hAnsi="SimHei"/>
          <w:sz w:val="44"/>
          <w:szCs w:val="44"/>
        </w:rPr>
        <w:t>公司淄博分公司</w:t>
      </w:r>
    </w:p>
    <w:p w:rsidR="00B95877" w:rsidRPr="001A7858" w:rsidRDefault="001A7858" w:rsidP="006D434C">
      <w:pPr>
        <w:jc w:val="center"/>
        <w:rPr>
          <w:rFonts w:ascii="方正小标宋简体" w:eastAsia="方正小标宋简体"/>
          <w:sz w:val="44"/>
          <w:szCs w:val="44"/>
        </w:rPr>
      </w:pPr>
      <w:r w:rsidRPr="001A7858">
        <w:rPr>
          <w:rFonts w:ascii="SimHei" w:eastAsia="黑体" w:hint="eastAsia" w:hAnsi="SimHei"/>
          <w:sz w:val="44"/>
          <w:szCs w:val="44"/>
        </w:rPr>
        <w:t>201</w:t>
      </w:r>
      <w:r w:rsidR="00700502">
        <w:rPr>
          <w:rFonts w:ascii="SimHei" w:eastAsia="黑体" w:hint="eastAsia" w:hAnsi="SimHei"/>
          <w:sz w:val="44"/>
          <w:szCs w:val="44"/>
        </w:rPr>
        <w:t>7</w:t>
      </w:r>
      <w:r w:rsidRPr="001A7858">
        <w:rPr>
          <w:rFonts w:ascii="SimHei" w:eastAsia="黑体" w:hint="eastAsia" w:hAnsi="SimHei"/>
          <w:sz w:val="44"/>
          <w:szCs w:val="44"/>
        </w:rPr>
        <w:t>年薪</w:t>
      </w:r>
      <w:proofErr w:type="gramStart"/>
      <w:r w:rsidRPr="001A7858">
        <w:rPr>
          <w:rFonts w:ascii="SimHei" w:eastAsia="黑体" w:hint="eastAsia" w:hAnsi="SimHei"/>
          <w:sz w:val="44"/>
          <w:szCs w:val="44"/>
        </w:rPr>
        <w:t>酬</w:t>
      </w:r>
      <w:proofErr w:type="gramEnd"/>
      <w:r w:rsidRPr="001A7858">
        <w:rPr>
          <w:rFonts w:ascii="SimHei" w:eastAsia="黑体" w:hint="eastAsia" w:hAnsi="SimHei"/>
          <w:sz w:val="44"/>
          <w:szCs w:val="44"/>
        </w:rPr>
        <w:t>分析报告</w:t>
      </w:r>
    </w:p>
    <w:p w:rsidR="001A7858" w:rsidRDefault="001A7858">
      <w:pPr>
        <w:rPr>
          <w:rFonts w:ascii="方正小标宋简体" w:eastAsia="方正小标宋简体"/>
        </w:rPr>
      </w:pPr>
    </w:p>
    <w:p w:rsidR="00E644A3" w:rsidRDefault="00E644A3" w:rsidP="00E644A3">
      <w:pPr>
        <w:ind w:firstLine="645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SimHei" w:eastAsia="黑体" w:hAnsiTheme="majorEastAsia" w:hint="eastAsia" w:hAnsi="SimHei"/>
          <w:sz w:val="32"/>
          <w:szCs w:val="32"/>
        </w:rPr>
        <w:t>为全面、直观的掌握20</w:t>
      </w:r>
      <w:r w:rsidR="00721877">
        <w:rPr>
          <w:rFonts w:ascii="SimHei" w:eastAsia="黑体" w:hAnsiTheme="majorEastAsia" w:hint="eastAsia" w:hAnsi="SimHei"/>
          <w:sz w:val="32"/>
          <w:szCs w:val="32"/>
        </w:rPr>
        <w:t>1</w:t>
      </w:r>
      <w:r w:rsidR="00700502">
        <w:rPr>
          <w:rFonts w:ascii="SimHei" w:eastAsia="黑体" w:hAnsiTheme="majorEastAsia" w:hint="eastAsia" w:hAnsi="SimHei"/>
          <w:sz w:val="32"/>
          <w:szCs w:val="32"/>
        </w:rPr>
        <w:t>7</w:t>
      </w:r>
      <w:r>
        <w:rPr>
          <w:rFonts w:ascii="SimHei" w:eastAsia="黑体" w:hAnsiTheme="majorEastAsia" w:hint="eastAsia" w:hAnsi="SimHei"/>
          <w:sz w:val="32"/>
          <w:szCs w:val="32"/>
        </w:rPr>
        <w:t>年</w:t>
      </w:r>
      <w:r w:rsidR="00A02C50">
        <w:rPr>
          <w:rFonts w:ascii="SimHei" w:eastAsia="黑体" w:hAnsiTheme="majorEastAsia" w:hint="eastAsia" w:hAnsi="SimHei"/>
          <w:sz w:val="32"/>
          <w:szCs w:val="32"/>
        </w:rPr>
        <w:t>我公司的</w:t>
      </w:r>
      <w:r>
        <w:rPr>
          <w:rFonts w:ascii="SimHei" w:eastAsia="黑体" w:hAnsiTheme="majorEastAsia" w:hint="eastAsia" w:hAnsi="SimHei"/>
          <w:sz w:val="32"/>
          <w:szCs w:val="32"/>
        </w:rPr>
        <w:t>薪酬情况，找出目前薪酬中存在的问题，为今后</w:t>
      </w:r>
      <w:r w:rsidR="00721877">
        <w:rPr>
          <w:rFonts w:ascii="SimHei" w:eastAsia="黑体" w:hAnsiTheme="majorEastAsia" w:hint="eastAsia" w:hAnsi="SimHei"/>
          <w:sz w:val="32"/>
          <w:szCs w:val="32"/>
        </w:rPr>
        <w:t>各中心、分公司</w:t>
      </w:r>
      <w:r>
        <w:rPr>
          <w:rFonts w:ascii="SimHei" w:eastAsia="黑体" w:hAnsiTheme="majorEastAsia" w:hint="eastAsia" w:hAnsi="SimHei"/>
          <w:sz w:val="32"/>
          <w:szCs w:val="32"/>
        </w:rPr>
        <w:t>薪酬调整提供有关数据支持，近期</w:t>
      </w:r>
      <w:proofErr w:type="gramStart"/>
      <w:r>
        <w:rPr>
          <w:rFonts w:ascii="SimHei" w:eastAsia="黑体" w:hAnsiTheme="majorEastAsia" w:hint="eastAsia" w:hAnsi="SimHei"/>
          <w:sz w:val="32"/>
          <w:szCs w:val="32"/>
        </w:rPr>
        <w:t>我部门</w:t>
      </w:r>
      <w:proofErr w:type="gramEnd"/>
      <w:r>
        <w:rPr>
          <w:rFonts w:ascii="SimHei" w:eastAsia="黑体" w:hAnsiTheme="majorEastAsia" w:hint="eastAsia" w:hAnsi="SimHei"/>
          <w:sz w:val="32"/>
          <w:szCs w:val="32"/>
        </w:rPr>
        <w:t>对201</w:t>
      </w:r>
      <w:r w:rsidR="00C72717">
        <w:rPr>
          <w:rFonts w:ascii="SimHei" w:eastAsia="黑体" w:hAnsiTheme="majorEastAsia" w:hint="eastAsia" w:hAnsi="SimHei"/>
          <w:sz w:val="32"/>
          <w:szCs w:val="32"/>
        </w:rPr>
        <w:t>7</w:t>
      </w:r>
      <w:r>
        <w:rPr>
          <w:rFonts w:ascii="SimHei" w:eastAsia="黑体" w:hAnsiTheme="majorEastAsia" w:hint="eastAsia" w:hAnsi="SimHei"/>
          <w:sz w:val="32"/>
          <w:szCs w:val="32"/>
        </w:rPr>
        <w:t>年</w:t>
      </w:r>
      <w:r w:rsidR="00721877">
        <w:rPr>
          <w:rFonts w:ascii="SimHei" w:eastAsia="黑体" w:hAnsiTheme="majorEastAsia" w:hint="eastAsia" w:hAnsi="SimHei"/>
          <w:sz w:val="32"/>
          <w:szCs w:val="32"/>
        </w:rPr>
        <w:t>各中心、分公司</w:t>
      </w:r>
      <w:r>
        <w:rPr>
          <w:rFonts w:ascii="SimHei" w:eastAsia="黑体" w:hAnsiTheme="majorEastAsia" w:hint="eastAsia" w:hAnsi="SimHei"/>
          <w:sz w:val="32"/>
          <w:szCs w:val="32"/>
        </w:rPr>
        <w:t>薪酬情况进行了分析，具体如下：</w:t>
      </w:r>
    </w:p>
    <w:p w:rsidR="00E644A3" w:rsidRPr="00E45DBD" w:rsidRDefault="00E644A3" w:rsidP="00E644A3">
      <w:pPr>
        <w:ind w:firstLine="645"/>
        <w:jc w:val="left"/>
        <w:rPr>
          <w:rFonts w:ascii="黑体" w:eastAsia="黑体" w:hAnsi="黑体"/>
          <w:sz w:val="32"/>
          <w:szCs w:val="32"/>
        </w:rPr>
      </w:pPr>
      <w:r w:rsidRPr="00E45DBD">
        <w:rPr>
          <w:rFonts w:ascii="SimHei" w:eastAsia="黑体" w:hAnsi="SimHei" w:hint="eastAsia"/>
          <w:sz w:val="32"/>
          <w:szCs w:val="32"/>
        </w:rPr>
        <w:t>一、总体情况</w:t>
      </w:r>
    </w:p>
    <w:p w:rsidR="00E644A3" w:rsidRDefault="00E644A3" w:rsidP="00E644A3">
      <w:pPr>
        <w:ind w:firstLine="645"/>
        <w:jc w:val="left"/>
        <w:rPr>
          <w:rFonts w:ascii="华文楷体" w:eastAsia="华文楷体" w:hAnsi="华文楷体"/>
          <w:sz w:val="32"/>
          <w:szCs w:val="32"/>
        </w:rPr>
      </w:pPr>
      <w:r w:rsidRPr="001A6C9C">
        <w:rPr>
          <w:rFonts w:ascii="SimHei" w:eastAsia="黑体" w:hAnsi="SimHei" w:hint="eastAsia"/>
          <w:sz w:val="32"/>
          <w:szCs w:val="32"/>
        </w:rPr>
        <w:t>（一）本薪酬分析报告</w:t>
      </w:r>
      <w:r>
        <w:rPr>
          <w:rFonts w:ascii="SimHei" w:eastAsia="黑体" w:hAnsi="SimHei" w:hint="eastAsia"/>
          <w:sz w:val="32"/>
          <w:szCs w:val="32"/>
        </w:rPr>
        <w:t>的数据来源以20</w:t>
      </w:r>
      <w:r w:rsidR="00A02C50">
        <w:rPr>
          <w:rFonts w:ascii="SimHei" w:eastAsia="黑体" w:hAnsi="SimHei" w:hint="eastAsia"/>
          <w:sz w:val="32"/>
          <w:szCs w:val="32"/>
        </w:rPr>
        <w:t>17</w:t>
      </w:r>
      <w:r>
        <w:rPr>
          <w:rFonts w:ascii="SimHei" w:eastAsia="黑体" w:hAnsi="SimHei" w:hint="eastAsia"/>
          <w:sz w:val="32"/>
          <w:szCs w:val="32"/>
        </w:rPr>
        <w:t>年1-1</w:t>
      </w:r>
      <w:r w:rsidR="00325984">
        <w:rPr>
          <w:rFonts w:ascii="SimHei" w:eastAsia="黑体" w:hAnsi="SimHei" w:hint="eastAsia"/>
          <w:sz w:val="32"/>
          <w:szCs w:val="32"/>
        </w:rPr>
        <w:t>2</w:t>
      </w:r>
      <w:r>
        <w:rPr>
          <w:rFonts w:ascii="SimHei" w:eastAsia="黑体" w:hAnsi="SimHei" w:hint="eastAsia"/>
          <w:sz w:val="32"/>
          <w:szCs w:val="32"/>
        </w:rPr>
        <w:t>月份应发薪资情况为依据，以</w:t>
      </w:r>
      <w:r w:rsidR="00AB6239" w:rsidRPr="00AB6239">
        <w:rPr>
          <w:rFonts w:ascii="SimHei" w:eastAsia="黑体" w:hAnsi="SimHei" w:hint="eastAsia"/>
          <w:sz w:val="32"/>
          <w:szCs w:val="32"/>
        </w:rPr>
        <w:t>各中心、分公司</w:t>
      </w:r>
      <w:r w:rsidR="00AB6239">
        <w:rPr>
          <w:rFonts w:ascii="SimHei" w:eastAsia="黑体" w:hAnsi="SimHei" w:hint="eastAsia"/>
          <w:sz w:val="32"/>
          <w:szCs w:val="32"/>
        </w:rPr>
        <w:t>为单位，分别对航天信息淄博分公司</w:t>
      </w:r>
      <w:r>
        <w:rPr>
          <w:rFonts w:ascii="SimHei" w:eastAsia="黑体" w:hAnsi="SimHei" w:hint="eastAsia"/>
          <w:sz w:val="32"/>
          <w:szCs w:val="32"/>
        </w:rPr>
        <w:t>员工的薪酬发放情况进行分析。本薪酬分析不包含公司总经理、试用期员工。</w:t>
      </w:r>
    </w:p>
    <w:p w:rsidR="007F4BE5" w:rsidRDefault="00325984" w:rsidP="00325984">
      <w:pPr>
        <w:ind w:firstLine="645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SimHei" w:eastAsia="黑体" w:hAnsi="SimHei" w:hint="eastAsia"/>
          <w:sz w:val="32"/>
          <w:szCs w:val="32"/>
        </w:rPr>
        <w:t>（二）201</w:t>
      </w:r>
      <w:r w:rsidR="008B7B01">
        <w:rPr>
          <w:rFonts w:ascii="SimHei" w:eastAsia="黑体" w:hAnsi="SimHei" w:hint="eastAsia"/>
          <w:sz w:val="32"/>
          <w:szCs w:val="32"/>
        </w:rPr>
        <w:t>6</w:t>
      </w:r>
      <w:r>
        <w:rPr>
          <w:rFonts w:ascii="SimHei" w:eastAsia="黑体" w:hAnsi="SimHei" w:hint="eastAsia"/>
          <w:sz w:val="32"/>
          <w:szCs w:val="32"/>
        </w:rPr>
        <w:t>年</w:t>
      </w:r>
      <w:r w:rsidR="007F4BE5">
        <w:rPr>
          <w:rFonts w:ascii="SimHei" w:eastAsia="黑体" w:hAnsi="SimHei" w:hint="eastAsia"/>
          <w:sz w:val="32"/>
          <w:szCs w:val="32"/>
        </w:rPr>
        <w:t>与2017年薪资总额对比分析如下：</w:t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2260"/>
        <w:gridCol w:w="2080"/>
        <w:gridCol w:w="2460"/>
        <w:gridCol w:w="2240"/>
      </w:tblGrid>
      <w:tr w:rsidR="007F4BE5" w:rsidRPr="007F4BE5" w:rsidTr="00B0769C">
        <w:trPr>
          <w:trHeight w:val="63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BE5" w:rsidRPr="007F4BE5" w:rsidRDefault="007F4BE5" w:rsidP="007F4B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F4BE5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2"/>
              </w:rPr>
              <w:t>年份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BE5" w:rsidRPr="007F4BE5" w:rsidRDefault="007F4BE5" w:rsidP="007F4B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F4BE5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2"/>
              </w:rPr>
              <w:t>职工人数（人）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BE5" w:rsidRPr="007F4BE5" w:rsidRDefault="007F4BE5" w:rsidP="007F4B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F4BE5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2"/>
              </w:rPr>
              <w:t>工资总额（万元）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BE5" w:rsidRPr="007F4BE5" w:rsidRDefault="007F4BE5" w:rsidP="007F4B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F4BE5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2"/>
              </w:rPr>
              <w:t>利润总额（万元）</w:t>
            </w:r>
          </w:p>
        </w:tc>
      </w:tr>
      <w:tr w:rsidR="007F4BE5" w:rsidRPr="007F4BE5" w:rsidTr="00B0769C">
        <w:trPr>
          <w:trHeight w:val="63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BE5" w:rsidRPr="007F4BE5" w:rsidRDefault="007F4BE5" w:rsidP="007F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BE5">
              <w:rPr>
                <w:rFonts w:ascii="SimHei" w:eastAsia="黑体" w:hAnsi="SimHei" w:cs="宋体" w:hint="eastAsia"/>
                <w:color w:val="000000"/>
                <w:kern w:val="0"/>
                <w:sz w:val="22"/>
              </w:rPr>
              <w:t>2016年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BE5" w:rsidRPr="007F4BE5" w:rsidRDefault="007F4BE5" w:rsidP="00A01C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BE5">
              <w:rPr>
                <w:rFonts w:ascii="SimHei" w:eastAsia="黑体" w:hAnsi="SimHei" w:cs="宋体" w:hint="eastAsia"/>
                <w:color w:val="000000"/>
                <w:kern w:val="0"/>
                <w:sz w:val="22"/>
              </w:rPr>
              <w:t>12</w:t>
            </w:r>
            <w:r w:rsidR="00A01C72">
              <w:rPr>
                <w:rFonts w:ascii="SimHei" w:eastAsia="黑体" w:hAnsi="SimHei" w:cs="宋体" w:hint="eastAsia"/>
                <w:color w:val="000000"/>
                <w:kern w:val="0"/>
                <w:sz w:val="22"/>
              </w:rPr>
              <w:t>8</w:t>
            </w:r>
            <w:r w:rsidRPr="007F4BE5">
              <w:rPr>
                <w:rFonts w:ascii="SimHei" w:eastAsia="黑体" w:hAnsi="SimHei" w:cs="宋体" w:hint="eastAsia"/>
                <w:color w:val="000000"/>
                <w:kern w:val="0"/>
                <w:sz w:val="22"/>
              </w:rPr>
              <w:t xml:space="preserve">.00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BE5" w:rsidRPr="007F4BE5" w:rsidRDefault="007F4BE5" w:rsidP="007F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BE5">
              <w:rPr>
                <w:rFonts w:ascii="SimHei" w:eastAsia="黑体" w:hAnsi="SimHei" w:cs="宋体" w:hint="eastAsia"/>
                <w:color w:val="000000"/>
                <w:kern w:val="0"/>
                <w:sz w:val="22"/>
              </w:rPr>
              <w:t xml:space="preserve">811.10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BE5" w:rsidRPr="007F4BE5" w:rsidRDefault="007F4BE5" w:rsidP="007F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BE5">
              <w:rPr>
                <w:rFonts w:ascii="SimHei" w:eastAsia="黑体" w:hAnsi="SimHei" w:cs="宋体" w:hint="eastAsia"/>
                <w:color w:val="000000"/>
                <w:kern w:val="0"/>
                <w:sz w:val="22"/>
              </w:rPr>
              <w:t xml:space="preserve">579.31 </w:t>
            </w:r>
          </w:p>
        </w:tc>
      </w:tr>
      <w:tr w:rsidR="007F4BE5" w:rsidRPr="007F4BE5" w:rsidTr="00B0769C">
        <w:trPr>
          <w:trHeight w:val="63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BE5" w:rsidRPr="007F4BE5" w:rsidRDefault="007F4BE5" w:rsidP="007F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BE5">
              <w:rPr>
                <w:rFonts w:ascii="SimHei" w:eastAsia="黑体" w:hAnsi="SimHei" w:cs="宋体" w:hint="eastAsia"/>
                <w:color w:val="000000"/>
                <w:kern w:val="0"/>
                <w:sz w:val="22"/>
              </w:rPr>
              <w:t>2017年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BE5" w:rsidRPr="007F4BE5" w:rsidRDefault="007F4BE5" w:rsidP="00A01C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BE5">
              <w:rPr>
                <w:rFonts w:ascii="SimHei" w:eastAsia="黑体" w:hAnsi="SimHei" w:cs="宋体" w:hint="eastAsia"/>
                <w:color w:val="000000"/>
                <w:kern w:val="0"/>
                <w:sz w:val="22"/>
              </w:rPr>
              <w:t>12</w:t>
            </w:r>
            <w:r w:rsidR="00A01C72">
              <w:rPr>
                <w:rFonts w:ascii="SimHei" w:eastAsia="黑体" w:hAnsi="SimHei" w:cs="宋体" w:hint="eastAsia"/>
                <w:color w:val="000000"/>
                <w:kern w:val="0"/>
                <w:sz w:val="22"/>
              </w:rPr>
              <w:t>7</w:t>
            </w:r>
            <w:r w:rsidRPr="007F4BE5">
              <w:rPr>
                <w:rFonts w:ascii="SimHei" w:eastAsia="黑体" w:hAnsi="SimHei" w:cs="宋体" w:hint="eastAsia"/>
                <w:color w:val="000000"/>
                <w:kern w:val="0"/>
                <w:sz w:val="22"/>
              </w:rPr>
              <w:t xml:space="preserve">.00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BE5" w:rsidRPr="007F4BE5" w:rsidRDefault="007F4BE5" w:rsidP="007F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BE5">
              <w:rPr>
                <w:rFonts w:ascii="SimHei" w:eastAsia="黑体" w:hAnsi="SimHei" w:cs="宋体" w:hint="eastAsia"/>
                <w:color w:val="000000"/>
                <w:kern w:val="0"/>
                <w:sz w:val="22"/>
              </w:rPr>
              <w:t xml:space="preserve">855.93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BE5" w:rsidRPr="007F4BE5" w:rsidRDefault="00C9577C" w:rsidP="007F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imHei" w:eastAsia="黑体" w:hAnsi="SimHei" w:cs="宋体" w:hint="eastAsia"/>
                <w:color w:val="000000"/>
                <w:kern w:val="0"/>
                <w:sz w:val="22"/>
              </w:rPr>
              <w:t>1124</w:t>
            </w:r>
          </w:p>
        </w:tc>
      </w:tr>
      <w:tr w:rsidR="007F4BE5" w:rsidRPr="007F4BE5" w:rsidTr="00B0769C">
        <w:trPr>
          <w:trHeight w:val="63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BE5" w:rsidRPr="007F4BE5" w:rsidRDefault="007F4BE5" w:rsidP="007F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BE5">
              <w:rPr>
                <w:rFonts w:ascii="SimHei" w:eastAsia="黑体" w:hAnsi="SimHei" w:cs="宋体" w:hint="eastAsia"/>
                <w:color w:val="000000"/>
                <w:kern w:val="0"/>
                <w:sz w:val="22"/>
              </w:rPr>
              <w:t>增幅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BE5" w:rsidRPr="007F4BE5" w:rsidRDefault="007F4BE5" w:rsidP="007F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BE5">
              <w:rPr>
                <w:rFonts w:ascii="SimHei" w:eastAsia="黑体" w:hAnsi="SimHei" w:cs="宋体" w:hint="eastAsia"/>
                <w:color w:val="000000"/>
                <w:kern w:val="0"/>
                <w:sz w:val="22"/>
              </w:rPr>
              <w:t>-1%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BE5" w:rsidRPr="007F4BE5" w:rsidRDefault="007F4BE5" w:rsidP="007F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BE5">
              <w:rPr>
                <w:rFonts w:ascii="SimHei" w:eastAsia="黑体" w:hAnsi="SimHei" w:cs="宋体" w:hint="eastAsia"/>
                <w:color w:val="000000"/>
                <w:kern w:val="0"/>
                <w:sz w:val="22"/>
              </w:rPr>
              <w:t>6%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BE5" w:rsidRPr="007F4BE5" w:rsidRDefault="007F4BE5" w:rsidP="007F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BE5">
              <w:rPr>
                <w:rFonts w:ascii="SimHei" w:eastAsia="黑体" w:hAnsi="SimHei" w:cs="宋体" w:hint="eastAsia"/>
                <w:color w:val="000000"/>
                <w:kern w:val="0"/>
                <w:sz w:val="22"/>
              </w:rPr>
              <w:t>117%</w:t>
            </w:r>
          </w:p>
        </w:tc>
      </w:tr>
    </w:tbl>
    <w:p w:rsidR="002831E3" w:rsidRDefault="002831E3" w:rsidP="004E3EB2">
      <w:pPr>
        <w:ind w:firstLine="645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SimHei" w:eastAsia="黑体" w:hAnsi="SimHei" w:hint="eastAsia"/>
          <w:sz w:val="32"/>
          <w:szCs w:val="32"/>
        </w:rPr>
        <w:t>分析：2017年人工成本总额为1012</w:t>
      </w:r>
      <w:r w:rsidR="00DC5A7E">
        <w:rPr>
          <w:rFonts w:ascii="SimHei" w:eastAsia="黑体" w:hAnsi="SimHei" w:hint="eastAsia"/>
          <w:sz w:val="32"/>
          <w:szCs w:val="32"/>
        </w:rPr>
        <w:t>万，全年收入为4411万，人事费用率22.94%</w:t>
      </w:r>
      <w:r w:rsidR="00665B99">
        <w:rPr>
          <w:rFonts w:ascii="SimHei" w:eastAsia="黑体" w:hAnsi="SimHei" w:hint="eastAsia"/>
          <w:sz w:val="32"/>
          <w:szCs w:val="32"/>
        </w:rPr>
        <w:t>；</w:t>
      </w:r>
    </w:p>
    <w:p w:rsidR="005F5AF4" w:rsidRDefault="007365B4" w:rsidP="004E3EB2">
      <w:pPr>
        <w:ind w:firstLine="645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SimHei" w:eastAsia="黑体" w:hAnsi="SimHei" w:hint="eastAsia"/>
          <w:sz w:val="32"/>
          <w:szCs w:val="32"/>
        </w:rPr>
        <w:t>（三）2017年应发工资及实发工资如下：</w:t>
      </w:r>
    </w:p>
    <w:p w:rsidR="001362B4" w:rsidRDefault="001362B4" w:rsidP="00156AE5">
      <w:pPr>
        <w:ind w:hanging="142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SimHei" w:hAnsi="SimHei" w:eastAsia="黑体"/>
          <w:noProof/>
        </w:rPr>
      </w:r>
    </w:p>
    <w:tbl>
      <w:tblPr>
        <w:tblW w:w="9052" w:type="dxa"/>
        <w:tblInd w:w="-34" w:type="dxa"/>
        <w:tblLook w:val="04A0" w:firstRow="1" w:lastRow="0" w:firstColumn="1" w:lastColumn="0" w:noHBand="0" w:noVBand="1"/>
      </w:tblPr>
      <w:tblGrid>
        <w:gridCol w:w="2723"/>
        <w:gridCol w:w="1934"/>
        <w:gridCol w:w="1985"/>
        <w:gridCol w:w="2410"/>
      </w:tblGrid>
      <w:tr w:rsidR="007365B4" w:rsidRPr="007365B4" w:rsidTr="00E60C82">
        <w:trPr>
          <w:trHeight w:val="61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365B4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2"/>
              </w:rPr>
              <w:t>中心/分公司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365B4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2"/>
              </w:rPr>
              <w:t>在岗人数（月均）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7365B4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2"/>
              </w:rPr>
              <w:t>月度人均</w:t>
            </w:r>
            <w:proofErr w:type="gramEnd"/>
            <w:r w:rsidRPr="007365B4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2"/>
              </w:rPr>
              <w:t>应发工资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7365B4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2"/>
              </w:rPr>
              <w:t>月度人均</w:t>
            </w:r>
            <w:proofErr w:type="gramEnd"/>
            <w:r w:rsidRPr="007365B4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2"/>
              </w:rPr>
              <w:t>实发工资</w:t>
            </w:r>
          </w:p>
        </w:tc>
      </w:tr>
      <w:tr w:rsidR="007365B4" w:rsidRPr="007365B4" w:rsidTr="00E60C82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金融业务中心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8736.50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7632.37</w:t>
            </w:r>
          </w:p>
        </w:tc>
      </w:tr>
      <w:tr w:rsidR="007365B4" w:rsidRPr="007365B4" w:rsidTr="00E60C82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税控业务中心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5.83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7300.57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6447.00</w:t>
            </w:r>
          </w:p>
        </w:tc>
      </w:tr>
      <w:tr w:rsidR="007365B4" w:rsidRPr="007365B4" w:rsidTr="00E60C82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临淄分公司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7.67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6784.99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6028.49</w:t>
            </w:r>
          </w:p>
        </w:tc>
      </w:tr>
      <w:tr w:rsidR="007365B4" w:rsidRPr="007365B4" w:rsidTr="00E60C82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淄川分公司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6776.40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6004.32</w:t>
            </w:r>
          </w:p>
        </w:tc>
      </w:tr>
      <w:tr w:rsidR="007365B4" w:rsidRPr="007365B4" w:rsidTr="00E60C82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桓台分公司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4.58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6607.47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5671.17</w:t>
            </w:r>
          </w:p>
        </w:tc>
      </w:tr>
      <w:tr w:rsidR="007365B4" w:rsidRPr="007365B4" w:rsidTr="00E60C82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高青分公司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1.83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6486.68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5813.43</w:t>
            </w:r>
          </w:p>
        </w:tc>
      </w:tr>
      <w:tr w:rsidR="007365B4" w:rsidRPr="007365B4" w:rsidTr="00E60C82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研发推广中心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8.92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6363.11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5700.59</w:t>
            </w:r>
          </w:p>
        </w:tc>
      </w:tr>
      <w:tr w:rsidR="007365B4" w:rsidRPr="007365B4" w:rsidTr="00E60C82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沂源分公司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3.83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6112.33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5467.33</w:t>
            </w:r>
          </w:p>
        </w:tc>
      </w:tr>
      <w:tr w:rsidR="007365B4" w:rsidRPr="007365B4" w:rsidTr="00E60C82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质量管理中心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6036.98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5331.99</w:t>
            </w:r>
          </w:p>
        </w:tc>
      </w:tr>
      <w:tr w:rsidR="007365B4" w:rsidRPr="007365B4" w:rsidTr="00E60C82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博山分公司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5877.77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5288.15</w:t>
            </w:r>
          </w:p>
        </w:tc>
      </w:tr>
      <w:tr w:rsidR="007365B4" w:rsidRPr="007365B4" w:rsidTr="00E60C82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周村分公司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5723.37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5164.66</w:t>
            </w:r>
          </w:p>
        </w:tc>
      </w:tr>
      <w:tr w:rsidR="007365B4" w:rsidRPr="007365B4" w:rsidTr="00E60C82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行业客户中心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27.33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5626.26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4917.98</w:t>
            </w:r>
          </w:p>
        </w:tc>
      </w:tr>
      <w:tr w:rsidR="007365B4" w:rsidRPr="007365B4" w:rsidTr="00E60C82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张店分公司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10.58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5253.07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4555.84</w:t>
            </w:r>
          </w:p>
        </w:tc>
      </w:tr>
      <w:tr w:rsidR="007365B4" w:rsidRPr="007365B4" w:rsidTr="00E60C82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高新区分公司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6.75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4925.01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4276.70</w:t>
            </w:r>
          </w:p>
        </w:tc>
      </w:tr>
      <w:tr w:rsidR="007365B4" w:rsidRPr="007365B4" w:rsidTr="00E60C82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运营支持中心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13.33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4577.79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3969.77</w:t>
            </w:r>
          </w:p>
        </w:tc>
      </w:tr>
      <w:tr w:rsidR="007365B4" w:rsidRPr="007365B4" w:rsidTr="00E60C82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增值业务中心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5.58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4522.80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3747.48</w:t>
            </w:r>
          </w:p>
        </w:tc>
      </w:tr>
      <w:tr w:rsidR="007365B4" w:rsidRPr="007365B4" w:rsidTr="00E60C82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用户服务中心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9.17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4249.39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65B4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3685.36</w:t>
            </w:r>
          </w:p>
        </w:tc>
      </w:tr>
      <w:tr w:rsidR="007365B4" w:rsidRPr="007365B4" w:rsidTr="00E60C82">
        <w:trPr>
          <w:trHeight w:val="495"/>
        </w:trPr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365B4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2"/>
              </w:rPr>
              <w:t>公司平均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365B4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2"/>
              </w:rPr>
              <w:t>5997.68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B4" w:rsidRPr="007365B4" w:rsidRDefault="007365B4" w:rsidP="007365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365B4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2"/>
              </w:rPr>
              <w:t>5276.63</w:t>
            </w:r>
          </w:p>
        </w:tc>
      </w:tr>
    </w:tbl>
    <w:p w:rsidR="00574524" w:rsidRDefault="00FD719B" w:rsidP="006603E9">
      <w:pPr>
        <w:ind w:firstLine="645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SimHei" w:eastAsia="黑体" w:hAnsi="SimHei" w:hint="eastAsia"/>
          <w:sz w:val="32"/>
          <w:szCs w:val="32"/>
        </w:rPr>
        <w:t>分析：通过以上图表可以看出，公司</w:t>
      </w:r>
      <w:proofErr w:type="gramStart"/>
      <w:r>
        <w:rPr>
          <w:rFonts w:ascii="SimHei" w:eastAsia="黑体" w:hAnsi="SimHei" w:hint="eastAsia"/>
          <w:sz w:val="32"/>
          <w:szCs w:val="32"/>
        </w:rPr>
        <w:t>月度人均</w:t>
      </w:r>
      <w:proofErr w:type="gramEnd"/>
      <w:r>
        <w:rPr>
          <w:rFonts w:ascii="SimHei" w:eastAsia="黑体" w:hAnsi="SimHei" w:hint="eastAsia"/>
          <w:sz w:val="32"/>
          <w:szCs w:val="32"/>
        </w:rPr>
        <w:t>应发工资5997.68元；超过平均工资人员的占比为33.75%，低于平均工资人员的占比为66.25%；</w:t>
      </w:r>
      <w:r w:rsidR="00EE4BD3">
        <w:rPr>
          <w:rFonts w:ascii="SimHei" w:eastAsia="黑体" w:hAnsi="SimHei" w:hint="eastAsia"/>
          <w:sz w:val="32"/>
          <w:szCs w:val="32"/>
        </w:rPr>
        <w:t>其中年薪人员收入</w:t>
      </w:r>
      <w:r w:rsidR="00A02C50">
        <w:rPr>
          <w:rFonts w:ascii="SimHei" w:eastAsia="黑体" w:hAnsi="SimHei" w:hint="eastAsia"/>
          <w:sz w:val="32"/>
          <w:szCs w:val="32"/>
        </w:rPr>
        <w:t>合计</w:t>
      </w:r>
      <w:r w:rsidR="00574524">
        <w:rPr>
          <w:rFonts w:ascii="SimHei" w:eastAsia="黑体" w:hAnsi="SimHei" w:hint="eastAsia"/>
          <w:sz w:val="32"/>
          <w:szCs w:val="32"/>
        </w:rPr>
        <w:t>为279万，</w:t>
      </w:r>
      <w:r w:rsidR="00EE4BD3">
        <w:rPr>
          <w:rFonts w:ascii="SimHei" w:eastAsia="黑体" w:hAnsi="SimHei" w:hint="eastAsia"/>
          <w:sz w:val="32"/>
          <w:szCs w:val="32"/>
        </w:rPr>
        <w:t>占比为整</w:t>
      </w:r>
      <w:r w:rsidR="00EE4BD3">
        <w:rPr>
          <w:rFonts w:ascii="SimHei" w:eastAsia="黑体" w:hAnsi="SimHei" w:hint="eastAsia"/>
          <w:sz w:val="32"/>
          <w:szCs w:val="32"/>
        </w:rPr>
        <w:t>体薪资的</w:t>
      </w:r>
      <w:r w:rsidR="00574524">
        <w:rPr>
          <w:rFonts w:ascii="SimHei" w:eastAsia="黑体" w:hAnsi="SimHei" w:hint="eastAsia"/>
          <w:sz w:val="32"/>
          <w:szCs w:val="32"/>
        </w:rPr>
        <w:t>32.70%。据2016年</w:t>
      </w:r>
      <w:r w:rsidR="009F3393">
        <w:rPr>
          <w:rFonts w:ascii="SimHei" w:eastAsia="黑体" w:hAnsi="SimHei" w:hint="eastAsia"/>
          <w:sz w:val="32"/>
          <w:szCs w:val="32"/>
        </w:rPr>
        <w:t>薪</w:t>
      </w:r>
      <w:proofErr w:type="gramStart"/>
      <w:r w:rsidR="009F3393">
        <w:rPr>
          <w:rFonts w:ascii="SimHei" w:eastAsia="黑体" w:hAnsi="SimHei" w:hint="eastAsia"/>
          <w:sz w:val="32"/>
          <w:szCs w:val="32"/>
        </w:rPr>
        <w:t>酬</w:t>
      </w:r>
      <w:proofErr w:type="gramEnd"/>
      <w:r w:rsidR="009F3393">
        <w:rPr>
          <w:rFonts w:ascii="SimHei" w:eastAsia="黑体" w:hAnsi="SimHei" w:hint="eastAsia"/>
          <w:sz w:val="32"/>
          <w:szCs w:val="32"/>
        </w:rPr>
        <w:t>结构分析</w:t>
      </w:r>
      <w:r w:rsidR="00350B3B">
        <w:rPr>
          <w:rFonts w:ascii="SimHei" w:eastAsia="黑体" w:hAnsi="SimHei" w:hint="eastAsia"/>
          <w:sz w:val="32"/>
          <w:szCs w:val="32"/>
        </w:rPr>
        <w:t>，</w:t>
      </w:r>
      <w:r w:rsidR="00574524">
        <w:rPr>
          <w:rFonts w:ascii="SimHei" w:eastAsia="黑体" w:hAnsi="SimHei" w:hint="eastAsia"/>
          <w:sz w:val="32"/>
          <w:szCs w:val="32"/>
        </w:rPr>
        <w:t>中高层管理者在全公司薪酬中的占</w:t>
      </w:r>
      <w:proofErr w:type="gramStart"/>
      <w:r w:rsidR="00574524">
        <w:rPr>
          <w:rFonts w:ascii="SimHei" w:eastAsia="黑体" w:hAnsi="SimHei" w:hint="eastAsia"/>
          <w:sz w:val="32"/>
          <w:szCs w:val="32"/>
        </w:rPr>
        <w:t>比范围</w:t>
      </w:r>
      <w:proofErr w:type="gramEnd"/>
      <w:r w:rsidR="00574524">
        <w:rPr>
          <w:rFonts w:ascii="SimHei" w:eastAsia="黑体" w:hAnsi="SimHei" w:hint="eastAsia"/>
          <w:sz w:val="32"/>
          <w:szCs w:val="32"/>
        </w:rPr>
        <w:t>为31.08%~42.41%。我公司在</w:t>
      </w:r>
      <w:r w:rsidR="00350B3B">
        <w:rPr>
          <w:rFonts w:ascii="SimHei" w:eastAsia="黑体" w:hAnsi="SimHei" w:hint="eastAsia"/>
          <w:sz w:val="32"/>
          <w:szCs w:val="32"/>
        </w:rPr>
        <w:t>薪酬配置在</w:t>
      </w:r>
      <w:r w:rsidR="00574524">
        <w:rPr>
          <w:rFonts w:ascii="SimHei" w:eastAsia="黑体" w:hAnsi="SimHei" w:hint="eastAsia"/>
          <w:sz w:val="32"/>
          <w:szCs w:val="32"/>
        </w:rPr>
        <w:t>合理的范围值内，但有</w:t>
      </w:r>
      <w:r w:rsidR="002831E3">
        <w:rPr>
          <w:rFonts w:ascii="SimHei" w:eastAsia="黑体" w:hAnsi="SimHei" w:hint="eastAsia"/>
          <w:sz w:val="32"/>
          <w:szCs w:val="32"/>
        </w:rPr>
        <w:t>可</w:t>
      </w:r>
      <w:r w:rsidR="00574524">
        <w:rPr>
          <w:rFonts w:ascii="SimHei" w:eastAsia="黑体" w:hAnsi="SimHei" w:hint="eastAsia"/>
          <w:sz w:val="32"/>
          <w:szCs w:val="32"/>
        </w:rPr>
        <w:t>提升的空间。</w:t>
      </w:r>
    </w:p>
    <w:p w:rsidR="006603E9" w:rsidRDefault="006603E9" w:rsidP="006603E9">
      <w:pPr>
        <w:ind w:firstLine="645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SimHei" w:eastAsia="黑体" w:hAnsi="SimHei" w:hint="eastAsia"/>
          <w:sz w:val="32"/>
          <w:szCs w:val="32"/>
        </w:rPr>
        <w:t>（四）2017年年薪人员应发工资及实发工资分析如下：</w:t>
      </w:r>
    </w:p>
    <w:p w:rsidR="00C9300F" w:rsidRDefault="00C9300F" w:rsidP="00C9300F">
      <w:pPr>
        <w:ind w:hanging="142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SimHei" w:hAnsi="SimHei" w:eastAsia="黑体"/>
          <w:noProof/>
        </w:rPr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1990"/>
        <w:gridCol w:w="1276"/>
        <w:gridCol w:w="2331"/>
        <w:gridCol w:w="2409"/>
        <w:gridCol w:w="1374"/>
      </w:tblGrid>
      <w:tr w:rsidR="006C7D9A" w:rsidRPr="006C7D9A" w:rsidTr="00AC5CD9">
        <w:trPr>
          <w:trHeight w:val="36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中心/分公司</w:t>
            </w:r>
          </w:p>
        </w:tc>
        <w:tc>
          <w:tcPr>
            <w:tcW w:w="7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管理层（年薪人员）</w:t>
            </w:r>
          </w:p>
        </w:tc>
      </w:tr>
      <w:tr w:rsidR="006C7D9A" w:rsidRPr="006C7D9A" w:rsidTr="00AC5CD9">
        <w:trPr>
          <w:trHeight w:val="360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9A" w:rsidRPr="006C7D9A" w:rsidRDefault="006C7D9A" w:rsidP="006C7D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在岗人数（月均）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6C7D9A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月度人均</w:t>
            </w:r>
            <w:proofErr w:type="gramEnd"/>
            <w:r w:rsidRPr="006C7D9A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应发工资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6C7D9A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月度人均</w:t>
            </w:r>
            <w:proofErr w:type="gramEnd"/>
            <w:r w:rsidRPr="006C7D9A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实发工资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薪酬占比</w:t>
            </w:r>
          </w:p>
        </w:tc>
      </w:tr>
      <w:tr w:rsidR="006C7D9A" w:rsidRPr="006C7D9A" w:rsidTr="00AC5CD9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临淄分公司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13395.49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11697.23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26%</w:t>
            </w:r>
          </w:p>
        </w:tc>
      </w:tr>
      <w:tr w:rsidR="006C7D9A" w:rsidRPr="006C7D9A" w:rsidTr="00AC5CD9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行业客户中心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13197.12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11634.19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9%</w:t>
            </w:r>
          </w:p>
        </w:tc>
      </w:tr>
      <w:tr w:rsidR="006C7D9A" w:rsidRPr="006C7D9A" w:rsidTr="00AC5CD9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张店分公司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12163.50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10686.70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22%</w:t>
            </w:r>
          </w:p>
        </w:tc>
      </w:tr>
      <w:tr w:rsidR="006C7D9A" w:rsidRPr="006C7D9A" w:rsidTr="00AC5CD9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淄川分公司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11863.49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10388.22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29%</w:t>
            </w:r>
          </w:p>
        </w:tc>
      </w:tr>
      <w:tr w:rsidR="006C7D9A" w:rsidRPr="006C7D9A" w:rsidTr="00AC5CD9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金融业务中心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10931.88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9427.37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63%</w:t>
            </w:r>
          </w:p>
        </w:tc>
      </w:tr>
      <w:tr w:rsidR="006C7D9A" w:rsidRPr="006C7D9A" w:rsidTr="00AC5CD9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研发推广中心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10799.68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9449.45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19%</w:t>
            </w:r>
          </w:p>
        </w:tc>
      </w:tr>
      <w:tr w:rsidR="006C7D9A" w:rsidRPr="006C7D9A" w:rsidTr="00AC5CD9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桓台分公司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10791.52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9605.67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36%</w:t>
            </w:r>
          </w:p>
        </w:tc>
      </w:tr>
      <w:tr w:rsidR="006C7D9A" w:rsidRPr="006C7D9A" w:rsidTr="00AC5CD9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增值业务中心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10784.30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9592.61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43%</w:t>
            </w:r>
          </w:p>
        </w:tc>
      </w:tr>
      <w:tr w:rsidR="006C7D9A" w:rsidRPr="006C7D9A" w:rsidTr="00AC5CD9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高新区分公司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10166.84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8969.86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31%</w:t>
            </w:r>
          </w:p>
        </w:tc>
      </w:tr>
      <w:tr w:rsidR="006C7D9A" w:rsidRPr="006C7D9A" w:rsidTr="00AC5CD9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税控业务中心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9527.20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8410.42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22%</w:t>
            </w:r>
          </w:p>
        </w:tc>
      </w:tr>
      <w:tr w:rsidR="006C7D9A" w:rsidRPr="006C7D9A" w:rsidTr="00AC5CD9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周村分公司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9369.00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8524.02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33%</w:t>
            </w:r>
          </w:p>
        </w:tc>
      </w:tr>
      <w:tr w:rsidR="006C7D9A" w:rsidRPr="006C7D9A" w:rsidTr="00AC5CD9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沂源分公司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8943.03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7930.82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38%</w:t>
            </w:r>
          </w:p>
        </w:tc>
      </w:tr>
      <w:tr w:rsidR="006C7D9A" w:rsidRPr="006C7D9A" w:rsidTr="00AC5CD9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博山分公司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8523.83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7661.19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24%</w:t>
            </w:r>
          </w:p>
        </w:tc>
      </w:tr>
      <w:tr w:rsidR="006C7D9A" w:rsidRPr="006C7D9A" w:rsidTr="00AC5CD9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质量管理中心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8447.24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7500.50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70%</w:t>
            </w:r>
          </w:p>
        </w:tc>
      </w:tr>
      <w:tr w:rsidR="006C7D9A" w:rsidRPr="006C7D9A" w:rsidTr="00AC5CD9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用户服务中心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8153.21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7220.74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21%</w:t>
            </w:r>
          </w:p>
        </w:tc>
      </w:tr>
      <w:tr w:rsidR="006C7D9A" w:rsidRPr="006C7D9A" w:rsidTr="00AC5CD9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高青分公司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7605.58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6804.22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64%</w:t>
            </w:r>
          </w:p>
        </w:tc>
      </w:tr>
      <w:tr w:rsidR="006C7D9A" w:rsidRPr="006C7D9A" w:rsidTr="00AC5CD9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运营支持中心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6882.29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6203.46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11%</w:t>
            </w:r>
          </w:p>
        </w:tc>
      </w:tr>
      <w:tr w:rsidR="006C7D9A" w:rsidRPr="006C7D9A" w:rsidTr="00AC5CD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公司平均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10090.89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8923.92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9A" w:rsidRPr="006C7D9A" w:rsidRDefault="006C7D9A" w:rsidP="006C7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C7D9A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33%</w:t>
            </w:r>
          </w:p>
        </w:tc>
      </w:tr>
    </w:tbl>
    <w:p w:rsidR="006C7D9A" w:rsidRPr="00975080" w:rsidRDefault="00FD719B" w:rsidP="006603E9">
      <w:pPr>
        <w:ind w:firstLine="645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SimHei" w:eastAsia="黑体" w:hAnsi="SimHei" w:hint="eastAsia"/>
          <w:sz w:val="32"/>
          <w:szCs w:val="32"/>
        </w:rPr>
        <w:t>分析：通过以上图表可以看出，公司</w:t>
      </w:r>
      <w:r w:rsidR="00975080">
        <w:rPr>
          <w:rFonts w:ascii="SimHei" w:eastAsia="黑体" w:hAnsi="SimHei" w:hint="eastAsia"/>
          <w:sz w:val="32"/>
          <w:szCs w:val="32"/>
        </w:rPr>
        <w:t>年薪人员</w:t>
      </w:r>
      <w:proofErr w:type="gramStart"/>
      <w:r>
        <w:rPr>
          <w:rFonts w:ascii="SimHei" w:eastAsia="黑体" w:hAnsi="SimHei" w:hint="eastAsia"/>
          <w:sz w:val="32"/>
          <w:szCs w:val="32"/>
        </w:rPr>
        <w:t>月度人均</w:t>
      </w:r>
      <w:proofErr w:type="gramEnd"/>
      <w:r>
        <w:rPr>
          <w:rFonts w:ascii="SimHei" w:eastAsia="黑体" w:hAnsi="SimHei" w:hint="eastAsia"/>
          <w:sz w:val="32"/>
          <w:szCs w:val="32"/>
        </w:rPr>
        <w:t>应发工资</w:t>
      </w:r>
      <w:r w:rsidR="00975080">
        <w:rPr>
          <w:rFonts w:ascii="SimHei" w:eastAsia="黑体" w:hAnsi="SimHei" w:hint="eastAsia"/>
          <w:sz w:val="32"/>
          <w:szCs w:val="32"/>
        </w:rPr>
        <w:t>10090.89</w:t>
      </w:r>
      <w:r>
        <w:rPr>
          <w:rFonts w:ascii="SimHei" w:eastAsia="黑体" w:hAnsi="SimHei" w:hint="eastAsia"/>
          <w:sz w:val="32"/>
          <w:szCs w:val="32"/>
        </w:rPr>
        <w:t>元</w:t>
      </w:r>
      <w:r w:rsidR="003E7313">
        <w:rPr>
          <w:rFonts w:ascii="SimHei" w:eastAsia="黑体" w:hAnsi="SimHei" w:hint="eastAsia"/>
          <w:sz w:val="32"/>
          <w:szCs w:val="32"/>
        </w:rPr>
        <w:t>；</w:t>
      </w:r>
      <w:r>
        <w:rPr>
          <w:rFonts w:ascii="SimHei" w:eastAsia="黑体" w:hAnsi="SimHei" w:hint="eastAsia"/>
          <w:sz w:val="32"/>
          <w:szCs w:val="32"/>
        </w:rPr>
        <w:t>超过平均工资人员的占比为</w:t>
      </w:r>
      <w:r w:rsidR="00975080">
        <w:rPr>
          <w:rFonts w:ascii="SimHei" w:eastAsia="黑体" w:hAnsi="SimHei" w:hint="eastAsia"/>
          <w:sz w:val="32"/>
          <w:szCs w:val="32"/>
        </w:rPr>
        <w:t>40.91</w:t>
      </w:r>
      <w:r>
        <w:rPr>
          <w:rFonts w:ascii="SimHei" w:eastAsia="黑体" w:hAnsi="SimHei" w:hint="eastAsia"/>
          <w:sz w:val="32"/>
          <w:szCs w:val="32"/>
        </w:rPr>
        <w:t>%，低于平均</w:t>
      </w:r>
      <w:r>
        <w:rPr>
          <w:rFonts w:ascii="SimHei" w:eastAsia="黑体" w:hAnsi="SimHei" w:hint="eastAsia"/>
          <w:sz w:val="32"/>
          <w:szCs w:val="32"/>
        </w:rPr>
        <w:t>工资人员的占比为</w:t>
      </w:r>
      <w:r w:rsidR="00975080">
        <w:rPr>
          <w:rFonts w:ascii="SimHei" w:eastAsia="黑体" w:hAnsi="SimHei" w:hint="eastAsia"/>
          <w:sz w:val="32"/>
          <w:szCs w:val="32"/>
        </w:rPr>
        <w:t>59.09</w:t>
      </w:r>
      <w:r>
        <w:rPr>
          <w:rFonts w:ascii="SimHei" w:eastAsia="黑体" w:hAnsi="SimHei" w:hint="eastAsia"/>
          <w:sz w:val="32"/>
          <w:szCs w:val="32"/>
        </w:rPr>
        <w:t>%；</w:t>
      </w:r>
      <w:r w:rsidR="00776A2E">
        <w:rPr>
          <w:rFonts w:ascii="SimHei" w:eastAsia="黑体" w:hAnsi="SimHei" w:hint="eastAsia"/>
          <w:sz w:val="32"/>
          <w:szCs w:val="32"/>
        </w:rPr>
        <w:t>薪酬</w:t>
      </w:r>
      <w:proofErr w:type="gramStart"/>
      <w:r w:rsidR="00776A2E">
        <w:rPr>
          <w:rFonts w:ascii="SimHei" w:eastAsia="黑体" w:hAnsi="SimHei" w:hint="eastAsia"/>
          <w:sz w:val="32"/>
          <w:szCs w:val="32"/>
        </w:rPr>
        <w:t>占比较</w:t>
      </w:r>
      <w:proofErr w:type="gramEnd"/>
      <w:r w:rsidR="00776A2E">
        <w:rPr>
          <w:rFonts w:ascii="SimHei" w:eastAsia="黑体" w:hAnsi="SimHei" w:hint="eastAsia"/>
          <w:sz w:val="32"/>
          <w:szCs w:val="32"/>
        </w:rPr>
        <w:t>高质量管理中心、金融业务中心、高青分公司</w:t>
      </w:r>
      <w:r w:rsidR="003E7313">
        <w:rPr>
          <w:rFonts w:ascii="SimHei" w:eastAsia="黑体" w:hAnsi="SimHei" w:hint="eastAsia"/>
          <w:sz w:val="32"/>
          <w:szCs w:val="32"/>
        </w:rPr>
        <w:t>，</w:t>
      </w:r>
      <w:r w:rsidR="00A02C50">
        <w:rPr>
          <w:rFonts w:ascii="SimHei" w:eastAsia="黑体" w:hAnsi="SimHei" w:hint="eastAsia"/>
          <w:sz w:val="32"/>
          <w:szCs w:val="32"/>
        </w:rPr>
        <w:t>原因为部门人员少，组织结构单一；</w:t>
      </w:r>
      <w:r w:rsidR="00776A2E">
        <w:rPr>
          <w:rFonts w:ascii="SimHei" w:eastAsia="黑体" w:hAnsi="SimHei" w:hint="eastAsia"/>
          <w:sz w:val="32"/>
          <w:szCs w:val="32"/>
        </w:rPr>
        <w:t>薪酬占比较低</w:t>
      </w:r>
      <w:r w:rsidR="00A02C50">
        <w:rPr>
          <w:rFonts w:ascii="SimHei" w:eastAsia="黑体" w:hAnsi="SimHei" w:hint="eastAsia"/>
          <w:sz w:val="32"/>
          <w:szCs w:val="32"/>
        </w:rPr>
        <w:t>的</w:t>
      </w:r>
      <w:r w:rsidR="00776A2E">
        <w:rPr>
          <w:rFonts w:ascii="SimHei" w:eastAsia="黑体" w:hAnsi="SimHei" w:hint="eastAsia"/>
          <w:sz w:val="32"/>
          <w:szCs w:val="32"/>
        </w:rPr>
        <w:t>行业客户中心</w:t>
      </w:r>
      <w:r w:rsidR="003E7313">
        <w:rPr>
          <w:rFonts w:ascii="SimHei" w:eastAsia="黑体" w:hAnsi="SimHei" w:hint="eastAsia"/>
          <w:sz w:val="32"/>
          <w:szCs w:val="32"/>
        </w:rPr>
        <w:t>，</w:t>
      </w:r>
      <w:r w:rsidR="00776A2E">
        <w:rPr>
          <w:rFonts w:ascii="SimHei" w:eastAsia="黑体" w:hAnsi="SimHei" w:hint="eastAsia"/>
          <w:sz w:val="32"/>
          <w:szCs w:val="32"/>
        </w:rPr>
        <w:t>原因为部门人员非年薪在组织结构中</w:t>
      </w:r>
      <w:proofErr w:type="gramStart"/>
      <w:r w:rsidR="00776A2E">
        <w:rPr>
          <w:rFonts w:ascii="SimHei" w:eastAsia="黑体" w:hAnsi="SimHei" w:hint="eastAsia"/>
          <w:sz w:val="32"/>
          <w:szCs w:val="32"/>
        </w:rPr>
        <w:t>占比较</w:t>
      </w:r>
      <w:proofErr w:type="gramEnd"/>
      <w:r w:rsidR="00776A2E">
        <w:rPr>
          <w:rFonts w:ascii="SimHei" w:eastAsia="黑体" w:hAnsi="SimHei" w:hint="eastAsia"/>
          <w:sz w:val="32"/>
          <w:szCs w:val="32"/>
        </w:rPr>
        <w:t>大</w:t>
      </w:r>
      <w:r w:rsidR="001C1C46">
        <w:rPr>
          <w:rFonts w:ascii="SimHei" w:eastAsia="黑体" w:hAnsi="SimHei" w:hint="eastAsia"/>
          <w:sz w:val="32"/>
          <w:szCs w:val="32"/>
        </w:rPr>
        <w:t>；结合各中心非年薪人员占比，建议增加研发推广中心、用户服务中心、运营支持中心年薪收入占比。</w:t>
      </w:r>
    </w:p>
    <w:p w:rsidR="006603E9" w:rsidRDefault="006603E9" w:rsidP="006603E9">
      <w:pPr>
        <w:ind w:firstLine="645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SimHei" w:eastAsia="黑体" w:hAnsi="SimHei" w:hint="eastAsia"/>
          <w:sz w:val="32"/>
          <w:szCs w:val="32"/>
        </w:rPr>
        <w:t>（五）2017年非年薪人员应发工资及实发工资分析如下：</w:t>
      </w:r>
    </w:p>
    <w:p w:rsidR="00C9300F" w:rsidRDefault="00C9300F" w:rsidP="006603E9">
      <w:pPr>
        <w:ind w:firstLine="645"/>
        <w:jc w:val="left"/>
        <w:rPr>
          <w:rFonts w:ascii="华文楷体" w:eastAsia="华文楷体" w:hAnsi="华文楷体"/>
          <w:sz w:val="32"/>
          <w:szCs w:val="32"/>
        </w:rPr>
      </w:pPr>
    </w:p>
    <w:p w:rsidR="00C9300F" w:rsidRDefault="00C9300F" w:rsidP="00C9300F">
      <w:pPr>
        <w:ind w:leftChars="-67" w:left="-140" w:hanging="1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SimHei" w:hAnsi="SimHei" w:eastAsia="黑体"/>
          <w:noProof/>
        </w:rPr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1820"/>
        <w:gridCol w:w="1287"/>
        <w:gridCol w:w="2402"/>
        <w:gridCol w:w="2402"/>
        <w:gridCol w:w="1209"/>
      </w:tblGrid>
      <w:tr w:rsidR="009A64C8" w:rsidRPr="009A64C8" w:rsidTr="00C9300F">
        <w:trPr>
          <w:trHeight w:val="419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C9300F">
            <w:pPr>
              <w:widowControl/>
              <w:tabs>
                <w:tab w:val="left" w:pos="360"/>
              </w:tabs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中心/分公司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员工层（非年薪人员）</w:t>
            </w:r>
          </w:p>
        </w:tc>
      </w:tr>
      <w:tr w:rsidR="009A64C8" w:rsidRPr="009A64C8" w:rsidTr="00C9300F">
        <w:trPr>
          <w:trHeight w:val="480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C8" w:rsidRPr="009A64C8" w:rsidRDefault="009A64C8" w:rsidP="009A64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在岗人数（月均）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9A64C8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月度人均</w:t>
            </w:r>
            <w:proofErr w:type="gramEnd"/>
            <w:r w:rsidRPr="009A64C8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应发工资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9A64C8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月度人均</w:t>
            </w:r>
            <w:proofErr w:type="gramEnd"/>
            <w:r w:rsidRPr="009A64C8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实发工资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9A64C8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提成占</w:t>
            </w:r>
            <w:proofErr w:type="gramEnd"/>
            <w:r w:rsidRPr="009A64C8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比</w:t>
            </w:r>
          </w:p>
        </w:tc>
      </w:tr>
      <w:tr w:rsidR="009A64C8" w:rsidRPr="009A64C8" w:rsidTr="00C9300F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金融业务中心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6541.13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5837.37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39%</w:t>
            </w:r>
          </w:p>
        </w:tc>
      </w:tr>
      <w:tr w:rsidR="009A64C8" w:rsidRPr="009A64C8" w:rsidTr="00C9300F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研发推广中心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5805.38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5229.45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 w:rsidR="009A64C8" w:rsidRPr="009A64C8" w:rsidTr="00C9300F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临淄分公司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5796.81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5181.20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59%</w:t>
            </w:r>
          </w:p>
        </w:tc>
      </w:tr>
      <w:tr w:rsidR="009A64C8" w:rsidRPr="009A64C8" w:rsidTr="00C9300F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淄川分公司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5758.98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5127.54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47%</w:t>
            </w:r>
          </w:p>
        </w:tc>
      </w:tr>
      <w:tr w:rsidR="009A64C8" w:rsidRPr="009A64C8" w:rsidTr="00C9300F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桓台分公司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5433.68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5456.09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45%</w:t>
            </w:r>
          </w:p>
        </w:tc>
      </w:tr>
      <w:tr w:rsidR="009A64C8" w:rsidRPr="009A64C8" w:rsidTr="00C9300F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博山分公司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5348.55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4813.54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52%</w:t>
            </w:r>
          </w:p>
        </w:tc>
      </w:tr>
      <w:tr w:rsidR="009A64C8" w:rsidRPr="009A64C8" w:rsidTr="00C9300F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行业客户中心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5338.05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4692.01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25%</w:t>
            </w:r>
          </w:p>
        </w:tc>
      </w:tr>
      <w:tr w:rsidR="009A64C8" w:rsidRPr="009A64C8" w:rsidTr="00C9300F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高青分公司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5118.04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4601.22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45%</w:t>
            </w:r>
          </w:p>
        </w:tc>
      </w:tr>
      <w:tr w:rsidR="009A64C8" w:rsidRPr="009A64C8" w:rsidTr="00C9300F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沂源分公司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5106.07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4591.43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36%</w:t>
            </w:r>
          </w:p>
        </w:tc>
      </w:tr>
      <w:tr w:rsidR="009A64C8" w:rsidRPr="009A64C8" w:rsidTr="00C9300F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税控业务中心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4934.38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4360.51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8%</w:t>
            </w:r>
          </w:p>
        </w:tc>
      </w:tr>
      <w:tr w:rsidR="009A64C8" w:rsidRPr="009A64C8" w:rsidTr="00C9300F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周村分公司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4811.97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4324.82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50%</w:t>
            </w:r>
          </w:p>
        </w:tc>
      </w:tr>
      <w:tr w:rsidR="009A64C8" w:rsidRPr="009A64C8" w:rsidTr="00C9300F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张店分公司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4530.16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4168.23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36%</w:t>
            </w:r>
          </w:p>
        </w:tc>
      </w:tr>
      <w:tr w:rsidR="009A64C8" w:rsidRPr="009A64C8" w:rsidTr="00C9300F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高新区分公司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4013.38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3460.50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31%</w:t>
            </w:r>
          </w:p>
        </w:tc>
      </w:tr>
      <w:tr w:rsidR="009A64C8" w:rsidRPr="009A64C8" w:rsidTr="00C9300F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用户服务中心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3773.11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3287.51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28%</w:t>
            </w:r>
          </w:p>
        </w:tc>
      </w:tr>
      <w:tr w:rsidR="009A64C8" w:rsidRPr="009A64C8" w:rsidTr="00C9300F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质量管理中心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3626.72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3163.47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 w:rsidR="009A64C8" w:rsidRPr="009A64C8" w:rsidTr="00C9300F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运营支持中心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3466.52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3063.73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6%</w:t>
            </w:r>
          </w:p>
        </w:tc>
      </w:tr>
      <w:tr w:rsidR="009A64C8" w:rsidRPr="009A64C8" w:rsidTr="00C9300F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增值业务中心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3153.36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 xml:space="preserve">2829.59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color w:val="000000"/>
                <w:kern w:val="0"/>
                <w:sz w:val="20"/>
                <w:szCs w:val="20"/>
              </w:rPr>
              <w:t>19%</w:t>
            </w:r>
          </w:p>
        </w:tc>
      </w:tr>
      <w:tr w:rsidR="009A64C8" w:rsidRPr="009A64C8" w:rsidTr="00C9300F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公司平均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4856.25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9A64C8" w:rsidP="009A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64C8">
              <w:rPr>
                <w:rFonts w:ascii="SimHei" w:eastAsia="黑体" w:hAnsi="SimHei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4364.01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8" w:rsidRPr="009A64C8" w:rsidRDefault="00BF7589" w:rsidP="00BF7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589">
              <w:rPr>
                <w:rFonts w:ascii="SimHei" w:eastAsia="黑体" w:hAnsi="SimHei" w:cs="宋体"/>
                <w:b/>
                <w:bCs/>
                <w:color w:val="000000"/>
                <w:kern w:val="0"/>
                <w:sz w:val="20"/>
                <w:szCs w:val="20"/>
              </w:rPr>
              <w:t>32%</w:t>
            </w:r>
          </w:p>
        </w:tc>
      </w:tr>
    </w:tbl>
    <w:p w:rsidR="00975080" w:rsidRDefault="00975080" w:rsidP="00975080">
      <w:pPr>
        <w:ind w:firstLine="645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SimHei" w:eastAsia="黑体" w:hAnsi="SimHei" w:hint="eastAsia"/>
          <w:sz w:val="32"/>
          <w:szCs w:val="32"/>
        </w:rPr>
        <w:t>分析：通过以上图表可以看出，公司非年薪人员</w:t>
      </w:r>
      <w:proofErr w:type="gramStart"/>
      <w:r>
        <w:rPr>
          <w:rFonts w:ascii="SimHei" w:eastAsia="黑体" w:hAnsi="SimHei" w:hint="eastAsia"/>
          <w:sz w:val="32"/>
          <w:szCs w:val="32"/>
        </w:rPr>
        <w:t>月度人均</w:t>
      </w:r>
      <w:proofErr w:type="gramEnd"/>
      <w:r>
        <w:rPr>
          <w:rFonts w:ascii="SimHei" w:eastAsia="黑体" w:hAnsi="SimHei" w:hint="eastAsia"/>
          <w:sz w:val="32"/>
          <w:szCs w:val="32"/>
        </w:rPr>
        <w:t>应发工资4856.25元</w:t>
      </w:r>
      <w:r w:rsidR="002831E3">
        <w:rPr>
          <w:rFonts w:ascii="SimHei" w:eastAsia="黑体" w:hAnsi="SimHei" w:hint="eastAsia"/>
          <w:sz w:val="32"/>
          <w:szCs w:val="32"/>
        </w:rPr>
        <w:t>，</w:t>
      </w:r>
      <w:r w:rsidR="00080BCB">
        <w:rPr>
          <w:rFonts w:ascii="SimHei" w:eastAsia="黑体" w:hAnsi="SimHei" w:hint="eastAsia"/>
          <w:sz w:val="32"/>
          <w:szCs w:val="32"/>
        </w:rPr>
        <w:t>2016年淄博市城镇非私营单位在岗职工的平均工资为5091.33元</w:t>
      </w:r>
      <w:r w:rsidR="002831E3">
        <w:rPr>
          <w:rFonts w:ascii="SimHei" w:eastAsia="黑体" w:hAnsi="SimHei" w:hint="eastAsia"/>
          <w:sz w:val="32"/>
          <w:szCs w:val="32"/>
        </w:rPr>
        <w:t>。</w:t>
      </w:r>
      <w:r>
        <w:rPr>
          <w:rFonts w:ascii="SimHei" w:eastAsia="黑体" w:hAnsi="SimHei" w:hint="eastAsia"/>
          <w:sz w:val="32"/>
          <w:szCs w:val="32"/>
        </w:rPr>
        <w:t>其中超过</w:t>
      </w:r>
      <w:r w:rsidR="00DE78BB">
        <w:rPr>
          <w:rFonts w:ascii="SimHei" w:eastAsia="黑体" w:hAnsi="SimHei" w:hint="eastAsia"/>
          <w:sz w:val="32"/>
          <w:szCs w:val="32"/>
        </w:rPr>
        <w:t>我公司</w:t>
      </w:r>
      <w:r>
        <w:rPr>
          <w:rFonts w:ascii="SimHei" w:eastAsia="黑体" w:hAnsi="SimHei" w:hint="eastAsia"/>
          <w:sz w:val="32"/>
          <w:szCs w:val="32"/>
        </w:rPr>
        <w:t>平均工资人员的占比为59.80%，低于平均工资人员的占比为</w:t>
      </w:r>
      <w:r w:rsidR="006F243F">
        <w:rPr>
          <w:rFonts w:ascii="SimHei" w:eastAsia="黑体" w:hAnsi="SimHei" w:hint="eastAsia"/>
          <w:sz w:val="32"/>
          <w:szCs w:val="32"/>
        </w:rPr>
        <w:t>40.20</w:t>
      </w:r>
      <w:r>
        <w:rPr>
          <w:rFonts w:ascii="SimHei" w:eastAsia="黑体" w:hAnsi="SimHei" w:hint="eastAsia"/>
          <w:sz w:val="32"/>
          <w:szCs w:val="32"/>
        </w:rPr>
        <w:t>%；</w:t>
      </w:r>
      <w:r w:rsidR="00E579B9">
        <w:rPr>
          <w:rFonts w:ascii="SimHei" w:eastAsia="黑体" w:hAnsi="SimHei" w:hint="eastAsia"/>
          <w:sz w:val="32"/>
          <w:szCs w:val="32"/>
        </w:rPr>
        <w:t>建议2018年对</w:t>
      </w:r>
      <w:proofErr w:type="gramStart"/>
      <w:r w:rsidR="00E579B9">
        <w:rPr>
          <w:rFonts w:ascii="SimHei" w:eastAsia="黑体" w:hAnsi="SimHei" w:hint="eastAsia"/>
          <w:sz w:val="32"/>
          <w:szCs w:val="32"/>
        </w:rPr>
        <w:t>提成占</w:t>
      </w:r>
      <w:proofErr w:type="gramEnd"/>
      <w:r w:rsidR="00E579B9">
        <w:rPr>
          <w:rFonts w:ascii="SimHei" w:eastAsia="黑体" w:hAnsi="SimHei" w:hint="eastAsia"/>
          <w:sz w:val="32"/>
          <w:szCs w:val="32"/>
        </w:rPr>
        <w:t>比</w:t>
      </w:r>
      <w:r w:rsidR="009B0499">
        <w:rPr>
          <w:rFonts w:ascii="SimHei" w:eastAsia="黑体" w:hAnsi="SimHei" w:hint="eastAsia"/>
          <w:sz w:val="32"/>
          <w:szCs w:val="32"/>
        </w:rPr>
        <w:t>与</w:t>
      </w:r>
      <w:r w:rsidR="00E579B9">
        <w:rPr>
          <w:rFonts w:ascii="SimHei" w:eastAsia="黑体" w:hAnsi="SimHei" w:hint="eastAsia"/>
          <w:sz w:val="32"/>
          <w:szCs w:val="32"/>
        </w:rPr>
        <w:t>平均收入</w:t>
      </w:r>
      <w:r w:rsidR="009B0499">
        <w:rPr>
          <w:rFonts w:ascii="SimHei" w:eastAsia="黑体" w:hAnsi="SimHei" w:hint="eastAsia"/>
          <w:sz w:val="32"/>
          <w:szCs w:val="32"/>
        </w:rPr>
        <w:t>均</w:t>
      </w:r>
      <w:r w:rsidR="00E579B9">
        <w:rPr>
          <w:rFonts w:ascii="SimHei" w:eastAsia="黑体" w:hAnsi="SimHei" w:hint="eastAsia"/>
          <w:sz w:val="32"/>
          <w:szCs w:val="32"/>
        </w:rPr>
        <w:t>低的运营支持中心、质量管理中心、用户服务中心的基本薪资进行调整；对</w:t>
      </w:r>
      <w:proofErr w:type="gramStart"/>
      <w:r w:rsidR="00E579B9">
        <w:rPr>
          <w:rFonts w:ascii="SimHei" w:eastAsia="黑体" w:hAnsi="SimHei" w:hint="eastAsia"/>
          <w:sz w:val="32"/>
          <w:szCs w:val="32"/>
        </w:rPr>
        <w:t>提成占</w:t>
      </w:r>
      <w:proofErr w:type="gramEnd"/>
      <w:r w:rsidR="00E579B9">
        <w:rPr>
          <w:rFonts w:ascii="SimHei" w:eastAsia="黑体" w:hAnsi="SimHei" w:hint="eastAsia"/>
          <w:sz w:val="32"/>
          <w:szCs w:val="32"/>
        </w:rPr>
        <w:t>比略低但人均收入相对高的研发推广中心、税控业务中心、行业客户中心</w:t>
      </w:r>
      <w:r w:rsidR="00B0769C">
        <w:rPr>
          <w:rFonts w:ascii="SimHei" w:eastAsia="黑体" w:hAnsi="SimHei" w:hint="eastAsia"/>
          <w:sz w:val="32"/>
          <w:szCs w:val="32"/>
        </w:rPr>
        <w:t>增加绩效考核工资在</w:t>
      </w:r>
      <w:r w:rsidR="009B0499">
        <w:rPr>
          <w:rFonts w:ascii="SimHei" w:eastAsia="黑体" w:hAnsi="SimHei" w:hint="eastAsia"/>
          <w:sz w:val="32"/>
          <w:szCs w:val="32"/>
        </w:rPr>
        <w:t>薪酬结构</w:t>
      </w:r>
      <w:r w:rsidR="00B0769C">
        <w:rPr>
          <w:rFonts w:ascii="SimHei" w:eastAsia="黑体" w:hAnsi="SimHei" w:hint="eastAsia"/>
          <w:sz w:val="32"/>
          <w:szCs w:val="32"/>
        </w:rPr>
        <w:t>中的占比并与绩效完成情况进行挂钩考核；对以</w:t>
      </w:r>
      <w:proofErr w:type="gramStart"/>
      <w:r w:rsidR="00B0769C">
        <w:rPr>
          <w:rFonts w:ascii="SimHei" w:eastAsia="黑体" w:hAnsi="SimHei" w:hint="eastAsia"/>
          <w:sz w:val="32"/>
          <w:szCs w:val="32"/>
        </w:rPr>
        <w:t>提成占比较</w:t>
      </w:r>
      <w:proofErr w:type="gramEnd"/>
      <w:r w:rsidR="00B0769C">
        <w:rPr>
          <w:rFonts w:ascii="SimHei" w:eastAsia="黑体" w:hAnsi="SimHei" w:hint="eastAsia"/>
          <w:sz w:val="32"/>
          <w:szCs w:val="32"/>
        </w:rPr>
        <w:t>高的分公司</w:t>
      </w:r>
      <w:r w:rsidR="00AB57B3">
        <w:rPr>
          <w:rFonts w:ascii="SimHei" w:eastAsia="黑体" w:hAnsi="SimHei" w:hint="eastAsia"/>
          <w:sz w:val="32"/>
          <w:szCs w:val="32"/>
        </w:rPr>
        <w:t>薪酬结构比例保持，但建议</w:t>
      </w:r>
      <w:r w:rsidR="00E27C29">
        <w:rPr>
          <w:rFonts w:ascii="SimHei" w:eastAsia="黑体" w:hAnsi="SimHei" w:hint="eastAsia"/>
          <w:sz w:val="32"/>
          <w:szCs w:val="32"/>
        </w:rPr>
        <w:t>继续</w:t>
      </w:r>
      <w:r w:rsidR="00B0769C">
        <w:rPr>
          <w:rFonts w:ascii="SimHei" w:eastAsia="黑体" w:hAnsi="SimHei" w:hint="eastAsia"/>
          <w:sz w:val="32"/>
          <w:szCs w:val="32"/>
        </w:rPr>
        <w:t>执行业绩奖励</w:t>
      </w:r>
      <w:r w:rsidR="003E3EA0">
        <w:rPr>
          <w:rFonts w:ascii="SimHei" w:eastAsia="黑体" w:hAnsi="SimHei" w:hint="eastAsia"/>
          <w:sz w:val="32"/>
          <w:szCs w:val="32"/>
        </w:rPr>
        <w:t>与</w:t>
      </w:r>
      <w:r w:rsidR="00B0769C">
        <w:rPr>
          <w:rFonts w:ascii="SimHei" w:eastAsia="黑体" w:hAnsi="SimHei" w:hint="eastAsia"/>
          <w:sz w:val="32"/>
          <w:szCs w:val="32"/>
        </w:rPr>
        <w:t>绩效完成情况挂钩的薪酬</w:t>
      </w:r>
      <w:r w:rsidR="00AB57B3">
        <w:rPr>
          <w:rFonts w:ascii="SimHei" w:eastAsia="黑体" w:hAnsi="SimHei" w:hint="eastAsia"/>
          <w:sz w:val="32"/>
          <w:szCs w:val="32"/>
        </w:rPr>
        <w:t>考核</w:t>
      </w:r>
      <w:r w:rsidR="00B0769C">
        <w:rPr>
          <w:rFonts w:ascii="SimHei" w:eastAsia="黑体" w:hAnsi="SimHei" w:hint="eastAsia"/>
          <w:sz w:val="32"/>
          <w:szCs w:val="32"/>
        </w:rPr>
        <w:t>模式。</w:t>
      </w:r>
    </w:p>
    <w:p w:rsidR="00DF046C" w:rsidRPr="00E27C29" w:rsidRDefault="00DF046C" w:rsidP="00DF046C">
      <w:pPr>
        <w:jc w:val="left"/>
        <w:rPr>
          <w:rFonts w:ascii="仿宋_GB2312" w:eastAsia="仿宋_GB2312" w:hAnsi="华文楷体"/>
          <w:sz w:val="32"/>
          <w:szCs w:val="32"/>
        </w:rPr>
      </w:pPr>
      <w:bookmarkStart w:id="0" w:name="_GoBack"/>
      <w:bookmarkEnd w:id="0"/>
    </w:p>
    <w:p w:rsidR="00DF046C" w:rsidRPr="00F937E4" w:rsidRDefault="00DF046C" w:rsidP="00DF046C">
      <w:pPr>
        <w:ind w:right="320"/>
        <w:jc w:val="right"/>
        <w:rPr>
          <w:rFonts w:ascii="仿宋_GB2312" w:eastAsia="仿宋_GB2312" w:hAnsi="华文楷体"/>
          <w:sz w:val="32"/>
          <w:szCs w:val="32"/>
        </w:rPr>
      </w:pPr>
      <w:r>
        <w:rPr>
          <w:rFonts w:ascii="SimHei" w:eastAsia="黑体" w:hAnsi="SimHei" w:hint="eastAsia"/>
          <w:sz w:val="32"/>
          <w:szCs w:val="32"/>
        </w:rPr>
        <w:t>综合管理部</w:t>
      </w:r>
    </w:p>
    <w:p w:rsidR="00DF046C" w:rsidRPr="00F937E4" w:rsidRDefault="00DF046C" w:rsidP="00DF046C">
      <w:pPr>
        <w:jc w:val="right"/>
        <w:rPr>
          <w:rFonts w:ascii="仿宋_GB2312" w:eastAsia="仿宋_GB2312" w:hAnsi="华文楷体"/>
          <w:sz w:val="32"/>
          <w:szCs w:val="32"/>
        </w:rPr>
      </w:pPr>
      <w:r w:rsidRPr="00F937E4">
        <w:rPr>
          <w:rFonts w:ascii="SimHei" w:eastAsia="黑体" w:hAnsi="SimHei" w:hint="eastAsia"/>
          <w:sz w:val="32"/>
          <w:szCs w:val="32"/>
        </w:rPr>
        <w:t>201</w:t>
      </w:r>
      <w:r w:rsidR="002C6072">
        <w:rPr>
          <w:rFonts w:ascii="SimHei" w:eastAsia="黑体" w:hAnsi="SimHei" w:hint="eastAsia"/>
          <w:sz w:val="32"/>
          <w:szCs w:val="32"/>
        </w:rPr>
        <w:t>8</w:t>
      </w:r>
      <w:r w:rsidRPr="00F937E4">
        <w:rPr>
          <w:rFonts w:ascii="SimHei" w:eastAsia="黑体" w:hAnsi="SimHei" w:hint="eastAsia"/>
          <w:sz w:val="32"/>
          <w:szCs w:val="32"/>
        </w:rPr>
        <w:t>年1月</w:t>
      </w:r>
      <w:r>
        <w:rPr>
          <w:rFonts w:ascii="SimHei" w:eastAsia="黑体" w:hAnsi="SimHei" w:hint="eastAsia"/>
          <w:sz w:val="32"/>
          <w:szCs w:val="32"/>
        </w:rPr>
        <w:t>6</w:t>
      </w:r>
      <w:r w:rsidRPr="00F937E4">
        <w:rPr>
          <w:rFonts w:ascii="SimHei" w:eastAsia="黑体" w:hAnsi="SimHei" w:hint="eastAsia"/>
          <w:sz w:val="32"/>
          <w:szCs w:val="32"/>
        </w:rPr>
        <w:t>日</w:t>
      </w:r>
    </w:p>
    <w:p w:rsidR="00DF046C" w:rsidRPr="00DF046C" w:rsidRDefault="00DF046C" w:rsidP="00DF046C">
      <w:pPr>
        <w:ind w:firstLine="645"/>
        <w:rPr>
          <w:rFonts w:ascii="华文楷体" w:eastAsia="华文楷体" w:hAnsi="华文楷体"/>
          <w:sz w:val="32"/>
          <w:szCs w:val="32"/>
        </w:rPr>
      </w:pPr>
    </w:p>
    <w:p w:rsidR="000F778A" w:rsidRPr="00725692" w:rsidRDefault="000F778A" w:rsidP="00F03586">
      <w:pPr>
        <w:jc w:val="left"/>
        <w:rPr>
          <w:rFonts w:asciiTheme="minorEastAsia" w:hAnsiTheme="minorEastAsia"/>
          <w:sz w:val="20"/>
          <w:szCs w:val="32"/>
        </w:rPr>
      </w:pPr>
    </w:p>
    <w:sectPr w:rsidR="000F778A" w:rsidRPr="00725692" w:rsidSect="001362B4">
      <w:pgSz w:w="11906" w:h="16838"/>
      <w:pgMar w:top="1440" w:right="1800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286" w:rsidRDefault="00D65286" w:rsidP="00090566">
      <w:r>
        <w:separator/>
      </w:r>
    </w:p>
  </w:endnote>
  <w:endnote w:type="continuationSeparator" w:id="0">
    <w:p w:rsidR="00D65286" w:rsidRDefault="00D65286" w:rsidP="0009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286" w:rsidRDefault="00D65286" w:rsidP="00090566">
      <w:r>
        <w:separator/>
      </w:r>
    </w:p>
  </w:footnote>
  <w:footnote w:type="continuationSeparator" w:id="0">
    <w:p w:rsidR="00D65286" w:rsidRDefault="00D65286" w:rsidP="00090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81A70"/>
    <w:multiLevelType w:val="hybridMultilevel"/>
    <w:tmpl w:val="89F4F2FE"/>
    <w:lvl w:ilvl="0" w:tplc="74F2DC0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4C"/>
    <w:rsid w:val="00000149"/>
    <w:rsid w:val="00004D44"/>
    <w:rsid w:val="0003457C"/>
    <w:rsid w:val="00054EC0"/>
    <w:rsid w:val="00067C0A"/>
    <w:rsid w:val="00072256"/>
    <w:rsid w:val="00080BCB"/>
    <w:rsid w:val="00090566"/>
    <w:rsid w:val="000B1FEB"/>
    <w:rsid w:val="000F778A"/>
    <w:rsid w:val="00122EBD"/>
    <w:rsid w:val="0013546B"/>
    <w:rsid w:val="001362B4"/>
    <w:rsid w:val="00156AE5"/>
    <w:rsid w:val="001731B1"/>
    <w:rsid w:val="001A16CB"/>
    <w:rsid w:val="001A7858"/>
    <w:rsid w:val="001B4DAE"/>
    <w:rsid w:val="001C1C46"/>
    <w:rsid w:val="001C5F39"/>
    <w:rsid w:val="00203110"/>
    <w:rsid w:val="002364F5"/>
    <w:rsid w:val="00243BF9"/>
    <w:rsid w:val="002465EA"/>
    <w:rsid w:val="00260950"/>
    <w:rsid w:val="00265589"/>
    <w:rsid w:val="002831E3"/>
    <w:rsid w:val="002A3ACF"/>
    <w:rsid w:val="002B1080"/>
    <w:rsid w:val="002C6072"/>
    <w:rsid w:val="00325984"/>
    <w:rsid w:val="00350B3B"/>
    <w:rsid w:val="003B4C4C"/>
    <w:rsid w:val="003E3EA0"/>
    <w:rsid w:val="003E7313"/>
    <w:rsid w:val="003F6EDC"/>
    <w:rsid w:val="003F74DC"/>
    <w:rsid w:val="004058F8"/>
    <w:rsid w:val="00424C2D"/>
    <w:rsid w:val="0042632A"/>
    <w:rsid w:val="00432869"/>
    <w:rsid w:val="0049363B"/>
    <w:rsid w:val="00495B7F"/>
    <w:rsid w:val="004A512D"/>
    <w:rsid w:val="004B2E55"/>
    <w:rsid w:val="004C09B1"/>
    <w:rsid w:val="004C7853"/>
    <w:rsid w:val="004D6FB9"/>
    <w:rsid w:val="004E3EB2"/>
    <w:rsid w:val="005057E6"/>
    <w:rsid w:val="00512683"/>
    <w:rsid w:val="0055124F"/>
    <w:rsid w:val="005608AA"/>
    <w:rsid w:val="005712D2"/>
    <w:rsid w:val="00574524"/>
    <w:rsid w:val="005768A1"/>
    <w:rsid w:val="005D6B7D"/>
    <w:rsid w:val="005F5AF4"/>
    <w:rsid w:val="006234DF"/>
    <w:rsid w:val="0063192F"/>
    <w:rsid w:val="006603E9"/>
    <w:rsid w:val="006640D3"/>
    <w:rsid w:val="00665B99"/>
    <w:rsid w:val="006B2E41"/>
    <w:rsid w:val="006C7D9A"/>
    <w:rsid w:val="006D434C"/>
    <w:rsid w:val="006E6C27"/>
    <w:rsid w:val="006F243F"/>
    <w:rsid w:val="00700502"/>
    <w:rsid w:val="00703E8E"/>
    <w:rsid w:val="00721877"/>
    <w:rsid w:val="00725692"/>
    <w:rsid w:val="00733ECA"/>
    <w:rsid w:val="007365B4"/>
    <w:rsid w:val="00740BE1"/>
    <w:rsid w:val="00752324"/>
    <w:rsid w:val="00776A2E"/>
    <w:rsid w:val="00795222"/>
    <w:rsid w:val="007C2809"/>
    <w:rsid w:val="007D496A"/>
    <w:rsid w:val="007D7611"/>
    <w:rsid w:val="007F4BE5"/>
    <w:rsid w:val="00811A28"/>
    <w:rsid w:val="0082444F"/>
    <w:rsid w:val="00865D49"/>
    <w:rsid w:val="00892993"/>
    <w:rsid w:val="008A0EE0"/>
    <w:rsid w:val="008A4E0B"/>
    <w:rsid w:val="008B7B01"/>
    <w:rsid w:val="008E36B7"/>
    <w:rsid w:val="009037E3"/>
    <w:rsid w:val="009662DB"/>
    <w:rsid w:val="00971812"/>
    <w:rsid w:val="00975080"/>
    <w:rsid w:val="00997B3E"/>
    <w:rsid w:val="00997CE8"/>
    <w:rsid w:val="009A64C8"/>
    <w:rsid w:val="009B0499"/>
    <w:rsid w:val="009F3393"/>
    <w:rsid w:val="00A01C72"/>
    <w:rsid w:val="00A02C50"/>
    <w:rsid w:val="00A347A1"/>
    <w:rsid w:val="00A3524F"/>
    <w:rsid w:val="00A55281"/>
    <w:rsid w:val="00A74ACD"/>
    <w:rsid w:val="00AA3666"/>
    <w:rsid w:val="00AB57B3"/>
    <w:rsid w:val="00AB6239"/>
    <w:rsid w:val="00AC1C51"/>
    <w:rsid w:val="00AC5CD9"/>
    <w:rsid w:val="00B0769C"/>
    <w:rsid w:val="00B435FE"/>
    <w:rsid w:val="00B85CE1"/>
    <w:rsid w:val="00B95613"/>
    <w:rsid w:val="00B95877"/>
    <w:rsid w:val="00B96BCC"/>
    <w:rsid w:val="00BB5975"/>
    <w:rsid w:val="00BC30E1"/>
    <w:rsid w:val="00BF7589"/>
    <w:rsid w:val="00C0226E"/>
    <w:rsid w:val="00C3152D"/>
    <w:rsid w:val="00C40ABF"/>
    <w:rsid w:val="00C72717"/>
    <w:rsid w:val="00C7547F"/>
    <w:rsid w:val="00C9300F"/>
    <w:rsid w:val="00C9577C"/>
    <w:rsid w:val="00C97EEF"/>
    <w:rsid w:val="00CA02AF"/>
    <w:rsid w:val="00CB1A35"/>
    <w:rsid w:val="00CC0B5F"/>
    <w:rsid w:val="00CC78F6"/>
    <w:rsid w:val="00CD53E0"/>
    <w:rsid w:val="00D65286"/>
    <w:rsid w:val="00D71AB5"/>
    <w:rsid w:val="00D87A1F"/>
    <w:rsid w:val="00D96B53"/>
    <w:rsid w:val="00DC3877"/>
    <w:rsid w:val="00DC5A7E"/>
    <w:rsid w:val="00DE78BB"/>
    <w:rsid w:val="00DE7C7B"/>
    <w:rsid w:val="00DF046C"/>
    <w:rsid w:val="00DF0D82"/>
    <w:rsid w:val="00DF5A94"/>
    <w:rsid w:val="00E15011"/>
    <w:rsid w:val="00E27C29"/>
    <w:rsid w:val="00E43951"/>
    <w:rsid w:val="00E46D5D"/>
    <w:rsid w:val="00E53F60"/>
    <w:rsid w:val="00E579B9"/>
    <w:rsid w:val="00E60C82"/>
    <w:rsid w:val="00E623A5"/>
    <w:rsid w:val="00E644A3"/>
    <w:rsid w:val="00EB2AA9"/>
    <w:rsid w:val="00EB3AB3"/>
    <w:rsid w:val="00ED6539"/>
    <w:rsid w:val="00EE0F7F"/>
    <w:rsid w:val="00EE4BD3"/>
    <w:rsid w:val="00EF6BAD"/>
    <w:rsid w:val="00F00B98"/>
    <w:rsid w:val="00F03586"/>
    <w:rsid w:val="00F064C6"/>
    <w:rsid w:val="00F221E5"/>
    <w:rsid w:val="00F26AED"/>
    <w:rsid w:val="00F33C16"/>
    <w:rsid w:val="00F6753C"/>
    <w:rsid w:val="00F704EA"/>
    <w:rsid w:val="00FD3125"/>
    <w:rsid w:val="00FD719B"/>
    <w:rsid w:val="00FE2904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85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F74D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F74D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90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9056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90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905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85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F74D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F74D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90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9056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90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905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'1.0' encoding='UTF-8' standalone='yes'?>
<Relationships xmlns="http://schemas.openxmlformats.org/package/2006/relationships"><Relationship Id="rId1" Type="http://schemas.openxmlformats.org/officeDocument/2006/relationships/oleObject" Target="file:///C:\Users\Administrator\Desktop\&#26032;&#24314;%20Microsoft%20Excel%20&#24037;&#20316;&#34920;%20(2).xlsx" TargetMode="External"/></Relationships>
</file>

<file path=word/charts/_rels/chart2.xml.rels><?xml version='1.0' encoding='UTF-8' standalone='yes'?>
<Relationships xmlns="http://schemas.openxmlformats.org/package/2006/relationships"><Relationship Id="rId1" Type="http://schemas.openxmlformats.org/officeDocument/2006/relationships/oleObject" Target="file:///C:\Users\Administrator\Desktop\&#26032;&#24314;%20Microsoft%20Excel%20&#24037;&#20316;&#34920;%20(2).xlsx" TargetMode="External"/></Relationships>
</file>

<file path=word/charts/_rels/chart3.xml.rels><?xml version='1.0' encoding='UTF-8' standalone='yes'?>
<Relationships xmlns="http://schemas.openxmlformats.org/package/2006/relationships"><Relationship Id="rId1" Type="http://schemas.openxmlformats.org/officeDocument/2006/relationships/oleObject" Target="file:///C:\Users\Administrator\Desktop\&#26032;&#24314;%20Microsoft%20Excel%20&#24037;&#20316;&#34920;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052098576173557E-2"/>
          <c:y val="4.5830834613165616E-2"/>
          <c:w val="0.70235793092235144"/>
          <c:h val="0.674100582628409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'Sheet1 (2)'!$B$1</c:f>
              <c:strCache>
                <c:ptCount val="1"/>
                <c:pt idx="0">
                  <c:v>月度人均应发工资</c:v>
                </c:pt>
              </c:strCache>
            </c:strRef>
          </c:tx>
          <c:invertIfNegative val="0"/>
          <c:cat>
            <c:strRef>
              <c:f>'Sheet1 (2)'!$A$2:$A$18</c:f>
              <c:strCache>
                <c:ptCount val="17"/>
                <c:pt idx="0">
                  <c:v>金融业务中心</c:v>
                </c:pt>
                <c:pt idx="1">
                  <c:v>税控业务中心</c:v>
                </c:pt>
                <c:pt idx="2">
                  <c:v>临淄分公司</c:v>
                </c:pt>
                <c:pt idx="3">
                  <c:v>淄川分公司</c:v>
                </c:pt>
                <c:pt idx="4">
                  <c:v>桓台分公司</c:v>
                </c:pt>
                <c:pt idx="5">
                  <c:v>高青分公司</c:v>
                </c:pt>
                <c:pt idx="6">
                  <c:v>研发推广中心</c:v>
                </c:pt>
                <c:pt idx="7">
                  <c:v>沂源分公司</c:v>
                </c:pt>
                <c:pt idx="8">
                  <c:v>质量管理中心</c:v>
                </c:pt>
                <c:pt idx="9">
                  <c:v>博山分公司</c:v>
                </c:pt>
                <c:pt idx="10">
                  <c:v>周村分公司</c:v>
                </c:pt>
                <c:pt idx="11">
                  <c:v>行业客户中心</c:v>
                </c:pt>
                <c:pt idx="12">
                  <c:v>张店分公司</c:v>
                </c:pt>
                <c:pt idx="13">
                  <c:v>高新区分公司</c:v>
                </c:pt>
                <c:pt idx="14">
                  <c:v>运营支持中心</c:v>
                </c:pt>
                <c:pt idx="15">
                  <c:v>增值业务中心</c:v>
                </c:pt>
                <c:pt idx="16">
                  <c:v>用户服务中心</c:v>
                </c:pt>
              </c:strCache>
            </c:strRef>
          </c:cat>
          <c:val>
            <c:numRef>
              <c:f>'Sheet1 (2)'!$B$2:$B$18</c:f>
              <c:numCache>
                <c:formatCode>General</c:formatCode>
                <c:ptCount val="17"/>
                <c:pt idx="0">
                  <c:v>8736.5</c:v>
                </c:pt>
                <c:pt idx="1">
                  <c:v>7300.57</c:v>
                </c:pt>
                <c:pt idx="2">
                  <c:v>6784.99</c:v>
                </c:pt>
                <c:pt idx="3">
                  <c:v>6776.4</c:v>
                </c:pt>
                <c:pt idx="4">
                  <c:v>6607.47</c:v>
                </c:pt>
                <c:pt idx="5">
                  <c:v>6486.68</c:v>
                </c:pt>
                <c:pt idx="6">
                  <c:v>6363.11</c:v>
                </c:pt>
                <c:pt idx="7">
                  <c:v>6112.33</c:v>
                </c:pt>
                <c:pt idx="8">
                  <c:v>6036.98</c:v>
                </c:pt>
                <c:pt idx="9">
                  <c:v>5877.77</c:v>
                </c:pt>
                <c:pt idx="10">
                  <c:v>5723.37</c:v>
                </c:pt>
                <c:pt idx="11">
                  <c:v>5626.26</c:v>
                </c:pt>
                <c:pt idx="12">
                  <c:v>5253.07</c:v>
                </c:pt>
                <c:pt idx="13">
                  <c:v>4925.01</c:v>
                </c:pt>
                <c:pt idx="14">
                  <c:v>4577.79</c:v>
                </c:pt>
                <c:pt idx="15">
                  <c:v>4522.8</c:v>
                </c:pt>
                <c:pt idx="16">
                  <c:v>4249.3900000000003</c:v>
                </c:pt>
              </c:numCache>
            </c:numRef>
          </c:val>
        </c:ser>
        <c:ser>
          <c:idx val="1"/>
          <c:order val="1"/>
          <c:tx>
            <c:strRef>
              <c:f>'Sheet1 (2)'!$C$1</c:f>
              <c:strCache>
                <c:ptCount val="1"/>
                <c:pt idx="0">
                  <c:v>月度人均实发工资</c:v>
                </c:pt>
              </c:strCache>
            </c:strRef>
          </c:tx>
          <c:invertIfNegative val="0"/>
          <c:cat>
            <c:strRef>
              <c:f>'Sheet1 (2)'!$A$2:$A$18</c:f>
              <c:strCache>
                <c:ptCount val="17"/>
                <c:pt idx="0">
                  <c:v>金融业务中心</c:v>
                </c:pt>
                <c:pt idx="1">
                  <c:v>税控业务中心</c:v>
                </c:pt>
                <c:pt idx="2">
                  <c:v>临淄分公司</c:v>
                </c:pt>
                <c:pt idx="3">
                  <c:v>淄川分公司</c:v>
                </c:pt>
                <c:pt idx="4">
                  <c:v>桓台分公司</c:v>
                </c:pt>
                <c:pt idx="5">
                  <c:v>高青分公司</c:v>
                </c:pt>
                <c:pt idx="6">
                  <c:v>研发推广中心</c:v>
                </c:pt>
                <c:pt idx="7">
                  <c:v>沂源分公司</c:v>
                </c:pt>
                <c:pt idx="8">
                  <c:v>质量管理中心</c:v>
                </c:pt>
                <c:pt idx="9">
                  <c:v>博山分公司</c:v>
                </c:pt>
                <c:pt idx="10">
                  <c:v>周村分公司</c:v>
                </c:pt>
                <c:pt idx="11">
                  <c:v>行业客户中心</c:v>
                </c:pt>
                <c:pt idx="12">
                  <c:v>张店分公司</c:v>
                </c:pt>
                <c:pt idx="13">
                  <c:v>高新区分公司</c:v>
                </c:pt>
                <c:pt idx="14">
                  <c:v>运营支持中心</c:v>
                </c:pt>
                <c:pt idx="15">
                  <c:v>增值业务中心</c:v>
                </c:pt>
                <c:pt idx="16">
                  <c:v>用户服务中心</c:v>
                </c:pt>
              </c:strCache>
            </c:strRef>
          </c:cat>
          <c:val>
            <c:numRef>
              <c:f>'Sheet1 (2)'!$C$2:$C$18</c:f>
              <c:numCache>
                <c:formatCode>General</c:formatCode>
                <c:ptCount val="17"/>
                <c:pt idx="0">
                  <c:v>7632.37</c:v>
                </c:pt>
                <c:pt idx="1">
                  <c:v>6447</c:v>
                </c:pt>
                <c:pt idx="2">
                  <c:v>6028.49</c:v>
                </c:pt>
                <c:pt idx="3">
                  <c:v>6004.32</c:v>
                </c:pt>
                <c:pt idx="4">
                  <c:v>5671.17</c:v>
                </c:pt>
                <c:pt idx="5">
                  <c:v>5813.43</c:v>
                </c:pt>
                <c:pt idx="6">
                  <c:v>5700.59</c:v>
                </c:pt>
                <c:pt idx="7">
                  <c:v>5467.33</c:v>
                </c:pt>
                <c:pt idx="8">
                  <c:v>5331.99</c:v>
                </c:pt>
                <c:pt idx="9">
                  <c:v>5288.15</c:v>
                </c:pt>
                <c:pt idx="10">
                  <c:v>5164.66</c:v>
                </c:pt>
                <c:pt idx="11">
                  <c:v>4917.9799999999996</c:v>
                </c:pt>
                <c:pt idx="12">
                  <c:v>4555.84</c:v>
                </c:pt>
                <c:pt idx="13">
                  <c:v>4276.7</c:v>
                </c:pt>
                <c:pt idx="14">
                  <c:v>3969.77</c:v>
                </c:pt>
                <c:pt idx="15">
                  <c:v>3747.48</c:v>
                </c:pt>
                <c:pt idx="16">
                  <c:v>3685.36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6426752"/>
        <c:axId val="216436736"/>
      </c:barChart>
      <c:lineChart>
        <c:grouping val="standard"/>
        <c:varyColors val="0"/>
        <c:ser>
          <c:idx val="2"/>
          <c:order val="2"/>
          <c:tx>
            <c:strRef>
              <c:f>'Sheet1 (2)'!$D$1</c:f>
              <c:strCache>
                <c:ptCount val="1"/>
                <c:pt idx="0">
                  <c:v>应发工资</c:v>
                </c:pt>
              </c:strCache>
            </c:strRef>
          </c:tx>
          <c:marker>
            <c:symbol val="none"/>
          </c:marker>
          <c:cat>
            <c:strRef>
              <c:f>'Sheet1 (2)'!$A$2:$A$18</c:f>
              <c:strCache>
                <c:ptCount val="17"/>
                <c:pt idx="0">
                  <c:v>金融业务中心</c:v>
                </c:pt>
                <c:pt idx="1">
                  <c:v>税控业务中心</c:v>
                </c:pt>
                <c:pt idx="2">
                  <c:v>临淄分公司</c:v>
                </c:pt>
                <c:pt idx="3">
                  <c:v>淄川分公司</c:v>
                </c:pt>
                <c:pt idx="4">
                  <c:v>桓台分公司</c:v>
                </c:pt>
                <c:pt idx="5">
                  <c:v>高青分公司</c:v>
                </c:pt>
                <c:pt idx="6">
                  <c:v>研发推广中心</c:v>
                </c:pt>
                <c:pt idx="7">
                  <c:v>沂源分公司</c:v>
                </c:pt>
                <c:pt idx="8">
                  <c:v>质量管理中心</c:v>
                </c:pt>
                <c:pt idx="9">
                  <c:v>博山分公司</c:v>
                </c:pt>
                <c:pt idx="10">
                  <c:v>周村分公司</c:v>
                </c:pt>
                <c:pt idx="11">
                  <c:v>行业客户中心</c:v>
                </c:pt>
                <c:pt idx="12">
                  <c:v>张店分公司</c:v>
                </c:pt>
                <c:pt idx="13">
                  <c:v>高新区分公司</c:v>
                </c:pt>
                <c:pt idx="14">
                  <c:v>运营支持中心</c:v>
                </c:pt>
                <c:pt idx="15">
                  <c:v>增值业务中心</c:v>
                </c:pt>
                <c:pt idx="16">
                  <c:v>用户服务中心</c:v>
                </c:pt>
              </c:strCache>
            </c:strRef>
          </c:cat>
          <c:val>
            <c:numRef>
              <c:f>'Sheet1 (2)'!$D$2:$D$18</c:f>
              <c:numCache>
                <c:formatCode>General</c:formatCode>
                <c:ptCount val="17"/>
                <c:pt idx="0">
                  <c:v>5997.68</c:v>
                </c:pt>
                <c:pt idx="1">
                  <c:v>5997.68</c:v>
                </c:pt>
                <c:pt idx="2">
                  <c:v>5997.68</c:v>
                </c:pt>
                <c:pt idx="3">
                  <c:v>5997.68</c:v>
                </c:pt>
                <c:pt idx="4">
                  <c:v>5997.68</c:v>
                </c:pt>
                <c:pt idx="5">
                  <c:v>5997.68</c:v>
                </c:pt>
                <c:pt idx="6">
                  <c:v>5997.68</c:v>
                </c:pt>
                <c:pt idx="7">
                  <c:v>5997.68</c:v>
                </c:pt>
                <c:pt idx="8">
                  <c:v>5997.68</c:v>
                </c:pt>
                <c:pt idx="9">
                  <c:v>5997.68</c:v>
                </c:pt>
                <c:pt idx="10">
                  <c:v>5997.68</c:v>
                </c:pt>
                <c:pt idx="11">
                  <c:v>5997.68</c:v>
                </c:pt>
                <c:pt idx="12">
                  <c:v>5997.68</c:v>
                </c:pt>
                <c:pt idx="13">
                  <c:v>5997.68</c:v>
                </c:pt>
                <c:pt idx="14">
                  <c:v>5997.68</c:v>
                </c:pt>
                <c:pt idx="15">
                  <c:v>5997.68</c:v>
                </c:pt>
                <c:pt idx="16">
                  <c:v>5997.68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'Sheet1 (2)'!$E$1</c:f>
              <c:strCache>
                <c:ptCount val="1"/>
                <c:pt idx="0">
                  <c:v>人均实发工资</c:v>
                </c:pt>
              </c:strCache>
            </c:strRef>
          </c:tx>
          <c:cat>
            <c:strRef>
              <c:f>'Sheet1 (2)'!$A$2:$A$18</c:f>
              <c:strCache>
                <c:ptCount val="17"/>
                <c:pt idx="0">
                  <c:v>金融业务中心</c:v>
                </c:pt>
                <c:pt idx="1">
                  <c:v>税控业务中心</c:v>
                </c:pt>
                <c:pt idx="2">
                  <c:v>临淄分公司</c:v>
                </c:pt>
                <c:pt idx="3">
                  <c:v>淄川分公司</c:v>
                </c:pt>
                <c:pt idx="4">
                  <c:v>桓台分公司</c:v>
                </c:pt>
                <c:pt idx="5">
                  <c:v>高青分公司</c:v>
                </c:pt>
                <c:pt idx="6">
                  <c:v>研发推广中心</c:v>
                </c:pt>
                <c:pt idx="7">
                  <c:v>沂源分公司</c:v>
                </c:pt>
                <c:pt idx="8">
                  <c:v>质量管理中心</c:v>
                </c:pt>
                <c:pt idx="9">
                  <c:v>博山分公司</c:v>
                </c:pt>
                <c:pt idx="10">
                  <c:v>周村分公司</c:v>
                </c:pt>
                <c:pt idx="11">
                  <c:v>行业客户中心</c:v>
                </c:pt>
                <c:pt idx="12">
                  <c:v>张店分公司</c:v>
                </c:pt>
                <c:pt idx="13">
                  <c:v>高新区分公司</c:v>
                </c:pt>
                <c:pt idx="14">
                  <c:v>运营支持中心</c:v>
                </c:pt>
                <c:pt idx="15">
                  <c:v>增值业务中心</c:v>
                </c:pt>
                <c:pt idx="16">
                  <c:v>用户服务中心</c:v>
                </c:pt>
              </c:strCache>
            </c:strRef>
          </c:cat>
          <c:val>
            <c:numRef>
              <c:f>'Sheet1 (2)'!$E$2:$E$18</c:f>
              <c:numCache>
                <c:formatCode>General</c:formatCode>
                <c:ptCount val="17"/>
                <c:pt idx="0">
                  <c:v>5276.63</c:v>
                </c:pt>
                <c:pt idx="1">
                  <c:v>5276.63</c:v>
                </c:pt>
                <c:pt idx="2">
                  <c:v>5276.63</c:v>
                </c:pt>
                <c:pt idx="3">
                  <c:v>5276.63</c:v>
                </c:pt>
                <c:pt idx="4">
                  <c:v>5276.63</c:v>
                </c:pt>
                <c:pt idx="5">
                  <c:v>5276.63</c:v>
                </c:pt>
                <c:pt idx="6">
                  <c:v>5276.63</c:v>
                </c:pt>
                <c:pt idx="7">
                  <c:v>5276.63</c:v>
                </c:pt>
                <c:pt idx="8">
                  <c:v>5276.63</c:v>
                </c:pt>
                <c:pt idx="9">
                  <c:v>5276.63</c:v>
                </c:pt>
                <c:pt idx="10">
                  <c:v>5276.63</c:v>
                </c:pt>
                <c:pt idx="11">
                  <c:v>5276.63</c:v>
                </c:pt>
                <c:pt idx="12">
                  <c:v>5276.63</c:v>
                </c:pt>
                <c:pt idx="13">
                  <c:v>5276.63</c:v>
                </c:pt>
                <c:pt idx="14">
                  <c:v>5276.63</c:v>
                </c:pt>
                <c:pt idx="15">
                  <c:v>5276.63</c:v>
                </c:pt>
                <c:pt idx="16">
                  <c:v>5276.63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6426752"/>
        <c:axId val="216436736"/>
      </c:lineChart>
      <c:catAx>
        <c:axId val="216426752"/>
        <c:scaling>
          <c:orientation val="minMax"/>
        </c:scaling>
        <c:delete val="0"/>
        <c:axPos val="b"/>
        <c:majorTickMark val="out"/>
        <c:minorTickMark val="none"/>
        <c:tickLblPos val="nextTo"/>
        <c:crossAx val="216436736"/>
        <c:crosses val="autoZero"/>
        <c:auto val="1"/>
        <c:lblAlgn val="ctr"/>
        <c:lblOffset val="100"/>
        <c:noMultiLvlLbl val="0"/>
      </c:catAx>
      <c:valAx>
        <c:axId val="216436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16426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064896755162242"/>
          <c:y val="0.2021016877534271"/>
          <c:w val="0.16519174041297935"/>
          <c:h val="0.6412039361952820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7315980406907731E-2"/>
          <c:y val="6.6086426696662912E-2"/>
          <c:w val="0.653266128358159"/>
          <c:h val="0.530064679415073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'Sheet1 (2)'!$J$3:$J$4</c:f>
              <c:strCache>
                <c:ptCount val="1"/>
                <c:pt idx="0">
                  <c:v>中心/分公司 月度人均应发工资</c:v>
                </c:pt>
              </c:strCache>
            </c:strRef>
          </c:tx>
          <c:invertIfNegative val="0"/>
          <c:cat>
            <c:strRef>
              <c:f>'Sheet1 (2)'!$I$5:$I$21</c:f>
              <c:strCache>
                <c:ptCount val="17"/>
                <c:pt idx="0">
                  <c:v>临淄分公司</c:v>
                </c:pt>
                <c:pt idx="1">
                  <c:v>行业客户中心</c:v>
                </c:pt>
                <c:pt idx="2">
                  <c:v>张店分公司</c:v>
                </c:pt>
                <c:pt idx="3">
                  <c:v>淄川分公司</c:v>
                </c:pt>
                <c:pt idx="4">
                  <c:v>金融业务中心</c:v>
                </c:pt>
                <c:pt idx="5">
                  <c:v>研发推广中心</c:v>
                </c:pt>
                <c:pt idx="6">
                  <c:v>桓台分公司</c:v>
                </c:pt>
                <c:pt idx="7">
                  <c:v>增值业务中心</c:v>
                </c:pt>
                <c:pt idx="8">
                  <c:v>高新区分公司</c:v>
                </c:pt>
                <c:pt idx="9">
                  <c:v>税控业务中心</c:v>
                </c:pt>
                <c:pt idx="10">
                  <c:v>周村分公司</c:v>
                </c:pt>
                <c:pt idx="11">
                  <c:v>沂源分公司</c:v>
                </c:pt>
                <c:pt idx="12">
                  <c:v>博山分公司</c:v>
                </c:pt>
                <c:pt idx="13">
                  <c:v>质量管理中心</c:v>
                </c:pt>
                <c:pt idx="14">
                  <c:v>用户服务中心</c:v>
                </c:pt>
                <c:pt idx="15">
                  <c:v>高青分公司</c:v>
                </c:pt>
                <c:pt idx="16">
                  <c:v>运营支持中心</c:v>
                </c:pt>
              </c:strCache>
            </c:strRef>
          </c:cat>
          <c:val>
            <c:numRef>
              <c:f>'Sheet1 (2)'!$J$5:$J$21</c:f>
              <c:numCache>
                <c:formatCode>General</c:formatCode>
                <c:ptCount val="17"/>
                <c:pt idx="0">
                  <c:v>13395.49</c:v>
                </c:pt>
                <c:pt idx="1">
                  <c:v>13197.12</c:v>
                </c:pt>
                <c:pt idx="2">
                  <c:v>12163.5</c:v>
                </c:pt>
                <c:pt idx="3">
                  <c:v>11863.49</c:v>
                </c:pt>
                <c:pt idx="4">
                  <c:v>10931.88</c:v>
                </c:pt>
                <c:pt idx="5">
                  <c:v>10799.68</c:v>
                </c:pt>
                <c:pt idx="6">
                  <c:v>10791.52</c:v>
                </c:pt>
                <c:pt idx="7">
                  <c:v>10784.3</c:v>
                </c:pt>
                <c:pt idx="8">
                  <c:v>10166.84</c:v>
                </c:pt>
                <c:pt idx="9">
                  <c:v>9527.2000000000007</c:v>
                </c:pt>
                <c:pt idx="10">
                  <c:v>9369</c:v>
                </c:pt>
                <c:pt idx="11">
                  <c:v>8943.0300000000007</c:v>
                </c:pt>
                <c:pt idx="12">
                  <c:v>8523.83</c:v>
                </c:pt>
                <c:pt idx="13">
                  <c:v>8447.24</c:v>
                </c:pt>
                <c:pt idx="14">
                  <c:v>8153.21</c:v>
                </c:pt>
                <c:pt idx="15">
                  <c:v>7605.58</c:v>
                </c:pt>
                <c:pt idx="16">
                  <c:v>6882.29</c:v>
                </c:pt>
              </c:numCache>
            </c:numRef>
          </c:val>
        </c:ser>
        <c:ser>
          <c:idx val="1"/>
          <c:order val="1"/>
          <c:tx>
            <c:strRef>
              <c:f>'Sheet1 (2)'!$K$3:$K$4</c:f>
              <c:strCache>
                <c:ptCount val="1"/>
                <c:pt idx="0">
                  <c:v>中心/分公司 月度人均实发工资</c:v>
                </c:pt>
              </c:strCache>
            </c:strRef>
          </c:tx>
          <c:invertIfNegative val="0"/>
          <c:cat>
            <c:strRef>
              <c:f>'Sheet1 (2)'!$I$5:$I$21</c:f>
              <c:strCache>
                <c:ptCount val="17"/>
                <c:pt idx="0">
                  <c:v>临淄分公司</c:v>
                </c:pt>
                <c:pt idx="1">
                  <c:v>行业客户中心</c:v>
                </c:pt>
                <c:pt idx="2">
                  <c:v>张店分公司</c:v>
                </c:pt>
                <c:pt idx="3">
                  <c:v>淄川分公司</c:v>
                </c:pt>
                <c:pt idx="4">
                  <c:v>金融业务中心</c:v>
                </c:pt>
                <c:pt idx="5">
                  <c:v>研发推广中心</c:v>
                </c:pt>
                <c:pt idx="6">
                  <c:v>桓台分公司</c:v>
                </c:pt>
                <c:pt idx="7">
                  <c:v>增值业务中心</c:v>
                </c:pt>
                <c:pt idx="8">
                  <c:v>高新区分公司</c:v>
                </c:pt>
                <c:pt idx="9">
                  <c:v>税控业务中心</c:v>
                </c:pt>
                <c:pt idx="10">
                  <c:v>周村分公司</c:v>
                </c:pt>
                <c:pt idx="11">
                  <c:v>沂源分公司</c:v>
                </c:pt>
                <c:pt idx="12">
                  <c:v>博山分公司</c:v>
                </c:pt>
                <c:pt idx="13">
                  <c:v>质量管理中心</c:v>
                </c:pt>
                <c:pt idx="14">
                  <c:v>用户服务中心</c:v>
                </c:pt>
                <c:pt idx="15">
                  <c:v>高青分公司</c:v>
                </c:pt>
                <c:pt idx="16">
                  <c:v>运营支持中心</c:v>
                </c:pt>
              </c:strCache>
            </c:strRef>
          </c:cat>
          <c:val>
            <c:numRef>
              <c:f>'Sheet1 (2)'!$K$5:$K$21</c:f>
              <c:numCache>
                <c:formatCode>General</c:formatCode>
                <c:ptCount val="17"/>
                <c:pt idx="0">
                  <c:v>11697.23</c:v>
                </c:pt>
                <c:pt idx="1">
                  <c:v>11634.19</c:v>
                </c:pt>
                <c:pt idx="2">
                  <c:v>10686.7</c:v>
                </c:pt>
                <c:pt idx="3">
                  <c:v>10388.219999999999</c:v>
                </c:pt>
                <c:pt idx="4">
                  <c:v>9427.3700000000008</c:v>
                </c:pt>
                <c:pt idx="5">
                  <c:v>9449.4500000000007</c:v>
                </c:pt>
                <c:pt idx="6">
                  <c:v>9605.67</c:v>
                </c:pt>
                <c:pt idx="7">
                  <c:v>9592.61</c:v>
                </c:pt>
                <c:pt idx="8">
                  <c:v>8969.86</c:v>
                </c:pt>
                <c:pt idx="9">
                  <c:v>8410.42</c:v>
                </c:pt>
                <c:pt idx="10">
                  <c:v>8524.02</c:v>
                </c:pt>
                <c:pt idx="11">
                  <c:v>7930.82</c:v>
                </c:pt>
                <c:pt idx="12">
                  <c:v>7661.19</c:v>
                </c:pt>
                <c:pt idx="13">
                  <c:v>7500.5</c:v>
                </c:pt>
                <c:pt idx="14">
                  <c:v>7220.74</c:v>
                </c:pt>
                <c:pt idx="15">
                  <c:v>6804.22</c:v>
                </c:pt>
                <c:pt idx="16">
                  <c:v>6203.46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6459520"/>
        <c:axId val="216473600"/>
      </c:barChart>
      <c:lineChart>
        <c:grouping val="standard"/>
        <c:varyColors val="0"/>
        <c:ser>
          <c:idx val="2"/>
          <c:order val="2"/>
          <c:tx>
            <c:strRef>
              <c:f>'Sheet1 (2)'!$L$3:$L$4</c:f>
              <c:strCache>
                <c:ptCount val="1"/>
                <c:pt idx="0">
                  <c:v>中心/分公司 薪酬占比</c:v>
                </c:pt>
              </c:strCache>
            </c:strRef>
          </c:tx>
          <c:marker>
            <c:symbol val="none"/>
          </c:marker>
          <c:cat>
            <c:strRef>
              <c:f>'Sheet1 (2)'!$I$5:$I$21</c:f>
              <c:strCache>
                <c:ptCount val="17"/>
                <c:pt idx="0">
                  <c:v>临淄分公司</c:v>
                </c:pt>
                <c:pt idx="1">
                  <c:v>行业客户中心</c:v>
                </c:pt>
                <c:pt idx="2">
                  <c:v>张店分公司</c:v>
                </c:pt>
                <c:pt idx="3">
                  <c:v>淄川分公司</c:v>
                </c:pt>
                <c:pt idx="4">
                  <c:v>金融业务中心</c:v>
                </c:pt>
                <c:pt idx="5">
                  <c:v>研发推广中心</c:v>
                </c:pt>
                <c:pt idx="6">
                  <c:v>桓台分公司</c:v>
                </c:pt>
                <c:pt idx="7">
                  <c:v>增值业务中心</c:v>
                </c:pt>
                <c:pt idx="8">
                  <c:v>高新区分公司</c:v>
                </c:pt>
                <c:pt idx="9">
                  <c:v>税控业务中心</c:v>
                </c:pt>
                <c:pt idx="10">
                  <c:v>周村分公司</c:v>
                </c:pt>
                <c:pt idx="11">
                  <c:v>沂源分公司</c:v>
                </c:pt>
                <c:pt idx="12">
                  <c:v>博山分公司</c:v>
                </c:pt>
                <c:pt idx="13">
                  <c:v>质量管理中心</c:v>
                </c:pt>
                <c:pt idx="14">
                  <c:v>用户服务中心</c:v>
                </c:pt>
                <c:pt idx="15">
                  <c:v>高青分公司</c:v>
                </c:pt>
                <c:pt idx="16">
                  <c:v>运营支持中心</c:v>
                </c:pt>
              </c:strCache>
            </c:strRef>
          </c:cat>
          <c:val>
            <c:numRef>
              <c:f>'Sheet1 (2)'!$L$5:$L$21</c:f>
              <c:numCache>
                <c:formatCode>0%</c:formatCode>
                <c:ptCount val="17"/>
                <c:pt idx="0">
                  <c:v>0.26</c:v>
                </c:pt>
                <c:pt idx="1">
                  <c:v>0.09</c:v>
                </c:pt>
                <c:pt idx="2">
                  <c:v>0.22</c:v>
                </c:pt>
                <c:pt idx="3">
                  <c:v>0.28999999999999998</c:v>
                </c:pt>
                <c:pt idx="4">
                  <c:v>0.63</c:v>
                </c:pt>
                <c:pt idx="5">
                  <c:v>0.19</c:v>
                </c:pt>
                <c:pt idx="6">
                  <c:v>0.36</c:v>
                </c:pt>
                <c:pt idx="7">
                  <c:v>0.43</c:v>
                </c:pt>
                <c:pt idx="8">
                  <c:v>0.31</c:v>
                </c:pt>
                <c:pt idx="9">
                  <c:v>0.22</c:v>
                </c:pt>
                <c:pt idx="10">
                  <c:v>0.33</c:v>
                </c:pt>
                <c:pt idx="11">
                  <c:v>0.38</c:v>
                </c:pt>
                <c:pt idx="12">
                  <c:v>0.24</c:v>
                </c:pt>
                <c:pt idx="13">
                  <c:v>0.7</c:v>
                </c:pt>
                <c:pt idx="14">
                  <c:v>0.21</c:v>
                </c:pt>
                <c:pt idx="15">
                  <c:v>0.64</c:v>
                </c:pt>
                <c:pt idx="16">
                  <c:v>0.11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6476672"/>
        <c:axId val="216475136"/>
      </c:lineChart>
      <c:catAx>
        <c:axId val="216459520"/>
        <c:scaling>
          <c:orientation val="minMax"/>
        </c:scaling>
        <c:delete val="0"/>
        <c:axPos val="b"/>
        <c:majorTickMark val="out"/>
        <c:minorTickMark val="none"/>
        <c:tickLblPos val="nextTo"/>
        <c:crossAx val="216473600"/>
        <c:crosses val="autoZero"/>
        <c:auto val="1"/>
        <c:lblAlgn val="ctr"/>
        <c:lblOffset val="100"/>
        <c:noMultiLvlLbl val="0"/>
      </c:catAx>
      <c:valAx>
        <c:axId val="216473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6459520"/>
        <c:crosses val="autoZero"/>
        <c:crossBetween val="between"/>
      </c:valAx>
      <c:valAx>
        <c:axId val="216475136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216476672"/>
        <c:crosses val="max"/>
        <c:crossBetween val="between"/>
      </c:valAx>
      <c:catAx>
        <c:axId val="216476672"/>
        <c:scaling>
          <c:orientation val="minMax"/>
        </c:scaling>
        <c:delete val="1"/>
        <c:axPos val="b"/>
        <c:majorTickMark val="out"/>
        <c:minorTickMark val="none"/>
        <c:tickLblPos val="nextTo"/>
        <c:crossAx val="216475136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81927813163481955"/>
          <c:y val="7.5900356205474334E-2"/>
          <c:w val="0.16798301486199577"/>
          <c:h val="0.8243897637795275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166028403752904E-2"/>
          <c:y val="6.9919072615923006E-2"/>
          <c:w val="0.65063316523636783"/>
          <c:h val="0.592828083989501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'Sheet1 (2)'!$U$3:$U$4</c:f>
              <c:strCache>
                <c:ptCount val="1"/>
                <c:pt idx="0">
                  <c:v>中心/分公司 月度人均应发工资</c:v>
                </c:pt>
              </c:strCache>
            </c:strRef>
          </c:tx>
          <c:invertIfNegative val="0"/>
          <c:cat>
            <c:strRef>
              <c:f>'Sheet1 (2)'!$T$5:$T$22</c:f>
              <c:strCache>
                <c:ptCount val="18"/>
                <c:pt idx="0">
                  <c:v>金融业务中心</c:v>
                </c:pt>
                <c:pt idx="1">
                  <c:v>研发推广中心</c:v>
                </c:pt>
                <c:pt idx="2">
                  <c:v>临淄分公司</c:v>
                </c:pt>
                <c:pt idx="3">
                  <c:v>淄川分公司</c:v>
                </c:pt>
                <c:pt idx="4">
                  <c:v>桓台分公司</c:v>
                </c:pt>
                <c:pt idx="5">
                  <c:v>博山分公司</c:v>
                </c:pt>
                <c:pt idx="6">
                  <c:v>行业客户中心</c:v>
                </c:pt>
                <c:pt idx="7">
                  <c:v>高青分公司</c:v>
                </c:pt>
                <c:pt idx="8">
                  <c:v>沂源分公司</c:v>
                </c:pt>
                <c:pt idx="9">
                  <c:v>税控业务中心</c:v>
                </c:pt>
                <c:pt idx="10">
                  <c:v>周村分公司</c:v>
                </c:pt>
                <c:pt idx="11">
                  <c:v>张店分公司</c:v>
                </c:pt>
                <c:pt idx="12">
                  <c:v>高新区分公司</c:v>
                </c:pt>
                <c:pt idx="13">
                  <c:v>用户服务中心</c:v>
                </c:pt>
                <c:pt idx="14">
                  <c:v>质量管理中心</c:v>
                </c:pt>
                <c:pt idx="15">
                  <c:v>运营支持中心</c:v>
                </c:pt>
                <c:pt idx="16">
                  <c:v>增值业务中心</c:v>
                </c:pt>
                <c:pt idx="17">
                  <c:v>公司平均</c:v>
                </c:pt>
              </c:strCache>
            </c:strRef>
          </c:cat>
          <c:val>
            <c:numRef>
              <c:f>'Sheet1 (2)'!$U$5:$U$22</c:f>
              <c:numCache>
                <c:formatCode>General</c:formatCode>
                <c:ptCount val="18"/>
                <c:pt idx="0">
                  <c:v>6541.13</c:v>
                </c:pt>
                <c:pt idx="1">
                  <c:v>5805.38</c:v>
                </c:pt>
                <c:pt idx="2">
                  <c:v>5796.81</c:v>
                </c:pt>
                <c:pt idx="3">
                  <c:v>5758.98</c:v>
                </c:pt>
                <c:pt idx="4">
                  <c:v>5433.68</c:v>
                </c:pt>
                <c:pt idx="5">
                  <c:v>5348.55</c:v>
                </c:pt>
                <c:pt idx="6">
                  <c:v>5338.05</c:v>
                </c:pt>
                <c:pt idx="7">
                  <c:v>5118.04</c:v>
                </c:pt>
                <c:pt idx="8">
                  <c:v>5106.07</c:v>
                </c:pt>
                <c:pt idx="9">
                  <c:v>4934.38</c:v>
                </c:pt>
                <c:pt idx="10">
                  <c:v>4811.97</c:v>
                </c:pt>
                <c:pt idx="11">
                  <c:v>4530.16</c:v>
                </c:pt>
                <c:pt idx="12">
                  <c:v>4013.38</c:v>
                </c:pt>
                <c:pt idx="13">
                  <c:v>3773.11</c:v>
                </c:pt>
                <c:pt idx="14">
                  <c:v>3626.72</c:v>
                </c:pt>
                <c:pt idx="15">
                  <c:v>3466.52</c:v>
                </c:pt>
                <c:pt idx="16">
                  <c:v>3153.36</c:v>
                </c:pt>
                <c:pt idx="17">
                  <c:v>4856.25</c:v>
                </c:pt>
              </c:numCache>
            </c:numRef>
          </c:val>
        </c:ser>
        <c:ser>
          <c:idx val="1"/>
          <c:order val="1"/>
          <c:tx>
            <c:strRef>
              <c:f>'Sheet1 (2)'!$V$3:$V$4</c:f>
              <c:strCache>
                <c:ptCount val="1"/>
                <c:pt idx="0">
                  <c:v>中心/分公司 月度人均实发工资</c:v>
                </c:pt>
              </c:strCache>
            </c:strRef>
          </c:tx>
          <c:invertIfNegative val="0"/>
          <c:cat>
            <c:strRef>
              <c:f>'Sheet1 (2)'!$T$5:$T$22</c:f>
              <c:strCache>
                <c:ptCount val="18"/>
                <c:pt idx="0">
                  <c:v>金融业务中心</c:v>
                </c:pt>
                <c:pt idx="1">
                  <c:v>研发推广中心</c:v>
                </c:pt>
                <c:pt idx="2">
                  <c:v>临淄分公司</c:v>
                </c:pt>
                <c:pt idx="3">
                  <c:v>淄川分公司</c:v>
                </c:pt>
                <c:pt idx="4">
                  <c:v>桓台分公司</c:v>
                </c:pt>
                <c:pt idx="5">
                  <c:v>博山分公司</c:v>
                </c:pt>
                <c:pt idx="6">
                  <c:v>行业客户中心</c:v>
                </c:pt>
                <c:pt idx="7">
                  <c:v>高青分公司</c:v>
                </c:pt>
                <c:pt idx="8">
                  <c:v>沂源分公司</c:v>
                </c:pt>
                <c:pt idx="9">
                  <c:v>税控业务中心</c:v>
                </c:pt>
                <c:pt idx="10">
                  <c:v>周村分公司</c:v>
                </c:pt>
                <c:pt idx="11">
                  <c:v>张店分公司</c:v>
                </c:pt>
                <c:pt idx="12">
                  <c:v>高新区分公司</c:v>
                </c:pt>
                <c:pt idx="13">
                  <c:v>用户服务中心</c:v>
                </c:pt>
                <c:pt idx="14">
                  <c:v>质量管理中心</c:v>
                </c:pt>
                <c:pt idx="15">
                  <c:v>运营支持中心</c:v>
                </c:pt>
                <c:pt idx="16">
                  <c:v>增值业务中心</c:v>
                </c:pt>
                <c:pt idx="17">
                  <c:v>公司平均</c:v>
                </c:pt>
              </c:strCache>
            </c:strRef>
          </c:cat>
          <c:val>
            <c:numRef>
              <c:f>'Sheet1 (2)'!$V$5:$V$22</c:f>
              <c:numCache>
                <c:formatCode>General</c:formatCode>
                <c:ptCount val="18"/>
                <c:pt idx="0">
                  <c:v>5837.37</c:v>
                </c:pt>
                <c:pt idx="1">
                  <c:v>5229.45</c:v>
                </c:pt>
                <c:pt idx="2">
                  <c:v>5181.2</c:v>
                </c:pt>
                <c:pt idx="3">
                  <c:v>5127.54</c:v>
                </c:pt>
                <c:pt idx="4">
                  <c:v>5456.09</c:v>
                </c:pt>
                <c:pt idx="5">
                  <c:v>4813.54</c:v>
                </c:pt>
                <c:pt idx="6">
                  <c:v>4692.01</c:v>
                </c:pt>
                <c:pt idx="7">
                  <c:v>4601.22</c:v>
                </c:pt>
                <c:pt idx="8">
                  <c:v>4591.43</c:v>
                </c:pt>
                <c:pt idx="9">
                  <c:v>4360.51</c:v>
                </c:pt>
                <c:pt idx="10">
                  <c:v>4324.82</c:v>
                </c:pt>
                <c:pt idx="11">
                  <c:v>4168.2299999999996</c:v>
                </c:pt>
                <c:pt idx="12">
                  <c:v>3460.5</c:v>
                </c:pt>
                <c:pt idx="13">
                  <c:v>3287.51</c:v>
                </c:pt>
                <c:pt idx="14">
                  <c:v>3163.47</c:v>
                </c:pt>
                <c:pt idx="15">
                  <c:v>3063.73</c:v>
                </c:pt>
                <c:pt idx="16">
                  <c:v>2829.59</c:v>
                </c:pt>
                <c:pt idx="17">
                  <c:v>4364.01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6520192"/>
        <c:axId val="216521728"/>
      </c:barChart>
      <c:lineChart>
        <c:grouping val="standard"/>
        <c:varyColors val="0"/>
        <c:ser>
          <c:idx val="2"/>
          <c:order val="2"/>
          <c:tx>
            <c:strRef>
              <c:f>'Sheet1 (2)'!$W$3:$W$4</c:f>
              <c:strCache>
                <c:ptCount val="1"/>
                <c:pt idx="0">
                  <c:v>中心/分公司 提成占比</c:v>
                </c:pt>
              </c:strCache>
            </c:strRef>
          </c:tx>
          <c:marker>
            <c:symbol val="none"/>
          </c:marker>
          <c:cat>
            <c:strRef>
              <c:f>'Sheet1 (2)'!$T$5:$T$22</c:f>
              <c:strCache>
                <c:ptCount val="18"/>
                <c:pt idx="0">
                  <c:v>金融业务中心</c:v>
                </c:pt>
                <c:pt idx="1">
                  <c:v>研发推广中心</c:v>
                </c:pt>
                <c:pt idx="2">
                  <c:v>临淄分公司</c:v>
                </c:pt>
                <c:pt idx="3">
                  <c:v>淄川分公司</c:v>
                </c:pt>
                <c:pt idx="4">
                  <c:v>桓台分公司</c:v>
                </c:pt>
                <c:pt idx="5">
                  <c:v>博山分公司</c:v>
                </c:pt>
                <c:pt idx="6">
                  <c:v>行业客户中心</c:v>
                </c:pt>
                <c:pt idx="7">
                  <c:v>高青分公司</c:v>
                </c:pt>
                <c:pt idx="8">
                  <c:v>沂源分公司</c:v>
                </c:pt>
                <c:pt idx="9">
                  <c:v>税控业务中心</c:v>
                </c:pt>
                <c:pt idx="10">
                  <c:v>周村分公司</c:v>
                </c:pt>
                <c:pt idx="11">
                  <c:v>张店分公司</c:v>
                </c:pt>
                <c:pt idx="12">
                  <c:v>高新区分公司</c:v>
                </c:pt>
                <c:pt idx="13">
                  <c:v>用户服务中心</c:v>
                </c:pt>
                <c:pt idx="14">
                  <c:v>质量管理中心</c:v>
                </c:pt>
                <c:pt idx="15">
                  <c:v>运营支持中心</c:v>
                </c:pt>
                <c:pt idx="16">
                  <c:v>增值业务中心</c:v>
                </c:pt>
                <c:pt idx="17">
                  <c:v>公司平均</c:v>
                </c:pt>
              </c:strCache>
            </c:strRef>
          </c:cat>
          <c:val>
            <c:numRef>
              <c:f>'Sheet1 (2)'!$W$5:$W$22</c:f>
              <c:numCache>
                <c:formatCode>0%</c:formatCode>
                <c:ptCount val="18"/>
                <c:pt idx="0">
                  <c:v>0.39</c:v>
                </c:pt>
                <c:pt idx="1">
                  <c:v>0.15</c:v>
                </c:pt>
                <c:pt idx="2">
                  <c:v>0.59</c:v>
                </c:pt>
                <c:pt idx="3">
                  <c:v>0.47</c:v>
                </c:pt>
                <c:pt idx="4">
                  <c:v>0.45</c:v>
                </c:pt>
                <c:pt idx="5">
                  <c:v>0.52</c:v>
                </c:pt>
                <c:pt idx="6">
                  <c:v>0.25</c:v>
                </c:pt>
                <c:pt idx="7">
                  <c:v>0.45</c:v>
                </c:pt>
                <c:pt idx="8">
                  <c:v>0.36</c:v>
                </c:pt>
                <c:pt idx="9">
                  <c:v>0.08</c:v>
                </c:pt>
                <c:pt idx="10">
                  <c:v>0.5</c:v>
                </c:pt>
                <c:pt idx="11">
                  <c:v>0.36</c:v>
                </c:pt>
                <c:pt idx="12">
                  <c:v>0.31</c:v>
                </c:pt>
                <c:pt idx="13">
                  <c:v>0.28000000000000003</c:v>
                </c:pt>
                <c:pt idx="14">
                  <c:v>0</c:v>
                </c:pt>
                <c:pt idx="15">
                  <c:v>0.06</c:v>
                </c:pt>
                <c:pt idx="16">
                  <c:v>0.19</c:v>
                </c:pt>
                <c:pt idx="17">
                  <c:v>0.32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7450752"/>
        <c:axId val="217449216"/>
      </c:lineChart>
      <c:catAx>
        <c:axId val="216520192"/>
        <c:scaling>
          <c:orientation val="minMax"/>
        </c:scaling>
        <c:delete val="0"/>
        <c:axPos val="b"/>
        <c:majorTickMark val="out"/>
        <c:minorTickMark val="none"/>
        <c:tickLblPos val="nextTo"/>
        <c:crossAx val="216521728"/>
        <c:crosses val="autoZero"/>
        <c:auto val="1"/>
        <c:lblAlgn val="ctr"/>
        <c:lblOffset val="100"/>
        <c:noMultiLvlLbl val="0"/>
      </c:catAx>
      <c:valAx>
        <c:axId val="216521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6520192"/>
        <c:crosses val="autoZero"/>
        <c:crossBetween val="between"/>
      </c:valAx>
      <c:valAx>
        <c:axId val="217449216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217450752"/>
        <c:crosses val="max"/>
        <c:crossBetween val="between"/>
      </c:valAx>
      <c:catAx>
        <c:axId val="217450752"/>
        <c:scaling>
          <c:orientation val="minMax"/>
        </c:scaling>
        <c:delete val="1"/>
        <c:axPos val="b"/>
        <c:majorTickMark val="out"/>
        <c:minorTickMark val="none"/>
        <c:tickLblPos val="nextTo"/>
        <c:crossAx val="217449216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80712680577849116"/>
          <c:y val="7.7552128900554101E-2"/>
          <c:w val="0.18003210272873194"/>
          <c:h val="0.7800809273840769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5</Pages>
  <Words>444</Words>
  <Characters>2531</Characters>
  <Application>Microsoft Office Word</Application>
  <DocSecurity>0</DocSecurity>
  <Lines>21</Lines>
  <Paragraphs>5</Paragraphs>
  <ScaleCrop>false</ScaleCrop>
  <Company>Microsoft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123</cp:revision>
  <dcterms:created xsi:type="dcterms:W3CDTF">2017-01-04T08:35:00Z</dcterms:created>
  <dcterms:modified xsi:type="dcterms:W3CDTF">2018-01-06T01:05:00Z</dcterms:modified>
</cp:coreProperties>
</file>