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after="313" w:afterLines="100" w:line="480" w:lineRule="atLeast"/>
        <w:jc w:val="center"/>
        <w:textAlignment w:val="auto"/>
        <w:rPr>
          <w:rFonts w:hint="eastAsia" w:ascii="楷体" w:hAnsi="楷体" w:eastAsia="楷体" w:cs="楷体"/>
          <w:b/>
          <w:bCs/>
          <w:sz w:val="36"/>
          <w:szCs w:val="28"/>
          <w:highlight w:val="yellow"/>
          <w:u w:val="none"/>
        </w:rPr>
      </w:pPr>
      <w:bookmarkStart w:id="0" w:name="_GoBack"/>
      <w:bookmarkEnd w:id="0"/>
      <w:r>
        <w:rPr>
          <w:rFonts w:hint="eastAsia" w:ascii="SimHei" w:hAnsi="SimHei" w:eastAsia="黑体" w:cs="楷体"/>
          <w:b/>
          <w:bCs/>
          <w:sz w:val="36"/>
          <w:szCs w:val="28"/>
          <w:highlight w:val="yellow"/>
          <w:u w:val="none"/>
        </w:rPr>
        <w:t>高层人员薪酬激励管理制度</w:t>
      </w:r>
    </w:p>
    <w:p>
      <w:pPr>
        <w:pStyle w:val="8"/>
        <w:snapToGrid w:val="0"/>
        <w:spacing w:line="520" w:lineRule="exact"/>
        <w:jc w:val="center"/>
        <w:rPr>
          <w:rFonts w:hint="eastAsia" w:ascii="楷体" w:hAnsi="楷体" w:eastAsia="楷体" w:cs="楷体"/>
          <w:b/>
          <w:sz w:val="28"/>
          <w:szCs w:val="28"/>
        </w:rPr>
      </w:pPr>
      <w:r>
        <w:rPr>
          <w:rFonts w:hint="eastAsia" w:ascii="SimHei" w:hAnsi="SimHei" w:eastAsia="黑体" w:cs="楷体"/>
          <w:b/>
          <w:sz w:val="28"/>
          <w:szCs w:val="28"/>
        </w:rPr>
        <w:t>一    总 则</w:t>
      </w:r>
    </w:p>
    <w:p>
      <w:pPr>
        <w:pStyle w:val="8"/>
        <w:snapToGrid w:val="0"/>
        <w:spacing w:line="520" w:lineRule="exact"/>
        <w:rPr>
          <w:rFonts w:hint="eastAsia" w:ascii="楷体" w:hAnsi="楷体" w:eastAsia="楷体" w:cs="楷体"/>
          <w:b/>
          <w:szCs w:val="24"/>
        </w:rPr>
      </w:pPr>
      <w:r>
        <w:rPr>
          <w:rFonts w:hint="eastAsia" w:ascii="SimHei" w:hAnsi="SimHei" w:eastAsia="黑体" w:cs="楷体"/>
          <w:b/>
          <w:szCs w:val="24"/>
        </w:rPr>
        <w:t>第一条 目的</w:t>
      </w:r>
    </w:p>
    <w:p>
      <w:pPr>
        <w:pStyle w:val="2"/>
        <w:spacing w:line="520" w:lineRule="exact"/>
        <w:ind w:left="0" w:leftChars="0" w:firstLine="480" w:firstLineChars="200"/>
        <w:rPr>
          <w:rFonts w:hint="eastAsia" w:ascii="楷体" w:hAnsi="楷体" w:eastAsia="楷体" w:cs="楷体"/>
        </w:rPr>
      </w:pPr>
      <w:r>
        <w:rPr>
          <w:rFonts w:hint="eastAsia" w:ascii="SimHei" w:hAnsi="SimHei" w:eastAsia="黑体" w:cs="楷体"/>
          <w:color w:val="FF0000"/>
        </w:rPr>
        <w:t>为建立符合现代企业制度要求的激励机制</w:t>
      </w:r>
      <w:r>
        <w:rPr>
          <w:rFonts w:hint="eastAsia" w:ascii="SimHei" w:hAnsi="SimHei" w:eastAsia="黑体" w:cs="楷体"/>
        </w:rPr>
        <w:t>，合理确定高层人员收入水平，充分调动高层人员的积极性和创造性，提高企业经营管理水平，促进企业经济效益的增长，特制定本管理规定。</w:t>
      </w:r>
    </w:p>
    <w:p>
      <w:pPr>
        <w:pStyle w:val="2"/>
        <w:spacing w:line="520" w:lineRule="exact"/>
        <w:ind w:left="0" w:leftChars="0"/>
        <w:rPr>
          <w:rFonts w:hint="eastAsia" w:ascii="楷体" w:hAnsi="楷体" w:eastAsia="楷体" w:cs="楷体"/>
          <w:b/>
        </w:rPr>
      </w:pPr>
      <w:r>
        <w:rPr>
          <w:rFonts w:hint="eastAsia" w:ascii="SimHei" w:hAnsi="SimHei" w:eastAsia="黑体" w:cs="楷体"/>
          <w:b/>
          <w:bCs/>
          <w:color w:val="000000"/>
        </w:rPr>
        <w:t>第二条 适用范围</w:t>
      </w:r>
    </w:p>
    <w:p>
      <w:pPr>
        <w:pStyle w:val="2"/>
        <w:spacing w:line="520" w:lineRule="exact"/>
        <w:ind w:left="0" w:leftChars="0" w:firstLine="480" w:firstLineChars="200"/>
        <w:rPr>
          <w:rFonts w:hint="eastAsia" w:ascii="楷体" w:hAnsi="楷体" w:eastAsia="楷体" w:cs="楷体"/>
          <w:color w:val="FF0000"/>
        </w:rPr>
      </w:pPr>
      <w:r>
        <w:rPr>
          <w:rFonts w:hint="eastAsia" w:ascii="SimHei" w:hAnsi="SimHei" w:eastAsia="黑体" w:cs="楷体"/>
          <w:color w:val="FF0000"/>
        </w:rPr>
        <w:t>本管理规定适用于总经理、执行总经理、总经理助理、各部门总监、副总监等的薪酬激励。</w:t>
      </w:r>
    </w:p>
    <w:p>
      <w:pPr>
        <w:pStyle w:val="2"/>
        <w:spacing w:line="520" w:lineRule="exact"/>
        <w:ind w:left="0" w:leftChars="0"/>
        <w:rPr>
          <w:rFonts w:hint="eastAsia" w:ascii="楷体" w:hAnsi="楷体" w:eastAsia="楷体" w:cs="楷体"/>
          <w:b/>
          <w:color w:val="000000"/>
        </w:rPr>
      </w:pPr>
      <w:r>
        <w:rPr>
          <w:rFonts w:hint="eastAsia" w:ascii="SimHei" w:hAnsi="SimHei" w:eastAsia="黑体" w:cs="楷体"/>
          <w:b/>
          <w:color w:val="000000"/>
        </w:rPr>
        <w:t>第三条 定义</w:t>
      </w:r>
    </w:p>
    <w:p>
      <w:pPr>
        <w:adjustRightInd w:val="0"/>
        <w:snapToGrid w:val="0"/>
        <w:spacing w:line="520" w:lineRule="exact"/>
        <w:ind w:firstLine="480" w:firstLineChars="200"/>
        <w:rPr>
          <w:rFonts w:hint="eastAsia" w:ascii="楷体" w:hAnsi="楷体" w:eastAsia="楷体" w:cs="楷体"/>
          <w:kern w:val="0"/>
          <w:sz w:val="24"/>
        </w:rPr>
      </w:pPr>
      <w:r>
        <w:rPr>
          <w:rFonts w:hint="eastAsia" w:ascii="SimHei" w:hAnsi="SimHei" w:eastAsia="黑体" w:cs="楷体"/>
          <w:kern w:val="0"/>
          <w:sz w:val="24"/>
        </w:rPr>
        <w:t>1、高层人员薪酬激励是根据企业规模和经营业绩，在一定工作周期内，支付给高层人员收入的一种分配方式；</w:t>
      </w:r>
    </w:p>
    <w:p>
      <w:pPr>
        <w:numPr>
          <w:ilvl w:val="0"/>
          <w:numId w:val="1"/>
        </w:numPr>
        <w:adjustRightInd w:val="0"/>
        <w:snapToGrid w:val="0"/>
        <w:spacing w:line="520" w:lineRule="exact"/>
        <w:rPr>
          <w:rFonts w:hint="eastAsia" w:ascii="楷体" w:hAnsi="楷体" w:eastAsia="楷体" w:cs="楷体"/>
          <w:kern w:val="0"/>
          <w:sz w:val="24"/>
        </w:rPr>
      </w:pPr>
      <w:r>
        <w:rPr>
          <w:rFonts w:hint="eastAsia" w:ascii="SimHei" w:hAnsi="SimHei" w:eastAsia="黑体" w:cs="楷体"/>
          <w:kern w:val="0"/>
          <w:sz w:val="24"/>
        </w:rPr>
        <w:t>高层人员薪酬激励包括：</w:t>
      </w:r>
      <w:r>
        <w:rPr>
          <w:rFonts w:hint="eastAsia" w:ascii="SimHei" w:hAnsi="SimHei" w:eastAsia="黑体" w:cs="楷体"/>
          <w:color w:val="FF6600"/>
          <w:sz w:val="24"/>
        </w:rPr>
        <w:t>基本薪酬、绩效薪酬（</w:t>
      </w:r>
      <w:r>
        <w:rPr>
          <w:rFonts w:hint="eastAsia" w:ascii="SimHei" w:hAnsi="SimHei" w:eastAsia="黑体" w:cs="楷体"/>
          <w:kern w:val="0"/>
          <w:sz w:val="24"/>
        </w:rPr>
        <w:t>股权激励、利润完成留存后分红</w:t>
      </w:r>
      <w:r>
        <w:rPr>
          <w:rFonts w:hint="eastAsia" w:ascii="SimHei" w:hAnsi="SimHei" w:eastAsia="黑体" w:cs="楷体"/>
          <w:color w:val="FF6600"/>
          <w:sz w:val="24"/>
        </w:rPr>
        <w:t>）</w:t>
      </w:r>
      <w:r>
        <w:rPr>
          <w:rFonts w:hint="eastAsia" w:ascii="SimHei" w:hAnsi="SimHei" w:eastAsia="黑体" w:cs="楷体"/>
          <w:kern w:val="0"/>
          <w:sz w:val="24"/>
        </w:rPr>
        <w:t>。</w:t>
      </w:r>
    </w:p>
    <w:p>
      <w:pPr>
        <w:adjustRightInd w:val="0"/>
        <w:snapToGrid w:val="0"/>
        <w:spacing w:line="520" w:lineRule="exact"/>
        <w:rPr>
          <w:rFonts w:hint="eastAsia" w:ascii="楷体" w:hAnsi="楷体" w:eastAsia="楷体" w:cs="楷体"/>
          <w:b/>
          <w:sz w:val="24"/>
        </w:rPr>
      </w:pPr>
      <w:r>
        <w:rPr>
          <w:rFonts w:hint="eastAsia" w:ascii="SimHei" w:hAnsi="SimHei" w:eastAsia="黑体" w:cs="楷体"/>
          <w:b/>
          <w:sz w:val="24"/>
        </w:rPr>
        <w:t>第三条 分配原则</w:t>
      </w:r>
    </w:p>
    <w:p>
      <w:pPr>
        <w:numPr>
          <w:ilvl w:val="0"/>
          <w:numId w:val="2"/>
        </w:numPr>
        <w:adjustRightInd w:val="0"/>
        <w:snapToGrid w:val="0"/>
        <w:spacing w:line="520" w:lineRule="exact"/>
        <w:rPr>
          <w:rFonts w:hint="eastAsia" w:ascii="楷体" w:hAnsi="楷体" w:eastAsia="楷体" w:cs="楷体"/>
          <w:kern w:val="0"/>
          <w:sz w:val="24"/>
        </w:rPr>
      </w:pPr>
      <w:r>
        <w:rPr>
          <w:rFonts w:hint="eastAsia" w:ascii="SimHei" w:hAnsi="SimHei" w:eastAsia="黑体" w:cs="楷体"/>
          <w:kern w:val="0"/>
          <w:sz w:val="24"/>
        </w:rPr>
        <w:t>责任、权力、贡献、利益相一致的原则。</w:t>
      </w:r>
    </w:p>
    <w:p>
      <w:pPr>
        <w:adjustRightInd w:val="0"/>
        <w:snapToGrid w:val="0"/>
        <w:spacing w:line="520" w:lineRule="exact"/>
        <w:rPr>
          <w:rFonts w:hint="eastAsia" w:ascii="楷体" w:hAnsi="楷体" w:eastAsia="楷体" w:cs="楷体"/>
          <w:kern w:val="0"/>
          <w:sz w:val="24"/>
        </w:rPr>
      </w:pPr>
      <w:r>
        <w:rPr>
          <w:rFonts w:hint="eastAsia" w:ascii="SimHei" w:hAnsi="SimHei" w:eastAsia="黑体" w:cs="楷体"/>
          <w:kern w:val="0"/>
          <w:sz w:val="24"/>
        </w:rPr>
        <w:t>（二）利益共享、风险共担的原则。</w:t>
      </w:r>
    </w:p>
    <w:p>
      <w:pPr>
        <w:adjustRightInd w:val="0"/>
        <w:snapToGrid w:val="0"/>
        <w:spacing w:line="520" w:lineRule="exact"/>
        <w:ind w:left="720" w:hanging="720" w:hangingChars="300"/>
        <w:rPr>
          <w:rFonts w:hint="eastAsia" w:ascii="楷体" w:hAnsi="楷体" w:eastAsia="楷体" w:cs="楷体"/>
          <w:kern w:val="0"/>
          <w:sz w:val="24"/>
        </w:rPr>
      </w:pPr>
      <w:r>
        <w:rPr>
          <w:rFonts w:hint="eastAsia" w:ascii="SimHei" w:hAnsi="SimHei" w:eastAsia="黑体" w:cs="楷体"/>
          <w:kern w:val="0"/>
          <w:sz w:val="24"/>
        </w:rPr>
        <w:t>（三）市场薪酬水平、企业的薪酬策略相互兼顾的原则。</w:t>
      </w:r>
    </w:p>
    <w:p>
      <w:pPr>
        <w:adjustRightInd w:val="0"/>
        <w:snapToGrid w:val="0"/>
        <w:spacing w:line="520" w:lineRule="exact"/>
        <w:rPr>
          <w:rFonts w:hint="eastAsia" w:ascii="楷体" w:hAnsi="楷体" w:eastAsia="楷体" w:cs="楷体"/>
          <w:kern w:val="0"/>
          <w:sz w:val="24"/>
        </w:rPr>
      </w:pPr>
      <w:r>
        <w:rPr>
          <w:rFonts w:hint="eastAsia" w:ascii="SimHei" w:hAnsi="SimHei" w:eastAsia="黑体" w:cs="楷体"/>
          <w:kern w:val="0"/>
          <w:sz w:val="24"/>
        </w:rPr>
        <w:t>（四）先考核、审计，后予以兑现的原则。</w:t>
      </w:r>
    </w:p>
    <w:p>
      <w:pPr>
        <w:adjustRightInd w:val="0"/>
        <w:snapToGrid w:val="0"/>
        <w:spacing w:line="520" w:lineRule="exact"/>
        <w:rPr>
          <w:rFonts w:hint="eastAsia" w:ascii="楷体" w:hAnsi="楷体" w:eastAsia="楷体" w:cs="楷体"/>
          <w:b/>
          <w:bCs/>
          <w:sz w:val="24"/>
        </w:rPr>
      </w:pPr>
      <w:r>
        <w:rPr>
          <w:rFonts w:hint="eastAsia" w:ascii="SimHei" w:hAnsi="SimHei" w:eastAsia="黑体" w:cs="楷体"/>
          <w:b/>
          <w:bCs/>
          <w:sz w:val="24"/>
        </w:rPr>
        <w:t>第四条 职责：</w:t>
      </w:r>
    </w:p>
    <w:p>
      <w:pPr>
        <w:adjustRightInd w:val="0"/>
        <w:snapToGrid w:val="0"/>
        <w:spacing w:line="520" w:lineRule="exact"/>
        <w:rPr>
          <w:rFonts w:hint="eastAsia" w:ascii="楷体" w:hAnsi="楷体" w:eastAsia="楷体" w:cs="楷体"/>
          <w:b/>
          <w:bCs/>
          <w:sz w:val="24"/>
        </w:rPr>
      </w:pPr>
      <w:r>
        <w:rPr>
          <w:rFonts w:hint="eastAsia" w:ascii="SimHei" w:hAnsi="SimHei" w:eastAsia="黑体" w:cs="楷体"/>
          <w:sz w:val="24"/>
        </w:rPr>
        <w:t>（一）财务管理中心负责公司薪酬的发放；</w:t>
      </w:r>
    </w:p>
    <w:p>
      <w:pPr>
        <w:adjustRightInd w:val="0"/>
        <w:snapToGrid w:val="0"/>
        <w:spacing w:line="520" w:lineRule="exact"/>
        <w:rPr>
          <w:rFonts w:hint="eastAsia" w:ascii="楷体" w:hAnsi="楷体" w:eastAsia="楷体" w:cs="楷体"/>
          <w:sz w:val="24"/>
        </w:rPr>
      </w:pPr>
      <w:r>
        <w:rPr>
          <w:rFonts w:hint="eastAsia" w:ascii="SimHei" w:hAnsi="SimHei" w:eastAsia="黑体" w:cs="楷体"/>
          <w:sz w:val="24"/>
        </w:rPr>
        <w:t>（二）综合管理中心或行政部负责薪酬激励管理办法的制订并监督执行；</w:t>
      </w:r>
    </w:p>
    <w:p>
      <w:pPr>
        <w:adjustRightInd w:val="0"/>
        <w:snapToGrid w:val="0"/>
        <w:spacing w:line="520" w:lineRule="exact"/>
        <w:ind w:left="720" w:hanging="720" w:hangingChars="300"/>
        <w:rPr>
          <w:rFonts w:hint="eastAsia" w:ascii="楷体" w:hAnsi="楷体" w:eastAsia="楷体" w:cs="楷体"/>
          <w:sz w:val="24"/>
        </w:rPr>
      </w:pPr>
      <w:r>
        <w:rPr>
          <w:rFonts w:hint="eastAsia" w:ascii="SimHei" w:hAnsi="SimHei" w:eastAsia="黑体" w:cs="楷体"/>
          <w:sz w:val="24"/>
        </w:rPr>
        <w:t>（三）综合管理中心或行政部负责组织对高层人员进行考核</w:t>
      </w:r>
    </w:p>
    <w:p>
      <w:pPr>
        <w:adjustRightInd w:val="0"/>
        <w:snapToGrid w:val="0"/>
        <w:spacing w:line="520" w:lineRule="exact"/>
        <w:ind w:left="720" w:hanging="720" w:hangingChars="300"/>
        <w:rPr>
          <w:rFonts w:hint="eastAsia" w:ascii="楷体" w:hAnsi="楷体" w:eastAsia="楷体" w:cs="楷体"/>
          <w:sz w:val="24"/>
        </w:rPr>
      </w:pPr>
      <w:r>
        <w:rPr>
          <w:rFonts w:hint="eastAsia" w:ascii="SimHei" w:hAnsi="SimHei" w:eastAsia="黑体" w:cs="楷体"/>
          <w:sz w:val="24"/>
        </w:rPr>
        <w:t>（四）综合管理中心或行政部负责核算各高层人员的薪酬基数；</w:t>
      </w:r>
    </w:p>
    <w:p>
      <w:pPr>
        <w:adjustRightInd w:val="0"/>
        <w:snapToGrid w:val="0"/>
        <w:spacing w:line="520" w:lineRule="exact"/>
        <w:rPr>
          <w:rFonts w:hint="eastAsia" w:ascii="楷体" w:hAnsi="楷体" w:eastAsia="楷体" w:cs="楷体"/>
          <w:sz w:val="24"/>
        </w:rPr>
      </w:pPr>
      <w:r>
        <w:rPr>
          <w:rFonts w:hint="eastAsia" w:ascii="SimHei" w:hAnsi="SimHei" w:eastAsia="黑体" w:cs="楷体"/>
          <w:sz w:val="24"/>
        </w:rPr>
        <w:t>（五）董事会负责高层人员薪酬激励管理办法及薪酬发放的批准。</w:t>
      </w:r>
    </w:p>
    <w:p>
      <w:pPr>
        <w:autoSpaceDE w:val="0"/>
        <w:autoSpaceDN w:val="0"/>
        <w:adjustRightInd w:val="0"/>
        <w:snapToGrid w:val="0"/>
        <w:spacing w:line="520" w:lineRule="exact"/>
        <w:ind w:left="720" w:hanging="720"/>
        <w:rPr>
          <w:rFonts w:hint="eastAsia" w:ascii="楷体" w:hAnsi="楷体" w:eastAsia="楷体" w:cs="楷体"/>
          <w:b/>
          <w:bCs/>
          <w:sz w:val="24"/>
        </w:rPr>
      </w:pPr>
    </w:p>
    <w:p>
      <w:pPr>
        <w:pStyle w:val="8"/>
        <w:snapToGrid w:val="0"/>
        <w:spacing w:line="520" w:lineRule="exact"/>
        <w:ind w:left="0" w:leftChars="0" w:firstLine="0" w:firstLineChars="0"/>
        <w:jc w:val="center"/>
        <w:rPr>
          <w:rFonts w:hint="eastAsia" w:ascii="楷体" w:hAnsi="楷体" w:eastAsia="楷体" w:cs="楷体"/>
          <w:b/>
          <w:sz w:val="28"/>
          <w:szCs w:val="28"/>
        </w:rPr>
      </w:pPr>
      <w:r>
        <w:rPr>
          <w:rFonts w:hint="eastAsia" w:ascii="SimHei" w:hAnsi="SimHei" w:eastAsia="黑体" w:cs="楷体"/>
          <w:b/>
          <w:sz w:val="28"/>
          <w:szCs w:val="28"/>
        </w:rPr>
        <w:t>二    高层人员薪酬激励的构成及核定</w:t>
      </w:r>
    </w:p>
    <w:p>
      <w:pPr>
        <w:pStyle w:val="8"/>
        <w:snapToGrid w:val="0"/>
        <w:spacing w:line="500" w:lineRule="exact"/>
        <w:rPr>
          <w:rFonts w:hint="eastAsia" w:ascii="楷体" w:hAnsi="楷体" w:eastAsia="楷体" w:cs="楷体"/>
          <w:b/>
          <w:szCs w:val="24"/>
        </w:rPr>
      </w:pPr>
    </w:p>
    <w:p>
      <w:pPr>
        <w:pStyle w:val="8"/>
        <w:snapToGrid w:val="0"/>
        <w:spacing w:line="500" w:lineRule="exact"/>
        <w:rPr>
          <w:rFonts w:hint="eastAsia" w:ascii="楷体" w:hAnsi="楷体" w:eastAsia="楷体" w:cs="楷体"/>
          <w:b/>
          <w:szCs w:val="24"/>
        </w:rPr>
      </w:pPr>
      <w:r>
        <w:rPr>
          <w:rFonts w:hint="eastAsia" w:ascii="SimHei" w:hAnsi="SimHei" w:eastAsia="黑体" w:cs="楷体"/>
          <w:b/>
          <w:szCs w:val="24"/>
        </w:rPr>
        <w:t>第五条  高层人员薪酬激励的构成：</w:t>
      </w:r>
    </w:p>
    <w:p>
      <w:pPr>
        <w:numPr>
          <w:ilvl w:val="0"/>
          <w:numId w:val="3"/>
        </w:numPr>
        <w:adjustRightInd w:val="0"/>
        <w:snapToGrid w:val="0"/>
        <w:spacing w:line="500" w:lineRule="exact"/>
        <w:rPr>
          <w:rFonts w:hint="eastAsia" w:ascii="楷体" w:hAnsi="楷体" w:eastAsia="楷体" w:cs="楷体"/>
          <w:color w:val="FF6600"/>
          <w:sz w:val="24"/>
        </w:rPr>
      </w:pPr>
      <w:r>
        <w:rPr>
          <w:rFonts w:hint="eastAsia" w:ascii="SimHei" w:hAnsi="SimHei" w:eastAsia="黑体" w:cs="楷体"/>
          <w:color w:val="FF6600"/>
          <w:sz w:val="24"/>
        </w:rPr>
        <w:t>高层人员薪酬激励由基本薪酬、绩效薪酬构成；</w:t>
      </w:r>
    </w:p>
    <w:p>
      <w:pPr>
        <w:numPr>
          <w:ilvl w:val="0"/>
          <w:numId w:val="3"/>
        </w:numPr>
        <w:adjustRightInd w:val="0"/>
        <w:snapToGrid w:val="0"/>
        <w:spacing w:line="500" w:lineRule="exact"/>
        <w:rPr>
          <w:rFonts w:hint="eastAsia" w:ascii="楷体" w:hAnsi="楷体" w:eastAsia="楷体" w:cs="楷体"/>
          <w:color w:val="FF6600"/>
          <w:sz w:val="24"/>
        </w:rPr>
      </w:pPr>
      <w:r>
        <w:rPr>
          <w:rFonts w:hint="eastAsia" w:ascii="SimHei" w:hAnsi="SimHei" w:eastAsia="黑体" w:cs="楷体"/>
          <w:color w:val="FF6600"/>
          <w:sz w:val="24"/>
        </w:rPr>
        <w:t>绩效薪酬包括：完成利润留存后的奖励、股权激励。</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1"/>
        <w:gridCol w:w="7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1548" w:type="dxa"/>
            <w:noWrap w:val="0"/>
            <w:vAlign w:val="center"/>
          </w:tcPr>
          <w:p>
            <w:pPr>
              <w:pStyle w:val="8"/>
              <w:snapToGrid w:val="0"/>
              <w:spacing w:line="500" w:lineRule="exact"/>
              <w:jc w:val="center"/>
              <w:rPr>
                <w:rFonts w:hint="eastAsia" w:ascii="楷体" w:hAnsi="楷体" w:eastAsia="楷体" w:cs="楷体"/>
                <w:b/>
                <w:szCs w:val="24"/>
              </w:rPr>
            </w:pPr>
            <w:r>
              <w:rPr>
                <w:rFonts w:hint="eastAsia" w:ascii="SimHei" w:hAnsi="SimHei" w:eastAsia="黑体" w:cs="楷体"/>
                <w:b/>
                <w:szCs w:val="24"/>
              </w:rPr>
              <w:t>薪酬类别</w:t>
            </w:r>
          </w:p>
        </w:tc>
        <w:tc>
          <w:tcPr>
            <w:tcW w:w="7380" w:type="dxa"/>
            <w:noWrap w:val="0"/>
            <w:vAlign w:val="center"/>
          </w:tcPr>
          <w:p>
            <w:pPr>
              <w:pStyle w:val="8"/>
              <w:snapToGrid w:val="0"/>
              <w:spacing w:line="500" w:lineRule="exact"/>
              <w:jc w:val="center"/>
              <w:rPr>
                <w:rFonts w:hint="eastAsia" w:ascii="楷体" w:hAnsi="楷体" w:eastAsia="楷体" w:cs="楷体"/>
                <w:b/>
                <w:szCs w:val="24"/>
              </w:rPr>
            </w:pPr>
            <w:r>
              <w:rPr>
                <w:rFonts w:hint="eastAsia" w:ascii="SimHei" w:hAnsi="SimHei" w:eastAsia="黑体" w:cs="楷体"/>
                <w:b/>
                <w:szCs w:val="24"/>
              </w:rPr>
              <w:t>确定的依据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1548" w:type="dxa"/>
            <w:noWrap w:val="0"/>
            <w:vAlign w:val="center"/>
          </w:tcPr>
          <w:p>
            <w:pPr>
              <w:pStyle w:val="8"/>
              <w:snapToGrid w:val="0"/>
              <w:spacing w:line="500" w:lineRule="exact"/>
              <w:jc w:val="center"/>
              <w:rPr>
                <w:rFonts w:hint="eastAsia" w:ascii="楷体" w:hAnsi="楷体" w:eastAsia="楷体" w:cs="楷体"/>
                <w:b/>
                <w:szCs w:val="24"/>
              </w:rPr>
            </w:pPr>
            <w:r>
              <w:rPr>
                <w:rFonts w:hint="eastAsia" w:ascii="SimHei" w:hAnsi="SimHei" w:eastAsia="黑体" w:cs="楷体"/>
                <w:b/>
                <w:szCs w:val="24"/>
              </w:rPr>
              <w:t>基本薪酬</w:t>
            </w:r>
          </w:p>
        </w:tc>
        <w:tc>
          <w:tcPr>
            <w:tcW w:w="7380" w:type="dxa"/>
            <w:noWrap w:val="0"/>
            <w:vAlign w:val="center"/>
          </w:tcPr>
          <w:p>
            <w:pPr>
              <w:adjustRightInd w:val="0"/>
              <w:snapToGrid w:val="0"/>
              <w:spacing w:line="500" w:lineRule="exact"/>
              <w:rPr>
                <w:rFonts w:hint="eastAsia" w:ascii="楷体" w:hAnsi="楷体" w:eastAsia="楷体" w:cs="楷体"/>
                <w:kern w:val="0"/>
                <w:sz w:val="24"/>
              </w:rPr>
            </w:pPr>
            <w:r>
              <w:rPr>
                <w:rFonts w:hint="eastAsia" w:ascii="SimHei" w:hAnsi="SimHei" w:eastAsia="黑体" w:cs="楷体"/>
                <w:kern w:val="0"/>
                <w:sz w:val="24"/>
              </w:rPr>
              <w:t>1、依据高层人员所任职位的价值与贡献、外部薪酬市场和内部薪酬策略来共同确定职能等级薪酬数额；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1548" w:type="dxa"/>
            <w:noWrap w:val="0"/>
            <w:vAlign w:val="center"/>
          </w:tcPr>
          <w:p>
            <w:pPr>
              <w:pStyle w:val="8"/>
              <w:snapToGrid w:val="0"/>
              <w:spacing w:line="500" w:lineRule="exact"/>
              <w:jc w:val="center"/>
              <w:rPr>
                <w:rFonts w:hint="eastAsia" w:ascii="楷体" w:hAnsi="楷体" w:eastAsia="楷体" w:cs="楷体"/>
                <w:b/>
                <w:szCs w:val="24"/>
              </w:rPr>
            </w:pPr>
            <w:r>
              <w:rPr>
                <w:rFonts w:hint="eastAsia" w:ascii="SimHei" w:hAnsi="SimHei" w:eastAsia="黑体" w:cs="楷体"/>
                <w:b/>
                <w:szCs w:val="24"/>
              </w:rPr>
              <w:t>绩效薪酬</w:t>
            </w:r>
          </w:p>
        </w:tc>
        <w:tc>
          <w:tcPr>
            <w:tcW w:w="7380" w:type="dxa"/>
            <w:noWrap w:val="0"/>
            <w:vAlign w:val="top"/>
          </w:tcPr>
          <w:p>
            <w:pPr>
              <w:adjustRightInd w:val="0"/>
              <w:snapToGrid w:val="0"/>
              <w:spacing w:line="500" w:lineRule="exact"/>
              <w:rPr>
                <w:rFonts w:hint="eastAsia" w:ascii="楷体" w:hAnsi="楷体" w:eastAsia="楷体" w:cs="楷体"/>
                <w:kern w:val="0"/>
                <w:sz w:val="24"/>
              </w:rPr>
            </w:pPr>
            <w:r>
              <w:rPr>
                <w:rFonts w:hint="eastAsia" w:ascii="SimHei" w:hAnsi="SimHei" w:eastAsia="黑体" w:cs="楷体"/>
                <w:kern w:val="0"/>
                <w:sz w:val="24"/>
              </w:rPr>
              <w:t>1、绩效薪酬与公司经营业绩成果挂钩，依据个人考核成绩、企业整体经营结果等来共同确定。</w:t>
            </w:r>
          </w:p>
          <w:p>
            <w:pPr>
              <w:adjustRightInd w:val="0"/>
              <w:snapToGrid w:val="0"/>
              <w:spacing w:line="500" w:lineRule="exact"/>
              <w:rPr>
                <w:rFonts w:hint="eastAsia" w:ascii="楷体" w:hAnsi="楷体" w:eastAsia="楷体" w:cs="楷体"/>
                <w:kern w:val="0"/>
                <w:sz w:val="24"/>
              </w:rPr>
            </w:pPr>
            <w:r>
              <w:rPr>
                <w:rFonts w:hint="eastAsia" w:ascii="SimHei" w:hAnsi="SimHei" w:eastAsia="黑体" w:cs="楷体"/>
                <w:kern w:val="0"/>
                <w:sz w:val="24"/>
              </w:rPr>
              <w:t>2、绩效薪酬的兑现是建立在严格考核基础上，先考核、审计通过后，才能兑现。而且考核不是单一指标考核，应有一整套关键绩效指标。</w:t>
            </w:r>
          </w:p>
        </w:tc>
      </w:tr>
    </w:tbl>
    <w:p>
      <w:pPr>
        <w:pStyle w:val="8"/>
        <w:snapToGrid w:val="0"/>
        <w:spacing w:line="500" w:lineRule="exact"/>
        <w:rPr>
          <w:rFonts w:hint="eastAsia" w:ascii="楷体" w:hAnsi="楷体" w:eastAsia="楷体" w:cs="楷体"/>
          <w:b/>
          <w:szCs w:val="24"/>
        </w:rPr>
      </w:pPr>
    </w:p>
    <w:p>
      <w:pPr>
        <w:pStyle w:val="8"/>
        <w:snapToGrid w:val="0"/>
        <w:spacing w:line="500" w:lineRule="exact"/>
        <w:rPr>
          <w:rFonts w:hint="eastAsia" w:ascii="楷体" w:hAnsi="楷体" w:eastAsia="楷体" w:cs="楷体"/>
          <w:b/>
          <w:szCs w:val="24"/>
        </w:rPr>
      </w:pPr>
      <w:r>
        <w:rPr>
          <w:rFonts w:hint="eastAsia" w:ascii="SimHei" w:hAnsi="SimHei" w:eastAsia="黑体" w:cs="楷体"/>
          <w:b/>
          <w:szCs w:val="24"/>
        </w:rPr>
        <w:t>第六条  高层人员薪酬确定的办法：</w:t>
      </w:r>
    </w:p>
    <w:p>
      <w:pPr>
        <w:adjustRightInd w:val="0"/>
        <w:snapToGrid w:val="0"/>
        <w:spacing w:line="500" w:lineRule="exact"/>
        <w:rPr>
          <w:rFonts w:hint="eastAsia" w:ascii="楷体" w:hAnsi="楷体" w:eastAsia="楷体" w:cs="楷体"/>
          <w:b/>
          <w:sz w:val="24"/>
        </w:rPr>
      </w:pPr>
      <w:r>
        <w:rPr>
          <w:rFonts w:hint="eastAsia" w:ascii="SimHei" w:hAnsi="SimHei" w:eastAsia="黑体" w:cs="楷体"/>
          <w:b/>
          <w:sz w:val="24"/>
        </w:rPr>
        <w:t>（一）基本年薪：</w:t>
      </w:r>
    </w:p>
    <w:p>
      <w:pPr>
        <w:adjustRightInd w:val="0"/>
        <w:snapToGrid w:val="0"/>
        <w:spacing w:line="500" w:lineRule="exact"/>
        <w:ind w:left="360" w:hanging="360" w:hangingChars="150"/>
        <w:rPr>
          <w:rFonts w:hint="eastAsia" w:ascii="楷体" w:hAnsi="楷体" w:eastAsia="楷体" w:cs="楷体"/>
          <w:sz w:val="24"/>
        </w:rPr>
      </w:pPr>
      <w:r>
        <w:rPr>
          <w:rFonts w:hint="eastAsia" w:ascii="SimHei" w:hAnsi="SimHei" w:eastAsia="黑体" w:cs="楷体"/>
          <w:sz w:val="24"/>
        </w:rPr>
        <w:t>1、基本年薪的确定：依据公司所在地及国内同行业的薪酬水平，结合公司的具体情况及薪酬策略，确定高层人员基本收入，其标准由董事会批准后予以执行。</w:t>
      </w:r>
    </w:p>
    <w:p>
      <w:pPr>
        <w:adjustRightInd w:val="0"/>
        <w:snapToGrid w:val="0"/>
        <w:spacing w:line="520" w:lineRule="exact"/>
        <w:ind w:left="1999" w:hanging="1999" w:hangingChars="833"/>
        <w:rPr>
          <w:rFonts w:hint="eastAsia" w:ascii="楷体" w:hAnsi="楷体" w:eastAsia="楷体" w:cs="楷体"/>
          <w:sz w:val="24"/>
        </w:rPr>
      </w:pPr>
      <w:r>
        <w:rPr>
          <w:rFonts w:hint="eastAsia" w:ascii="SimHei" w:hAnsi="SimHei" w:eastAsia="黑体" w:cs="楷体"/>
          <w:sz w:val="24"/>
        </w:rPr>
        <w:t>2、基本年薪按十二个月平均发放。</w:t>
      </w:r>
    </w:p>
    <w:p>
      <w:pPr>
        <w:adjustRightInd w:val="0"/>
        <w:snapToGrid w:val="0"/>
        <w:spacing w:line="520" w:lineRule="exact"/>
        <w:ind w:left="2007" w:hanging="2007" w:hangingChars="833"/>
        <w:rPr>
          <w:rFonts w:hint="eastAsia" w:ascii="楷体" w:hAnsi="楷体" w:eastAsia="楷体" w:cs="楷体"/>
          <w:b/>
          <w:sz w:val="24"/>
        </w:rPr>
      </w:pPr>
      <w:r>
        <w:rPr>
          <w:rFonts w:hint="eastAsia" w:ascii="SimHei" w:hAnsi="SimHei" w:eastAsia="黑体" w:cs="楷体"/>
          <w:b/>
          <w:sz w:val="24"/>
        </w:rPr>
        <w:t>（二）绩效薪酬：</w:t>
      </w:r>
    </w:p>
    <w:p>
      <w:pPr>
        <w:adjustRightInd w:val="0"/>
        <w:snapToGrid w:val="0"/>
        <w:spacing w:line="520" w:lineRule="exact"/>
        <w:ind w:left="2"/>
        <w:rPr>
          <w:rFonts w:hint="eastAsia" w:ascii="楷体" w:hAnsi="楷体" w:eastAsia="楷体" w:cs="楷体"/>
        </w:rPr>
      </w:pPr>
      <w:r>
        <w:rPr>
          <w:rFonts w:hint="eastAsia" w:ascii="SimHei" w:hAnsi="SimHei" w:eastAsia="黑体" w:cs="楷体"/>
          <w:sz w:val="24"/>
        </w:rPr>
        <w:t>1、完成利润留存后的奖励（此奖励只与公司利润的多少有关）：高层人员绩效年薪是根据公司主要经济效益指标的完成情况，结合对个人的业绩考核，所获得的绩效。以基本年薪为基数计核高层人员绩效年薪总额，其计算公式的效益系数如下：</w:t>
      </w:r>
    </w:p>
    <w:tbl>
      <w:tblPr>
        <w:tblStyle w:val="5"/>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0"/>
        <w:gridCol w:w="1350"/>
        <w:gridCol w:w="1350"/>
        <w:gridCol w:w="1350"/>
        <w:gridCol w:w="1350"/>
        <w:gridCol w:w="1350"/>
        <w:gridCol w:w="1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764" w:hRule="atLeast"/>
          <w:jc w:val="center"/>
        </w:trPr>
        <w:tc>
          <w:tcPr>
            <w:tcW w:w="1260" w:type="dxa"/>
            <w:tcBorders>
              <w:bottom w:val="single" w:color="auto" w:sz="4" w:space="0"/>
            </w:tcBorders>
            <w:noWrap w:val="0"/>
            <w:vAlign w:val="center"/>
          </w:tcPr>
          <w:p>
            <w:pPr>
              <w:adjustRightInd w:val="0"/>
              <w:snapToGrid w:val="0"/>
              <w:spacing w:line="520" w:lineRule="exact"/>
              <w:jc w:val="center"/>
              <w:rPr>
                <w:rFonts w:hint="eastAsia" w:ascii="楷体" w:hAnsi="楷体" w:eastAsia="楷体" w:cs="楷体"/>
                <w:sz w:val="24"/>
              </w:rPr>
            </w:pPr>
            <w:r>
              <w:rPr>
                <w:rFonts w:hint="eastAsia" w:ascii="SimHei" w:hAnsi="SimHei" w:eastAsia="黑体" w:cs="楷体"/>
                <w:sz w:val="24"/>
              </w:rPr>
              <w:t>计划目标完成情况</w:t>
            </w:r>
          </w:p>
        </w:tc>
        <w:tc>
          <w:tcPr>
            <w:tcW w:w="1350" w:type="dxa"/>
            <w:tcBorders>
              <w:bottom w:val="single" w:color="auto" w:sz="4" w:space="0"/>
            </w:tcBorders>
            <w:noWrap w:val="0"/>
            <w:vAlign w:val="center"/>
          </w:tcPr>
          <w:p>
            <w:pPr>
              <w:adjustRightInd w:val="0"/>
              <w:snapToGrid w:val="0"/>
              <w:spacing w:line="520" w:lineRule="exact"/>
              <w:jc w:val="center"/>
              <w:rPr>
                <w:rFonts w:hint="eastAsia" w:ascii="楷体" w:hAnsi="楷体" w:eastAsia="楷体" w:cs="楷体"/>
                <w:sz w:val="24"/>
              </w:rPr>
            </w:pPr>
            <w:r>
              <w:rPr>
                <w:rFonts w:hint="eastAsia" w:ascii="SimHei" w:hAnsi="SimHei" w:eastAsia="黑体" w:cs="楷体"/>
                <w:sz w:val="24"/>
              </w:rPr>
              <w:t>净利润额达成目标的120%</w:t>
            </w:r>
          </w:p>
        </w:tc>
        <w:tc>
          <w:tcPr>
            <w:tcW w:w="1350" w:type="dxa"/>
            <w:tcBorders>
              <w:bottom w:val="single" w:color="auto" w:sz="4" w:space="0"/>
            </w:tcBorders>
            <w:noWrap w:val="0"/>
            <w:vAlign w:val="center"/>
          </w:tcPr>
          <w:p>
            <w:pPr>
              <w:adjustRightInd w:val="0"/>
              <w:snapToGrid w:val="0"/>
              <w:spacing w:line="520" w:lineRule="exact"/>
              <w:jc w:val="center"/>
              <w:rPr>
                <w:rFonts w:hint="eastAsia" w:ascii="楷体" w:hAnsi="楷体" w:eastAsia="楷体" w:cs="楷体"/>
                <w:sz w:val="24"/>
              </w:rPr>
            </w:pPr>
            <w:r>
              <w:rPr>
                <w:rFonts w:hint="eastAsia" w:ascii="SimHei" w:hAnsi="SimHei" w:eastAsia="黑体" w:cs="楷体"/>
                <w:sz w:val="24"/>
              </w:rPr>
              <w:t>净利润额达成目标的110%</w:t>
            </w:r>
          </w:p>
        </w:tc>
        <w:tc>
          <w:tcPr>
            <w:tcW w:w="1350" w:type="dxa"/>
            <w:tcBorders>
              <w:bottom w:val="single" w:color="auto" w:sz="4" w:space="0"/>
            </w:tcBorders>
            <w:noWrap w:val="0"/>
            <w:vAlign w:val="center"/>
          </w:tcPr>
          <w:p>
            <w:pPr>
              <w:adjustRightInd w:val="0"/>
              <w:snapToGrid w:val="0"/>
              <w:spacing w:line="520" w:lineRule="exact"/>
              <w:jc w:val="center"/>
              <w:rPr>
                <w:rFonts w:hint="eastAsia" w:ascii="楷体" w:hAnsi="楷体" w:eastAsia="楷体" w:cs="楷体"/>
                <w:sz w:val="24"/>
              </w:rPr>
            </w:pPr>
            <w:r>
              <w:rPr>
                <w:rFonts w:hint="eastAsia" w:ascii="SimHei" w:hAnsi="SimHei" w:eastAsia="黑体" w:cs="楷体"/>
                <w:sz w:val="24"/>
              </w:rPr>
              <w:t>净利润额达成目标的100%</w:t>
            </w:r>
          </w:p>
        </w:tc>
        <w:tc>
          <w:tcPr>
            <w:tcW w:w="1350" w:type="dxa"/>
            <w:tcBorders>
              <w:bottom w:val="single" w:color="auto" w:sz="4" w:space="0"/>
            </w:tcBorders>
            <w:noWrap w:val="0"/>
            <w:vAlign w:val="center"/>
          </w:tcPr>
          <w:p>
            <w:pPr>
              <w:adjustRightInd w:val="0"/>
              <w:snapToGrid w:val="0"/>
              <w:spacing w:line="520" w:lineRule="exact"/>
              <w:jc w:val="center"/>
              <w:rPr>
                <w:rFonts w:hint="eastAsia" w:ascii="楷体" w:hAnsi="楷体" w:eastAsia="楷体" w:cs="楷体"/>
                <w:sz w:val="24"/>
              </w:rPr>
            </w:pPr>
            <w:r>
              <w:rPr>
                <w:rFonts w:hint="eastAsia" w:ascii="SimHei" w:hAnsi="SimHei" w:eastAsia="黑体" w:cs="楷体"/>
                <w:sz w:val="24"/>
              </w:rPr>
              <w:t>净利润额达成目标的98%</w:t>
            </w:r>
          </w:p>
        </w:tc>
        <w:tc>
          <w:tcPr>
            <w:tcW w:w="1350" w:type="dxa"/>
            <w:tcBorders>
              <w:bottom w:val="single" w:color="auto" w:sz="4" w:space="0"/>
            </w:tcBorders>
            <w:noWrap w:val="0"/>
            <w:vAlign w:val="center"/>
          </w:tcPr>
          <w:p>
            <w:pPr>
              <w:adjustRightInd w:val="0"/>
              <w:snapToGrid w:val="0"/>
              <w:spacing w:line="520" w:lineRule="exact"/>
              <w:jc w:val="center"/>
              <w:rPr>
                <w:rFonts w:hint="eastAsia" w:ascii="楷体" w:hAnsi="楷体" w:eastAsia="楷体" w:cs="楷体"/>
                <w:sz w:val="24"/>
              </w:rPr>
            </w:pPr>
            <w:r>
              <w:rPr>
                <w:rFonts w:hint="eastAsia" w:ascii="SimHei" w:hAnsi="SimHei" w:eastAsia="黑体" w:cs="楷体"/>
                <w:sz w:val="24"/>
              </w:rPr>
              <w:t>净利润额达成目标的90%</w:t>
            </w:r>
          </w:p>
        </w:tc>
        <w:tc>
          <w:tcPr>
            <w:tcW w:w="1350" w:type="dxa"/>
            <w:tcBorders>
              <w:bottom w:val="single" w:color="auto" w:sz="4" w:space="0"/>
            </w:tcBorders>
            <w:noWrap w:val="0"/>
            <w:vAlign w:val="center"/>
          </w:tcPr>
          <w:p>
            <w:pPr>
              <w:adjustRightInd w:val="0"/>
              <w:snapToGrid w:val="0"/>
              <w:spacing w:line="520" w:lineRule="exact"/>
              <w:jc w:val="center"/>
              <w:rPr>
                <w:rFonts w:hint="eastAsia" w:ascii="楷体" w:hAnsi="楷体" w:eastAsia="楷体" w:cs="楷体"/>
                <w:sz w:val="24"/>
              </w:rPr>
            </w:pPr>
            <w:r>
              <w:rPr>
                <w:rFonts w:hint="eastAsia" w:ascii="SimHei" w:hAnsi="SimHei" w:eastAsia="黑体" w:cs="楷体"/>
                <w:sz w:val="24"/>
              </w:rPr>
              <w:t>净利润额达成目标的85%以下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619" w:hRule="atLeast"/>
          <w:jc w:val="center"/>
        </w:trPr>
        <w:tc>
          <w:tcPr>
            <w:tcW w:w="1260" w:type="dxa"/>
            <w:tcBorders>
              <w:bottom w:val="single" w:color="auto" w:sz="4" w:space="0"/>
            </w:tcBorders>
            <w:noWrap w:val="0"/>
            <w:vAlign w:val="center"/>
          </w:tcPr>
          <w:p>
            <w:pPr>
              <w:adjustRightInd w:val="0"/>
              <w:snapToGrid w:val="0"/>
              <w:spacing w:line="520" w:lineRule="exact"/>
              <w:jc w:val="center"/>
              <w:rPr>
                <w:rFonts w:hint="eastAsia" w:ascii="楷体" w:hAnsi="楷体" w:eastAsia="楷体" w:cs="楷体"/>
                <w:sz w:val="24"/>
              </w:rPr>
            </w:pPr>
            <w:r>
              <w:rPr>
                <w:rFonts w:hint="eastAsia" w:ascii="SimHei" w:hAnsi="SimHei" w:eastAsia="黑体" w:cs="楷体"/>
                <w:sz w:val="24"/>
              </w:rPr>
              <w:t>效益系数</w:t>
            </w:r>
          </w:p>
        </w:tc>
        <w:tc>
          <w:tcPr>
            <w:tcW w:w="1350" w:type="dxa"/>
            <w:tcBorders>
              <w:bottom w:val="single" w:color="auto" w:sz="4" w:space="0"/>
            </w:tcBorders>
            <w:noWrap w:val="0"/>
            <w:vAlign w:val="center"/>
          </w:tcPr>
          <w:p>
            <w:pPr>
              <w:adjustRightInd w:val="0"/>
              <w:snapToGrid w:val="0"/>
              <w:spacing w:line="520" w:lineRule="exact"/>
              <w:jc w:val="center"/>
              <w:rPr>
                <w:rFonts w:hint="eastAsia" w:ascii="楷体" w:hAnsi="楷体" w:eastAsia="楷体" w:cs="楷体"/>
                <w:sz w:val="24"/>
              </w:rPr>
            </w:pPr>
            <w:r>
              <w:rPr>
                <w:rFonts w:hint="eastAsia" w:ascii="SimHei" w:hAnsi="SimHei" w:eastAsia="黑体" w:cs="楷体"/>
                <w:sz w:val="24"/>
              </w:rPr>
              <w:t>1.5</w:t>
            </w:r>
          </w:p>
        </w:tc>
        <w:tc>
          <w:tcPr>
            <w:tcW w:w="1350" w:type="dxa"/>
            <w:tcBorders>
              <w:bottom w:val="single" w:color="auto" w:sz="4" w:space="0"/>
            </w:tcBorders>
            <w:noWrap w:val="0"/>
            <w:vAlign w:val="center"/>
          </w:tcPr>
          <w:p>
            <w:pPr>
              <w:adjustRightInd w:val="0"/>
              <w:snapToGrid w:val="0"/>
              <w:spacing w:line="520" w:lineRule="exact"/>
              <w:jc w:val="center"/>
              <w:rPr>
                <w:rFonts w:hint="eastAsia" w:ascii="楷体" w:hAnsi="楷体" w:eastAsia="楷体" w:cs="楷体"/>
                <w:sz w:val="24"/>
              </w:rPr>
            </w:pPr>
            <w:r>
              <w:rPr>
                <w:rFonts w:hint="eastAsia" w:ascii="SimHei" w:hAnsi="SimHei" w:eastAsia="黑体" w:cs="楷体"/>
                <w:sz w:val="24"/>
              </w:rPr>
              <w:t>1.3</w:t>
            </w:r>
          </w:p>
        </w:tc>
        <w:tc>
          <w:tcPr>
            <w:tcW w:w="1350" w:type="dxa"/>
            <w:tcBorders>
              <w:bottom w:val="single" w:color="auto" w:sz="4" w:space="0"/>
            </w:tcBorders>
            <w:noWrap w:val="0"/>
            <w:vAlign w:val="center"/>
          </w:tcPr>
          <w:p>
            <w:pPr>
              <w:adjustRightInd w:val="0"/>
              <w:snapToGrid w:val="0"/>
              <w:spacing w:line="520" w:lineRule="exact"/>
              <w:jc w:val="center"/>
              <w:rPr>
                <w:rFonts w:hint="eastAsia" w:ascii="楷体" w:hAnsi="楷体" w:eastAsia="楷体" w:cs="楷体"/>
                <w:sz w:val="24"/>
              </w:rPr>
            </w:pPr>
            <w:r>
              <w:rPr>
                <w:rFonts w:hint="eastAsia" w:ascii="SimHei" w:hAnsi="SimHei" w:eastAsia="黑体" w:cs="楷体"/>
                <w:sz w:val="24"/>
              </w:rPr>
              <w:t>1.1</w:t>
            </w:r>
          </w:p>
        </w:tc>
        <w:tc>
          <w:tcPr>
            <w:tcW w:w="1350" w:type="dxa"/>
            <w:tcBorders>
              <w:bottom w:val="single" w:color="auto" w:sz="4" w:space="0"/>
            </w:tcBorders>
            <w:noWrap w:val="0"/>
            <w:vAlign w:val="center"/>
          </w:tcPr>
          <w:p>
            <w:pPr>
              <w:adjustRightInd w:val="0"/>
              <w:snapToGrid w:val="0"/>
              <w:spacing w:line="520" w:lineRule="exact"/>
              <w:jc w:val="center"/>
              <w:rPr>
                <w:rFonts w:hint="eastAsia" w:ascii="楷体" w:hAnsi="楷体" w:eastAsia="楷体" w:cs="楷体"/>
                <w:sz w:val="24"/>
              </w:rPr>
            </w:pPr>
            <w:r>
              <w:rPr>
                <w:rFonts w:hint="eastAsia" w:ascii="SimHei" w:hAnsi="SimHei" w:eastAsia="黑体" w:cs="楷体"/>
                <w:sz w:val="24"/>
              </w:rPr>
              <w:t>1.0</w:t>
            </w:r>
          </w:p>
        </w:tc>
        <w:tc>
          <w:tcPr>
            <w:tcW w:w="1350" w:type="dxa"/>
            <w:tcBorders>
              <w:bottom w:val="single" w:color="auto" w:sz="4" w:space="0"/>
            </w:tcBorders>
            <w:noWrap w:val="0"/>
            <w:vAlign w:val="center"/>
          </w:tcPr>
          <w:p>
            <w:pPr>
              <w:adjustRightInd w:val="0"/>
              <w:snapToGrid w:val="0"/>
              <w:spacing w:line="520" w:lineRule="exact"/>
              <w:jc w:val="center"/>
              <w:rPr>
                <w:rFonts w:hint="eastAsia" w:ascii="楷体" w:hAnsi="楷体" w:eastAsia="楷体" w:cs="楷体"/>
                <w:sz w:val="24"/>
              </w:rPr>
            </w:pPr>
            <w:r>
              <w:rPr>
                <w:rFonts w:hint="eastAsia" w:ascii="SimHei" w:hAnsi="SimHei" w:eastAsia="黑体" w:cs="楷体"/>
                <w:sz w:val="24"/>
              </w:rPr>
              <w:t>0.8</w:t>
            </w:r>
          </w:p>
        </w:tc>
        <w:tc>
          <w:tcPr>
            <w:tcW w:w="1350" w:type="dxa"/>
            <w:tcBorders>
              <w:bottom w:val="single" w:color="auto" w:sz="4" w:space="0"/>
            </w:tcBorders>
            <w:noWrap w:val="0"/>
            <w:vAlign w:val="center"/>
          </w:tcPr>
          <w:p>
            <w:pPr>
              <w:adjustRightInd w:val="0"/>
              <w:snapToGrid w:val="0"/>
              <w:spacing w:line="520" w:lineRule="exact"/>
              <w:jc w:val="center"/>
              <w:rPr>
                <w:rFonts w:hint="eastAsia" w:ascii="楷体" w:hAnsi="楷体" w:eastAsia="楷体" w:cs="楷体"/>
                <w:sz w:val="24"/>
              </w:rPr>
            </w:pPr>
            <w:r>
              <w:rPr>
                <w:rFonts w:hint="eastAsia" w:ascii="SimHei" w:hAnsi="SimHei" w:eastAsia="黑体" w:cs="楷体"/>
                <w:sz w:val="24"/>
              </w:rPr>
              <w:t>0</w:t>
            </w:r>
          </w:p>
        </w:tc>
      </w:tr>
    </w:tbl>
    <w:p>
      <w:pPr>
        <w:adjustRightInd w:val="0"/>
        <w:snapToGrid w:val="0"/>
        <w:spacing w:line="520" w:lineRule="exact"/>
        <w:ind w:left="2"/>
        <w:rPr>
          <w:rFonts w:hint="eastAsia" w:ascii="楷体" w:hAnsi="楷体" w:eastAsia="楷体" w:cs="楷体"/>
          <w:sz w:val="24"/>
        </w:rPr>
      </w:pPr>
      <w:r>
        <w:rPr>
          <w:rFonts w:hint="eastAsia" w:ascii="SimHei" w:hAnsi="SimHei" w:eastAsia="黑体" w:cs="楷体"/>
          <w:sz w:val="24"/>
        </w:rPr>
        <w:t xml:space="preserve">完成利润留存后的奖励的计算    </w:t>
      </w:r>
      <w:r>
        <w:rPr>
          <w:rFonts w:hint="eastAsia" w:ascii="SimHei" w:hAnsi="SimHei" w:eastAsia="黑体" w:cs="楷体"/>
          <w:color w:val="FF6600"/>
          <w:sz w:val="24"/>
        </w:rPr>
        <w:t>例如：公司某高管的年薪为8万元人民币。本会计核算年度结束后，根据年初制度的年度收入与利润情况，计算出本年度净利润额达成目标的100%，则对该高管完成利润留存后的奖励＝8*1.1＝8.8万元人民币。其他高管以此类推。</w:t>
      </w:r>
    </w:p>
    <w:p>
      <w:pPr>
        <w:adjustRightInd w:val="0"/>
        <w:snapToGrid w:val="0"/>
        <w:spacing w:line="520" w:lineRule="exact"/>
        <w:ind w:left="2"/>
        <w:rPr>
          <w:rFonts w:hint="eastAsia" w:ascii="楷体" w:hAnsi="楷体" w:eastAsia="楷体" w:cs="楷体"/>
          <w:sz w:val="24"/>
        </w:rPr>
      </w:pPr>
      <w:r>
        <w:rPr>
          <w:rFonts w:hint="eastAsia" w:ascii="SimHei" w:hAnsi="SimHei" w:eastAsia="黑体" w:cs="楷体"/>
          <w:sz w:val="24"/>
        </w:rPr>
        <w:t>2、股权激励：高管虚拟股票期权  （此奖励与公司利润增长、公司的正常有序发展、公司经营风险规避、规模增长、公司战略意图的制定与实现等有关）</w:t>
      </w:r>
    </w:p>
    <w:p>
      <w:pPr>
        <w:adjustRightInd w:val="0"/>
        <w:snapToGrid w:val="0"/>
        <w:spacing w:line="520" w:lineRule="exact"/>
        <w:ind w:left="2"/>
        <w:rPr>
          <w:rFonts w:hint="eastAsia" w:ascii="楷体" w:hAnsi="楷体" w:eastAsia="楷体" w:cs="楷体"/>
          <w:sz w:val="24"/>
        </w:rPr>
      </w:pPr>
      <w:r>
        <w:rPr>
          <w:rFonts w:hint="eastAsia" w:ascii="SimHei" w:hAnsi="SimHei" w:eastAsia="黑体" w:cs="楷体"/>
          <w:sz w:val="24"/>
        </w:rPr>
        <w:t>高管虚拟股票期权是指公司控股股东虚拟出让一部分公司股份给公司高管，但高管持有的股份为限制性股权，只有分红权不具有投票权。</w:t>
      </w:r>
    </w:p>
    <w:p>
      <w:pPr>
        <w:adjustRightInd w:val="0"/>
        <w:snapToGrid w:val="0"/>
        <w:spacing w:line="520" w:lineRule="exact"/>
        <w:ind w:left="1999" w:hanging="1999" w:hangingChars="833"/>
        <w:rPr>
          <w:rFonts w:hint="eastAsia" w:ascii="楷体" w:hAnsi="楷体" w:eastAsia="楷体" w:cs="楷体"/>
          <w:sz w:val="24"/>
        </w:rPr>
      </w:pPr>
      <w:r>
        <w:rPr>
          <w:rFonts w:hint="eastAsia" w:ascii="SimHei" w:hAnsi="SimHei" w:eastAsia="黑体" w:cs="楷体"/>
          <w:sz w:val="24"/>
        </w:rPr>
        <w:t>持股设定：</w:t>
      </w:r>
    </w:p>
    <w:p>
      <w:pPr>
        <w:adjustRightInd w:val="0"/>
        <w:snapToGrid w:val="0"/>
        <w:spacing w:line="520" w:lineRule="exact"/>
        <w:ind w:left="1999" w:hanging="1999" w:hangingChars="833"/>
        <w:rPr>
          <w:rFonts w:hint="eastAsia" w:ascii="楷体" w:hAnsi="楷体" w:eastAsia="楷体" w:cs="楷体"/>
          <w:sz w:val="24"/>
        </w:rPr>
      </w:pPr>
      <w:r>
        <w:rPr>
          <w:rFonts w:hint="eastAsia" w:ascii="SimHei" w:hAnsi="SimHei" w:eastAsia="黑体" w:cs="楷体"/>
          <w:sz w:val="24"/>
        </w:rPr>
        <w:t>-高管虚拟股票期权 具有分红权，没有投票权。</w:t>
      </w:r>
    </w:p>
    <w:p>
      <w:pPr>
        <w:adjustRightInd w:val="0"/>
        <w:snapToGrid w:val="0"/>
        <w:spacing w:line="520" w:lineRule="exact"/>
        <w:ind w:left="1999" w:hanging="1999" w:hangingChars="833"/>
        <w:rPr>
          <w:rFonts w:hint="eastAsia" w:ascii="楷体" w:hAnsi="楷体" w:eastAsia="楷体" w:cs="楷体"/>
          <w:sz w:val="24"/>
        </w:rPr>
      </w:pPr>
      <w:r>
        <w:rPr>
          <w:rFonts w:hint="eastAsia" w:ascii="SimHei" w:hAnsi="SimHei" w:eastAsia="黑体" w:cs="楷体"/>
          <w:sz w:val="24"/>
        </w:rPr>
        <w:t>-高管离职、在职期间死亡或失去行为能力和政治权利，其必须出让其所持股票。</w:t>
      </w:r>
    </w:p>
    <w:p>
      <w:pPr>
        <w:adjustRightInd w:val="0"/>
        <w:snapToGrid w:val="0"/>
        <w:spacing w:line="520" w:lineRule="exact"/>
        <w:ind w:left="2"/>
        <w:rPr>
          <w:rFonts w:hint="eastAsia" w:ascii="楷体" w:hAnsi="楷体" w:eastAsia="楷体" w:cs="楷体"/>
          <w:sz w:val="24"/>
        </w:rPr>
      </w:pPr>
      <w:r>
        <w:rPr>
          <w:rFonts w:hint="eastAsia" w:ascii="SimHei" w:hAnsi="SimHei" w:eastAsia="黑体" w:cs="楷体"/>
          <w:sz w:val="24"/>
        </w:rPr>
        <w:t>-公司原有出资股东对高管持有的股份有优先回购权，也就是说当持股高管出让股份时，必须优先转让给原出资股东。</w:t>
      </w:r>
    </w:p>
    <w:p>
      <w:pPr>
        <w:adjustRightInd w:val="0"/>
        <w:snapToGrid w:val="0"/>
        <w:spacing w:line="520" w:lineRule="exact"/>
        <w:ind w:left="1999" w:hanging="1999" w:hangingChars="833"/>
        <w:rPr>
          <w:rFonts w:hint="eastAsia" w:ascii="楷体" w:hAnsi="楷体" w:eastAsia="楷体" w:cs="楷体"/>
          <w:sz w:val="24"/>
        </w:rPr>
      </w:pPr>
      <w:r>
        <w:rPr>
          <w:rFonts w:hint="eastAsia" w:ascii="SimHei" w:hAnsi="SimHei" w:eastAsia="黑体" w:cs="楷体"/>
          <w:sz w:val="24"/>
        </w:rPr>
        <w:t>持股比例：原则上高管单人持股不超过</w:t>
      </w:r>
      <w:r>
        <w:rPr>
          <w:rFonts w:hint="eastAsia" w:ascii="SimHei" w:hAnsi="SimHei" w:eastAsia="黑体" w:cs="楷体"/>
          <w:sz w:val="24"/>
          <w:u w:val="single"/>
        </w:rPr>
        <w:t xml:space="preserve">   </w:t>
      </w:r>
      <w:r>
        <w:rPr>
          <w:rFonts w:hint="eastAsia" w:ascii="SimHei" w:hAnsi="SimHei" w:eastAsia="黑体" w:cs="楷体"/>
          <w:sz w:val="24"/>
        </w:rPr>
        <w:t xml:space="preserve">%；所有高管共同持股总数不超过 </w:t>
      </w:r>
      <w:r>
        <w:rPr>
          <w:rFonts w:hint="eastAsia" w:ascii="SimHei" w:hAnsi="SimHei" w:eastAsia="黑体" w:cs="楷体"/>
          <w:sz w:val="24"/>
          <w:u w:val="single"/>
        </w:rPr>
        <w:t xml:space="preserve">   </w:t>
      </w:r>
      <w:r>
        <w:rPr>
          <w:rFonts w:hint="eastAsia" w:ascii="SimHei" w:hAnsi="SimHei" w:eastAsia="黑体" w:cs="楷体"/>
          <w:sz w:val="24"/>
        </w:rPr>
        <w:t>%。</w:t>
      </w:r>
    </w:p>
    <w:p>
      <w:pPr>
        <w:adjustRightInd w:val="0"/>
        <w:snapToGrid w:val="0"/>
        <w:spacing w:line="520" w:lineRule="exact"/>
        <w:ind w:left="1999" w:hanging="1999" w:hangingChars="833"/>
        <w:rPr>
          <w:rFonts w:hint="eastAsia" w:ascii="楷体" w:hAnsi="楷体" w:eastAsia="楷体" w:cs="楷体"/>
          <w:sz w:val="24"/>
        </w:rPr>
      </w:pPr>
      <w:r>
        <w:rPr>
          <w:rFonts w:hint="eastAsia" w:ascii="SimHei" w:hAnsi="SimHei" w:eastAsia="黑体" w:cs="楷体"/>
          <w:sz w:val="24"/>
        </w:rPr>
        <w:t>配股方案：</w:t>
      </w:r>
    </w:p>
    <w:p>
      <w:pPr>
        <w:adjustRightInd w:val="0"/>
        <w:snapToGrid w:val="0"/>
        <w:spacing w:line="520" w:lineRule="exact"/>
        <w:ind w:left="2"/>
        <w:rPr>
          <w:rFonts w:hint="eastAsia" w:ascii="楷体" w:hAnsi="楷体" w:eastAsia="楷体" w:cs="楷体"/>
          <w:sz w:val="24"/>
        </w:rPr>
      </w:pPr>
      <w:r>
        <w:rPr>
          <w:rFonts w:hint="eastAsia" w:ascii="SimHei" w:hAnsi="SimHei" w:eastAsia="黑体" w:cs="楷体"/>
          <w:sz w:val="24"/>
        </w:rPr>
        <w:t>-公司根据初始投资及发展状况，虚拟公司总资产为</w:t>
      </w:r>
      <w:r>
        <w:rPr>
          <w:rFonts w:hint="eastAsia" w:ascii="SimHei" w:hAnsi="SimHei" w:eastAsia="黑体" w:cs="楷体"/>
          <w:sz w:val="24"/>
          <w:u w:val="single"/>
        </w:rPr>
        <w:t xml:space="preserve">       </w:t>
      </w:r>
      <w:r>
        <w:rPr>
          <w:rFonts w:hint="eastAsia" w:ascii="SimHei" w:hAnsi="SimHei" w:eastAsia="黑体" w:cs="楷体"/>
          <w:sz w:val="24"/>
        </w:rPr>
        <w:t>万元，对应虚拟股票10000股。根据不同情况配股。（可通过其他方式为高管配股，比如银行贷款形式。公司担保为高管提供入股的资金，资金利息由入股的高管承担。高管在公司工作</w:t>
      </w:r>
      <w:r>
        <w:rPr>
          <w:rFonts w:hint="eastAsia" w:ascii="SimHei" w:hAnsi="SimHei" w:eastAsia="黑体" w:cs="楷体"/>
          <w:sz w:val="24"/>
          <w:u w:val="single"/>
        </w:rPr>
        <w:t xml:space="preserve">    </w:t>
      </w:r>
      <w:r>
        <w:rPr>
          <w:rFonts w:hint="eastAsia" w:ascii="SimHei" w:hAnsi="SimHei" w:eastAsia="黑体" w:cs="楷体"/>
          <w:sz w:val="24"/>
        </w:rPr>
        <w:t>年以上，这部分入股资金也就是股本可以作为对高管的奖励）</w:t>
      </w:r>
    </w:p>
    <w:p>
      <w:pPr>
        <w:adjustRightInd w:val="0"/>
        <w:snapToGrid w:val="0"/>
        <w:spacing w:line="520" w:lineRule="exact"/>
        <w:ind w:left="2"/>
        <w:rPr>
          <w:rFonts w:hint="eastAsia" w:ascii="楷体" w:hAnsi="楷体" w:eastAsia="楷体" w:cs="楷体"/>
          <w:sz w:val="24"/>
        </w:rPr>
      </w:pPr>
      <w:r>
        <w:rPr>
          <w:rFonts w:hint="eastAsia" w:ascii="SimHei" w:hAnsi="SimHei" w:eastAsia="黑体" w:cs="楷体"/>
          <w:sz w:val="24"/>
        </w:rPr>
        <w:t>-由公司借款用于高管购买虚拟期权股票，高管在公司工作</w:t>
      </w:r>
      <w:r>
        <w:rPr>
          <w:rFonts w:hint="eastAsia" w:ascii="SimHei" w:hAnsi="SimHei" w:eastAsia="黑体" w:cs="楷体"/>
          <w:sz w:val="24"/>
          <w:u w:val="single"/>
        </w:rPr>
        <w:t xml:space="preserve">    </w:t>
      </w:r>
      <w:r>
        <w:rPr>
          <w:rFonts w:hint="eastAsia" w:ascii="SimHei" w:hAnsi="SimHei" w:eastAsia="黑体" w:cs="楷体"/>
          <w:sz w:val="24"/>
        </w:rPr>
        <w:t>年以上，这部分入股资金也就是股本可以作为对高管的奖励。</w:t>
      </w:r>
    </w:p>
    <w:p>
      <w:pPr>
        <w:adjustRightInd w:val="0"/>
        <w:snapToGrid w:val="0"/>
        <w:spacing w:line="520" w:lineRule="exact"/>
        <w:ind w:left="2"/>
        <w:rPr>
          <w:rFonts w:hint="eastAsia" w:ascii="楷体" w:hAnsi="楷体" w:eastAsia="楷体" w:cs="楷体"/>
          <w:sz w:val="24"/>
        </w:rPr>
      </w:pPr>
      <w:r>
        <w:rPr>
          <w:rFonts w:hint="eastAsia" w:ascii="SimHei" w:hAnsi="SimHei" w:eastAsia="黑体" w:cs="楷体"/>
          <w:sz w:val="24"/>
        </w:rPr>
        <w:t>-公司高管至少担任公司高管职务一年以上，才具有持股权。</w:t>
      </w:r>
    </w:p>
    <w:p>
      <w:pPr>
        <w:adjustRightInd w:val="0"/>
        <w:snapToGrid w:val="0"/>
        <w:spacing w:line="520" w:lineRule="exact"/>
        <w:ind w:left="1999" w:hanging="1999" w:hangingChars="833"/>
        <w:rPr>
          <w:rFonts w:hint="eastAsia" w:ascii="楷体" w:hAnsi="楷体" w:eastAsia="楷体" w:cs="楷体"/>
          <w:sz w:val="24"/>
        </w:rPr>
      </w:pPr>
      <w:r>
        <w:rPr>
          <w:rFonts w:hint="eastAsia" w:ascii="SimHei" w:hAnsi="SimHei" w:eastAsia="黑体" w:cs="楷体"/>
          <w:sz w:val="24"/>
        </w:rPr>
        <w:t>-高管比例为递进式：</w:t>
      </w:r>
    </w:p>
    <w:p>
      <w:pPr>
        <w:adjustRightInd w:val="0"/>
        <w:snapToGrid w:val="0"/>
        <w:spacing w:line="520" w:lineRule="exact"/>
        <w:ind w:left="1999" w:hanging="1999" w:hangingChars="833"/>
        <w:rPr>
          <w:rFonts w:hint="eastAsia" w:ascii="楷体" w:hAnsi="楷体" w:eastAsia="楷体" w:cs="楷体"/>
          <w:sz w:val="24"/>
        </w:rPr>
      </w:pPr>
      <w:r>
        <w:rPr>
          <w:rFonts w:hint="eastAsia" w:ascii="SimHei" w:hAnsi="SimHei" w:eastAsia="黑体" w:cs="楷体"/>
          <w:sz w:val="24"/>
        </w:rPr>
        <w:t>◇高管初次持股比例最高为</w:t>
      </w:r>
      <w:r>
        <w:rPr>
          <w:rFonts w:hint="eastAsia" w:ascii="SimHei" w:hAnsi="SimHei" w:eastAsia="黑体" w:cs="楷体"/>
          <w:sz w:val="24"/>
          <w:u w:val="single"/>
        </w:rPr>
        <w:t xml:space="preserve">   </w:t>
      </w:r>
      <w:r>
        <w:rPr>
          <w:rFonts w:hint="eastAsia" w:ascii="SimHei" w:hAnsi="SimHei" w:eastAsia="黑体" w:cs="楷体"/>
          <w:sz w:val="24"/>
        </w:rPr>
        <w:t>%。</w:t>
      </w:r>
    </w:p>
    <w:p>
      <w:pPr>
        <w:adjustRightInd w:val="0"/>
        <w:snapToGrid w:val="0"/>
        <w:spacing w:line="520" w:lineRule="exact"/>
        <w:ind w:left="1999" w:hanging="1999" w:hangingChars="833"/>
        <w:rPr>
          <w:rFonts w:hint="eastAsia" w:ascii="楷体" w:hAnsi="楷体" w:eastAsia="楷体" w:cs="楷体"/>
          <w:sz w:val="24"/>
        </w:rPr>
      </w:pPr>
      <w:r>
        <w:rPr>
          <w:rFonts w:hint="eastAsia" w:ascii="SimHei" w:hAnsi="SimHei" w:eastAsia="黑体" w:cs="楷体"/>
          <w:sz w:val="24"/>
        </w:rPr>
        <w:t>（总经理初次持股比例为</w:t>
      </w:r>
      <w:r>
        <w:rPr>
          <w:rFonts w:hint="eastAsia" w:ascii="SimHei" w:hAnsi="SimHei" w:eastAsia="黑体" w:cs="楷体"/>
          <w:sz w:val="24"/>
          <w:u w:val="single"/>
        </w:rPr>
        <w:t xml:space="preserve">   </w:t>
      </w:r>
      <w:r>
        <w:rPr>
          <w:rFonts w:hint="eastAsia" w:ascii="SimHei" w:hAnsi="SimHei" w:eastAsia="黑体" w:cs="楷体"/>
          <w:sz w:val="24"/>
        </w:rPr>
        <w:t>%，其他高管初次持股比例为</w:t>
      </w:r>
      <w:r>
        <w:rPr>
          <w:rFonts w:hint="eastAsia" w:ascii="SimHei" w:hAnsi="SimHei" w:eastAsia="黑体" w:cs="楷体"/>
          <w:sz w:val="24"/>
          <w:u w:val="single"/>
        </w:rPr>
        <w:t xml:space="preserve">    </w:t>
      </w:r>
      <w:r>
        <w:rPr>
          <w:rFonts w:hint="eastAsia" w:ascii="SimHei" w:hAnsi="SimHei" w:eastAsia="黑体" w:cs="楷体"/>
          <w:sz w:val="24"/>
        </w:rPr>
        <w:t>%）</w:t>
      </w:r>
    </w:p>
    <w:p>
      <w:pPr>
        <w:adjustRightInd w:val="0"/>
        <w:snapToGrid w:val="0"/>
        <w:spacing w:line="520" w:lineRule="exact"/>
        <w:ind w:left="1999" w:hanging="1999" w:hangingChars="833"/>
        <w:rPr>
          <w:rFonts w:hint="eastAsia" w:ascii="楷体" w:hAnsi="楷体" w:eastAsia="楷体" w:cs="楷体"/>
          <w:sz w:val="24"/>
        </w:rPr>
      </w:pPr>
      <w:r>
        <w:rPr>
          <w:rFonts w:hint="eastAsia" w:ascii="SimHei" w:hAnsi="SimHei" w:eastAsia="黑体" w:cs="楷体"/>
          <w:sz w:val="24"/>
        </w:rPr>
        <w:t>◇持股比例逐年增加，增加比例基数为0.02%。</w:t>
      </w:r>
    </w:p>
    <w:p>
      <w:pPr>
        <w:adjustRightInd w:val="0"/>
        <w:snapToGrid w:val="0"/>
        <w:spacing w:line="520" w:lineRule="exact"/>
        <w:ind w:left="1080" w:hanging="1080" w:hangingChars="450"/>
        <w:rPr>
          <w:rFonts w:hint="eastAsia" w:ascii="楷体" w:hAnsi="楷体" w:eastAsia="楷体" w:cs="楷体"/>
          <w:sz w:val="24"/>
        </w:rPr>
      </w:pPr>
      <w:r>
        <w:rPr>
          <w:rFonts w:hint="eastAsia" w:ascii="SimHei" w:hAnsi="SimHei" w:eastAsia="黑体" w:cs="楷体"/>
          <w:sz w:val="24"/>
        </w:rPr>
        <w:t>◇在公司多年担任高管的人员，应根据年限适当提高首次配股比例，原则上不超过</w:t>
      </w:r>
      <w:r>
        <w:rPr>
          <w:rFonts w:hint="eastAsia" w:ascii="SimHei" w:hAnsi="SimHei" w:eastAsia="黑体" w:cs="楷体"/>
          <w:sz w:val="24"/>
          <w:u w:val="single"/>
        </w:rPr>
        <w:t xml:space="preserve">     </w:t>
      </w:r>
      <w:r>
        <w:rPr>
          <w:rFonts w:hint="eastAsia" w:ascii="SimHei" w:hAnsi="SimHei" w:eastAsia="黑体" w:cs="楷体"/>
          <w:sz w:val="24"/>
        </w:rPr>
        <w:t>%。</w:t>
      </w:r>
    </w:p>
    <w:p>
      <w:pPr>
        <w:adjustRightInd w:val="0"/>
        <w:snapToGrid w:val="0"/>
        <w:spacing w:line="520" w:lineRule="exact"/>
        <w:ind w:left="2"/>
        <w:rPr>
          <w:rFonts w:hint="eastAsia" w:ascii="楷体" w:hAnsi="楷体" w:eastAsia="楷体" w:cs="楷体"/>
          <w:sz w:val="24"/>
        </w:rPr>
      </w:pPr>
      <w:r>
        <w:rPr>
          <w:rFonts w:hint="eastAsia" w:ascii="SimHei" w:hAnsi="SimHei" w:eastAsia="黑体" w:cs="楷体"/>
          <w:sz w:val="24"/>
        </w:rPr>
        <w:t>股权分红设定：由公司董事会决议本年度是否分红，为保证虚拟股票期权的激励性，在事前与持股高管设定最低分红比例，如：设定2014－2018年这三个经营阶段，每年最低分红比例为年度纯利润的30%。</w:t>
      </w:r>
    </w:p>
    <w:p>
      <w:pPr>
        <w:adjustRightInd w:val="0"/>
        <w:snapToGrid w:val="0"/>
        <w:spacing w:line="520" w:lineRule="exact"/>
        <w:ind w:left="2"/>
        <w:rPr>
          <w:rFonts w:hint="eastAsia" w:ascii="楷体" w:hAnsi="楷体" w:eastAsia="楷体" w:cs="楷体"/>
          <w:sz w:val="24"/>
        </w:rPr>
      </w:pPr>
    </w:p>
    <w:p>
      <w:pPr>
        <w:pStyle w:val="8"/>
        <w:snapToGrid w:val="0"/>
        <w:spacing w:line="520" w:lineRule="exact"/>
        <w:rPr>
          <w:rFonts w:hint="eastAsia" w:ascii="楷体" w:hAnsi="楷体" w:eastAsia="楷体" w:cs="楷体"/>
          <w:kern w:val="2"/>
          <w:szCs w:val="24"/>
        </w:rPr>
      </w:pPr>
      <w:r>
        <w:rPr>
          <w:rFonts w:hint="eastAsia" w:ascii="SimHei" w:hAnsi="SimHei" w:eastAsia="黑体" w:cs="楷体"/>
          <w:kern w:val="2"/>
          <w:szCs w:val="24"/>
        </w:rPr>
        <w:t>（股权激励考核方案详见附件：公司中、高层管理人员绩效考核方案。）</w:t>
      </w:r>
    </w:p>
    <w:p>
      <w:pPr>
        <w:pStyle w:val="8"/>
        <w:snapToGrid w:val="0"/>
        <w:spacing w:line="520" w:lineRule="exact"/>
        <w:rPr>
          <w:rFonts w:hint="eastAsia" w:ascii="楷体" w:hAnsi="楷体" w:eastAsia="楷体" w:cs="楷体"/>
          <w:kern w:val="2"/>
          <w:szCs w:val="24"/>
        </w:rPr>
      </w:pPr>
      <w:r>
        <w:rPr>
          <w:rFonts w:hint="eastAsia" w:ascii="SimHei" w:hAnsi="SimHei" w:eastAsia="黑体" w:cs="楷体"/>
        </w:rPr>
        <w:t>股权激励分红的计算   以公司某高管持有公司虚拟股票1万股（公司股票总数为1000万股，包括实股和虚拟股票）的情况为例：2015年公司税后利润为100000000元</w:t>
      </w:r>
      <w:r>
        <w:rPr>
          <w:rFonts w:hint="eastAsia" w:ascii="SimHei" w:hAnsi="SimHei" w:eastAsia="黑体" w:cs="楷体"/>
          <w:kern w:val="2"/>
          <w:szCs w:val="24"/>
        </w:rPr>
        <w:t xml:space="preserve"> ，则按利润40%拿出来分红。则该高管2015年股权激励分红＝100000000*40%*1÷10000＝40000元。</w:t>
      </w:r>
    </w:p>
    <w:p>
      <w:pPr>
        <w:pStyle w:val="8"/>
        <w:snapToGrid w:val="0"/>
        <w:spacing w:line="520" w:lineRule="exact"/>
        <w:ind w:left="420"/>
        <w:jc w:val="center"/>
        <w:rPr>
          <w:rFonts w:hint="eastAsia" w:ascii="楷体" w:hAnsi="楷体" w:eastAsia="楷体" w:cs="楷体"/>
          <w:kern w:val="2"/>
          <w:szCs w:val="24"/>
        </w:rPr>
      </w:pPr>
    </w:p>
    <w:p>
      <w:pPr>
        <w:pStyle w:val="8"/>
        <w:snapToGrid w:val="0"/>
        <w:spacing w:line="520" w:lineRule="exact"/>
        <w:ind w:left="420"/>
        <w:jc w:val="center"/>
        <w:rPr>
          <w:rFonts w:hint="eastAsia" w:ascii="楷体" w:hAnsi="楷体" w:eastAsia="楷体" w:cs="楷体"/>
          <w:b/>
          <w:sz w:val="28"/>
          <w:szCs w:val="28"/>
        </w:rPr>
      </w:pPr>
      <w:r>
        <w:rPr>
          <w:rFonts w:hint="eastAsia" w:ascii="SimHei" w:hAnsi="SimHei" w:eastAsia="黑体" w:cs="楷体"/>
          <w:b/>
          <w:sz w:val="28"/>
          <w:szCs w:val="28"/>
        </w:rPr>
        <w:t>三    高层人员薪酬激励的管理</w:t>
      </w:r>
    </w:p>
    <w:p>
      <w:pPr>
        <w:pStyle w:val="8"/>
        <w:snapToGrid w:val="0"/>
        <w:spacing w:line="520" w:lineRule="exact"/>
        <w:ind w:left="1"/>
        <w:jc w:val="center"/>
        <w:rPr>
          <w:rFonts w:hint="eastAsia" w:ascii="楷体" w:hAnsi="楷体" w:eastAsia="楷体" w:cs="楷体"/>
          <w:b/>
          <w:color w:val="0000FF"/>
          <w:sz w:val="28"/>
          <w:szCs w:val="28"/>
        </w:rPr>
      </w:pPr>
    </w:p>
    <w:p>
      <w:pPr>
        <w:pStyle w:val="8"/>
        <w:snapToGrid w:val="0"/>
        <w:spacing w:line="520" w:lineRule="exact"/>
        <w:rPr>
          <w:rFonts w:hint="eastAsia" w:ascii="楷体" w:hAnsi="楷体" w:eastAsia="楷体" w:cs="楷体"/>
          <w:b/>
          <w:szCs w:val="24"/>
        </w:rPr>
      </w:pPr>
      <w:r>
        <w:rPr>
          <w:rFonts w:hint="eastAsia" w:ascii="SimHei" w:hAnsi="SimHei" w:eastAsia="黑体" w:cs="楷体"/>
          <w:b/>
          <w:szCs w:val="24"/>
        </w:rPr>
        <w:t>第七条  高层人员薪酬的确定：</w:t>
      </w:r>
    </w:p>
    <w:p>
      <w:pPr>
        <w:adjustRightInd w:val="0"/>
        <w:snapToGrid w:val="0"/>
        <w:spacing w:line="520" w:lineRule="exact"/>
        <w:ind w:left="720" w:hanging="720" w:hangingChars="300"/>
        <w:rPr>
          <w:rFonts w:hint="eastAsia" w:ascii="楷体" w:hAnsi="楷体" w:eastAsia="楷体" w:cs="楷体"/>
          <w:sz w:val="24"/>
        </w:rPr>
      </w:pPr>
      <w:r>
        <w:rPr>
          <w:rFonts w:hint="eastAsia" w:ascii="SimHei" w:hAnsi="SimHei" w:eastAsia="黑体" w:cs="楷体"/>
          <w:sz w:val="24"/>
        </w:rPr>
        <w:t>（一）综合管理中心或行政部根据每年度的外部薪酬市场调研结果及公司薪酬策略综合确定各高层人员的基本年薪，报董事会审批通过后予以执行;</w:t>
      </w:r>
    </w:p>
    <w:p>
      <w:pPr>
        <w:adjustRightInd w:val="0"/>
        <w:snapToGrid w:val="0"/>
        <w:spacing w:line="520" w:lineRule="exact"/>
        <w:rPr>
          <w:rFonts w:hint="eastAsia" w:ascii="楷体" w:hAnsi="楷体" w:eastAsia="楷体" w:cs="楷体"/>
          <w:sz w:val="24"/>
        </w:rPr>
      </w:pPr>
      <w:r>
        <w:rPr>
          <w:rFonts w:hint="eastAsia" w:ascii="SimHei" w:hAnsi="SimHei" w:eastAsia="黑体" w:cs="楷体"/>
          <w:sz w:val="24"/>
        </w:rPr>
        <w:t>（二）基本年薪：列入企业成本，由企业按月以现金形式支付;</w:t>
      </w:r>
    </w:p>
    <w:p>
      <w:pPr>
        <w:adjustRightInd w:val="0"/>
        <w:snapToGrid w:val="0"/>
        <w:spacing w:line="520" w:lineRule="exact"/>
        <w:ind w:left="720" w:hanging="720" w:hangingChars="300"/>
        <w:rPr>
          <w:rFonts w:hint="eastAsia" w:ascii="楷体" w:hAnsi="楷体" w:eastAsia="楷体" w:cs="楷体"/>
          <w:sz w:val="24"/>
        </w:rPr>
      </w:pPr>
      <w:r>
        <w:rPr>
          <w:rFonts w:hint="eastAsia" w:ascii="SimHei" w:hAnsi="SimHei" w:eastAsia="黑体" w:cs="楷体"/>
          <w:sz w:val="24"/>
        </w:rPr>
        <w:t>（三）绩效薪酬：列入企业成本；每年年底由办公室组织对高层人员进行年终考核后，考核结果经董事会审批同意，予以核算绩效薪酬总额；</w:t>
      </w:r>
    </w:p>
    <w:p>
      <w:pPr>
        <w:pStyle w:val="8"/>
        <w:snapToGrid w:val="0"/>
        <w:spacing w:line="520" w:lineRule="exact"/>
        <w:ind w:left="720" w:hanging="720" w:hangingChars="300"/>
        <w:rPr>
          <w:rFonts w:hint="eastAsia" w:ascii="楷体" w:hAnsi="楷体" w:eastAsia="楷体" w:cs="楷体"/>
        </w:rPr>
      </w:pPr>
      <w:r>
        <w:rPr>
          <w:rFonts w:hint="eastAsia" w:ascii="SimHei" w:hAnsi="SimHei" w:eastAsia="黑体" w:cs="楷体"/>
        </w:rPr>
        <w:t>（四）在每年年终，公司以现金形式支付给高层人员绩效薪酬中完成利润留存后的奖励；下年度六月份前以现金形式支付给高层人员绩效薪酬中的股权激励部分薪酬。</w:t>
      </w:r>
    </w:p>
    <w:p>
      <w:pPr>
        <w:pStyle w:val="8"/>
        <w:snapToGrid w:val="0"/>
        <w:spacing w:line="520" w:lineRule="exact"/>
        <w:rPr>
          <w:rFonts w:hint="eastAsia" w:ascii="楷体" w:hAnsi="楷体" w:eastAsia="楷体" w:cs="楷体"/>
          <w:b/>
          <w:szCs w:val="24"/>
        </w:rPr>
      </w:pPr>
      <w:r>
        <w:rPr>
          <w:rFonts w:hint="eastAsia" w:ascii="SimHei" w:hAnsi="SimHei" w:eastAsia="黑体" w:cs="楷体"/>
          <w:b/>
          <w:szCs w:val="24"/>
        </w:rPr>
        <w:t>第八条  高层人员薪酬的约束：</w:t>
      </w:r>
    </w:p>
    <w:p>
      <w:pPr>
        <w:autoSpaceDE w:val="0"/>
        <w:autoSpaceDN w:val="0"/>
        <w:adjustRightInd w:val="0"/>
        <w:snapToGrid w:val="0"/>
        <w:spacing w:line="520" w:lineRule="exact"/>
        <w:ind w:left="720" w:hanging="720" w:hangingChars="300"/>
        <w:rPr>
          <w:rFonts w:hint="eastAsia" w:ascii="楷体" w:hAnsi="楷体" w:eastAsia="楷体" w:cs="楷体"/>
          <w:sz w:val="24"/>
        </w:rPr>
      </w:pPr>
      <w:r>
        <w:rPr>
          <w:rFonts w:hint="eastAsia" w:ascii="SimHei" w:hAnsi="SimHei" w:eastAsia="黑体" w:cs="楷体"/>
          <w:sz w:val="24"/>
        </w:rPr>
        <w:t>（一）在合同期内，高层管理人员由于主动离职或被公司辞退等原因离职时，将自动失去剩余月份计划发放的月薪和绩效薪酬。</w:t>
      </w:r>
    </w:p>
    <w:p>
      <w:pPr>
        <w:autoSpaceDE w:val="0"/>
        <w:autoSpaceDN w:val="0"/>
        <w:adjustRightInd w:val="0"/>
        <w:snapToGrid w:val="0"/>
        <w:spacing w:line="520" w:lineRule="exact"/>
        <w:ind w:left="720" w:hanging="720" w:hangingChars="300"/>
        <w:rPr>
          <w:rFonts w:hint="eastAsia" w:ascii="楷体" w:hAnsi="楷体" w:eastAsia="楷体" w:cs="楷体"/>
          <w:bCs/>
          <w:sz w:val="24"/>
          <w:lang w:val="zh-CN"/>
        </w:rPr>
      </w:pPr>
      <w:r>
        <w:rPr>
          <w:rFonts w:hint="eastAsia" w:ascii="SimHei" w:hAnsi="SimHei" w:eastAsia="黑体" w:cs="楷体"/>
          <w:bCs/>
          <w:sz w:val="24"/>
          <w:lang w:val="zh-CN"/>
        </w:rPr>
        <w:t>（六）对于违反国家法律法规和本公司的相关管理制度，导致重大决策失误、重大安全责任事故等，给公司造成重大经济损失的，董事会根据事故的严重程度酌情扣发高层人员的绩效年薪和增值年薪。</w:t>
      </w:r>
    </w:p>
    <w:p>
      <w:pPr>
        <w:pStyle w:val="8"/>
        <w:snapToGrid w:val="0"/>
        <w:spacing w:line="520" w:lineRule="exact"/>
        <w:jc w:val="center"/>
        <w:rPr>
          <w:rFonts w:hint="eastAsia" w:ascii="楷体" w:hAnsi="楷体" w:eastAsia="楷体" w:cs="楷体"/>
          <w:b/>
          <w:sz w:val="28"/>
          <w:szCs w:val="28"/>
        </w:rPr>
      </w:pPr>
      <w:r>
        <w:rPr>
          <w:rFonts w:hint="eastAsia" w:ascii="SimHei" w:hAnsi="SimHei" w:eastAsia="黑体" w:cs="楷体"/>
          <w:b/>
          <w:sz w:val="28"/>
          <w:szCs w:val="28"/>
        </w:rPr>
        <w:t>四    附  则</w:t>
      </w:r>
    </w:p>
    <w:p>
      <w:pPr>
        <w:pStyle w:val="8"/>
        <w:snapToGrid w:val="0"/>
        <w:spacing w:line="520" w:lineRule="exact"/>
        <w:jc w:val="center"/>
        <w:rPr>
          <w:rFonts w:hint="eastAsia" w:ascii="楷体" w:hAnsi="楷体" w:eastAsia="楷体" w:cs="楷体"/>
          <w:b/>
          <w:szCs w:val="24"/>
        </w:rPr>
      </w:pPr>
    </w:p>
    <w:p>
      <w:pPr>
        <w:pStyle w:val="8"/>
        <w:snapToGrid w:val="0"/>
        <w:spacing w:line="520" w:lineRule="exact"/>
        <w:ind w:left="824" w:hanging="824" w:hangingChars="342"/>
        <w:jc w:val="both"/>
        <w:rPr>
          <w:rFonts w:hint="eastAsia" w:ascii="楷体" w:hAnsi="楷体" w:eastAsia="楷体" w:cs="楷体"/>
          <w:b/>
          <w:bCs/>
          <w:szCs w:val="24"/>
        </w:rPr>
      </w:pPr>
      <w:r>
        <w:rPr>
          <w:rFonts w:hint="eastAsia" w:ascii="SimHei" w:hAnsi="SimHei" w:eastAsia="黑体" w:cs="楷体"/>
          <w:b/>
          <w:bCs/>
          <w:szCs w:val="24"/>
        </w:rPr>
        <w:t xml:space="preserve">第九条 </w:t>
      </w:r>
      <w:r>
        <w:rPr>
          <w:rFonts w:hint="eastAsia" w:ascii="SimHei" w:hAnsi="SimHei" w:eastAsia="黑体" w:cs="楷体"/>
          <w:b/>
          <w:szCs w:val="24"/>
        </w:rPr>
        <w:t>附 则</w:t>
      </w:r>
    </w:p>
    <w:p>
      <w:pPr>
        <w:pStyle w:val="8"/>
        <w:snapToGrid w:val="0"/>
        <w:spacing w:line="520" w:lineRule="exact"/>
        <w:ind w:left="540" w:hanging="540"/>
        <w:rPr>
          <w:rFonts w:hint="eastAsia" w:ascii="楷体" w:hAnsi="楷体" w:eastAsia="楷体" w:cs="楷体"/>
          <w:szCs w:val="24"/>
        </w:rPr>
      </w:pPr>
      <w:r>
        <w:rPr>
          <w:rFonts w:hint="eastAsia" w:ascii="SimHei" w:hAnsi="SimHei" w:eastAsia="黑体" w:cs="楷体"/>
          <w:szCs w:val="24"/>
        </w:rPr>
        <w:t>（一）本管理规定需经董事会批准方可实施；</w:t>
      </w:r>
    </w:p>
    <w:p>
      <w:pPr>
        <w:adjustRightInd w:val="0"/>
        <w:snapToGrid w:val="0"/>
        <w:spacing w:line="520" w:lineRule="exact"/>
        <w:ind w:left="1260" w:hanging="1260" w:hangingChars="525"/>
        <w:rPr>
          <w:rFonts w:hint="eastAsia" w:ascii="楷体" w:hAnsi="楷体" w:eastAsia="楷体" w:cs="楷体"/>
          <w:sz w:val="24"/>
        </w:rPr>
      </w:pPr>
      <w:r>
        <w:rPr>
          <w:rFonts w:hint="eastAsia" w:ascii="SimHei" w:hAnsi="SimHei" w:eastAsia="黑体" w:cs="楷体"/>
          <w:sz w:val="24"/>
        </w:rPr>
        <w:t>（二）本管理规定由综合管理中心或行政部负责解释和指导实施；</w:t>
      </w:r>
    </w:p>
    <w:p>
      <w:pPr>
        <w:adjustRightInd w:val="0"/>
        <w:snapToGrid w:val="0"/>
        <w:spacing w:line="520" w:lineRule="exact"/>
        <w:ind w:left="1103" w:hanging="1102" w:hangingChars="525"/>
        <w:rPr>
          <w:rFonts w:hint="eastAsia" w:ascii="楷体" w:hAnsi="楷体" w:eastAsia="楷体" w:cs="楷体"/>
          <w:sz w:val="24"/>
        </w:rPr>
      </w:pPr>
      <w:r>
        <w:rPr>
          <w:rFonts w:hint="eastAsia" w:ascii="SimHei" w:hAnsi="SimHei" w:eastAsia="黑体" w:cs="楷体"/>
        </w:rPr>
        <w:t>（三）本管理规定从</w:t>
      </w:r>
      <w:r>
        <w:rPr>
          <w:rFonts w:hint="eastAsia" w:ascii="SimHei" w:hAnsi="SimHei" w:eastAsia="黑体" w:cs="楷体"/>
          <w:u w:val="single"/>
          <w:lang w:val="en-US" w:eastAsia="zh-CN"/>
        </w:rPr>
        <w:t xml:space="preserve">     </w:t>
      </w:r>
      <w:r>
        <w:rPr>
          <w:rFonts w:hint="eastAsia" w:ascii="SimHei" w:hAnsi="SimHei" w:eastAsia="黑体" w:cs="楷体"/>
        </w:rPr>
        <w:t>年</w:t>
      </w:r>
      <w:r>
        <w:rPr>
          <w:rFonts w:hint="eastAsia" w:ascii="SimHei" w:hAnsi="SimHei" w:eastAsia="黑体" w:cs="楷体"/>
          <w:u w:val="single"/>
        </w:rPr>
        <w:t xml:space="preserve">   </w:t>
      </w:r>
      <w:r>
        <w:rPr>
          <w:rFonts w:hint="eastAsia" w:ascii="SimHei" w:hAnsi="SimHei" w:eastAsia="黑体" w:cs="楷体"/>
        </w:rPr>
        <w:t>月</w:t>
      </w:r>
      <w:r>
        <w:rPr>
          <w:rFonts w:hint="eastAsia" w:ascii="SimHei" w:hAnsi="SimHei" w:eastAsia="黑体" w:cs="楷体"/>
          <w:u w:val="single"/>
        </w:rPr>
        <w:t xml:space="preserve">   </w:t>
      </w:r>
      <w:r>
        <w:rPr>
          <w:rFonts w:hint="eastAsia" w:ascii="SimHei" w:hAnsi="SimHei" w:eastAsia="黑体" w:cs="楷体"/>
        </w:rPr>
        <w:t>日经公司董事会批准时予以生效；</w:t>
      </w:r>
    </w:p>
    <w:p>
      <w:pPr>
        <w:rPr>
          <w:rFonts w:hint="eastAsia" w:ascii="楷体" w:hAnsi="楷体" w:eastAsia="楷体" w:cs="楷体"/>
        </w:rPr>
      </w:pPr>
    </w:p>
    <w:sectPr>
      <w:footerReference r:id="rId3" w:type="default"/>
      <w:footerReference r:id="rId4" w:type="even"/>
      <w:pgSz w:w="11906" w:h="16838"/>
      <w:pgMar w:top="1440" w:right="1800" w:bottom="1440" w:left="1800" w:header="851" w:footer="879"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1" w:usb1="080E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page" w:x="6007" w:y="-209"/>
      <w:rPr>
        <w:rStyle w:val="7"/>
        <w:rFonts w:hint="eastAsia" w:ascii="楷体" w:hAnsi="楷体" w:eastAsia="楷体" w:cs="楷体"/>
      </w:rPr>
    </w:pPr>
    <w:r>
      <w:rPr>
        <w:rFonts w:hint="eastAsia" w:ascii="楷体" w:hAnsi="楷体" w:eastAsia="楷体" w:cs="楷体"/>
      </w:rPr>
      <w:fldChar w:fldCharType="begin"/>
    </w:r>
    <w:r>
      <w:rPr>
        <w:rStyle w:val="7"/>
        <w:rFonts w:hint="eastAsia" w:ascii="楷体" w:hAnsi="楷体" w:eastAsia="楷体" w:cs="楷体"/>
      </w:rPr>
      <w:instrText xml:space="preserve">PAGE  </w:instrText>
    </w:r>
    <w:r>
      <w:rPr>
        <w:rFonts w:hint="eastAsia" w:ascii="楷体" w:hAnsi="楷体" w:eastAsia="楷体" w:cs="楷体"/>
      </w:rPr>
      <w:fldChar w:fldCharType="separate"/>
    </w:r>
    <w:r>
      <w:rPr>
        <w:rStyle w:val="7"/>
        <w:rFonts w:hint="eastAsia" w:ascii="楷体" w:hAnsi="楷体" w:eastAsia="楷体" w:cs="楷体"/>
        <w:lang/>
      </w:rPr>
      <w:t>4</w:t>
    </w:r>
    <w:r>
      <w:rPr>
        <w:rFonts w:hint="eastAsia" w:ascii="楷体" w:hAnsi="楷体" w:eastAsia="楷体" w:cs="楷体"/>
      </w:rPr>
      <w:fldChar w:fldCharType="end"/>
    </w:r>
  </w:p>
  <w:p>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7"/>
      </w:rPr>
    </w:pPr>
    <w:r>
      <w:fldChar w:fldCharType="begin"/>
    </w:r>
    <w:r>
      <w:rPr>
        <w:rStyle w:val="7"/>
      </w:rPr>
      <w:instrText xml:space="preserve">PAGE  </w:instrText>
    </w:r>
    <w:r>
      <w:fldChar w:fldCharType="end"/>
    </w:r>
  </w:p>
  <w:p>
    <w:pPr>
      <w:pStyle w:val="3"/>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0459AB"/>
    <w:multiLevelType w:val="multilevel"/>
    <w:tmpl w:val="190459AB"/>
    <w:lvl w:ilvl="0" w:tentative="0">
      <w:start w:val="2"/>
      <w:numFmt w:val="decimal"/>
      <w:lvlText w:val="%1、"/>
      <w:lvlJc w:val="left"/>
      <w:pPr>
        <w:tabs>
          <w:tab w:val="left" w:pos="840"/>
        </w:tabs>
        <w:ind w:left="840" w:hanging="36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
    <w:nsid w:val="443F6CAB"/>
    <w:multiLevelType w:val="multilevel"/>
    <w:tmpl w:val="443F6CAB"/>
    <w:lvl w:ilvl="0" w:tentative="0">
      <w:start w:val="1"/>
      <w:numFmt w:val="japaneseCounting"/>
      <w:lvlText w:val="（%1）"/>
      <w:lvlJc w:val="left"/>
      <w:pPr>
        <w:tabs>
          <w:tab w:val="left" w:pos="720"/>
        </w:tabs>
        <w:ind w:left="720" w:hanging="720"/>
      </w:pPr>
      <w:rPr>
        <w:rFonts w:hint="default"/>
        <w:lang w:val="en-U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4F4138C5"/>
    <w:multiLevelType w:val="multilevel"/>
    <w:tmpl w:val="4F4138C5"/>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64288"/>
    <w:rsid w:val="00864288"/>
    <w:rsid w:val="00AF5EE2"/>
    <w:rsid w:val="1ECA6BD2"/>
    <w:rsid w:val="63EE6D5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Style w:val="5"/>
      <w:tblCellMar>
        <w:top w:w="0" w:type="dxa"/>
        <w:left w:w="108" w:type="dxa"/>
        <w:bottom w:w="0" w:type="dxa"/>
        <w:right w:w="108" w:type="dxa"/>
      </w:tblCellMar>
    </w:tblPr>
  </w:style>
  <w:style w:type="paragraph" w:styleId="2">
    <w:name w:val="Body Text Indent"/>
    <w:basedOn w:val="1"/>
    <w:uiPriority w:val="0"/>
    <w:pPr>
      <w:adjustRightInd w:val="0"/>
      <w:snapToGrid w:val="0"/>
      <w:spacing w:line="360" w:lineRule="auto"/>
      <w:ind w:left="359" w:leftChars="171"/>
    </w:pPr>
    <w:rPr>
      <w:rFonts w:ascii="仿宋_GB2312" w:eastAsia="仿宋_GB2312"/>
      <w:sz w:val="24"/>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page number"/>
    <w:basedOn w:val="6"/>
    <w:uiPriority w:val="0"/>
  </w:style>
  <w:style w:type="paragraph" w:customStyle="1" w:styleId="8">
    <w:name w:val="缺省文本"/>
    <w:basedOn w:val="1"/>
    <w:uiPriority w:val="0"/>
    <w:pPr>
      <w:autoSpaceDE w:val="0"/>
      <w:autoSpaceDN w:val="0"/>
      <w:adjustRightInd w:val="0"/>
      <w:jc w:val="left"/>
    </w:pPr>
    <w:rPr>
      <w:kern w:val="0"/>
      <w:sz w:val="24"/>
      <w:szCs w:val="20"/>
    </w:rPr>
  </w:style>
  <w:style w:type="paragraph" w:customStyle="1" w:styleId="9">
    <w:name w:val="样式1"/>
    <w:basedOn w:val="1"/>
    <w:uiPriority w:val="0"/>
    <w:pPr>
      <w:spacing w:line="380" w:lineRule="atLeast"/>
      <w:ind w:firstLine="200" w:firstLineChars="200"/>
    </w:pPr>
    <w:rPr>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403</Words>
  <Characters>2302</Characters>
  <Lines>19</Lines>
  <Paragraphs>5</Paragraphs>
  <TotalTime>0</TotalTime>
  <ScaleCrop>false</ScaleCrop>
  <LinksUpToDate>false</LinksUpToDate>
  <CharactersWithSpaces>2700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2014-07-03T01:11:00Z</dcterms:created>
  <dc:creator>微软用户</dc:creator>
  <cp:lastModifiedBy>91方案网～齐志锁</cp:lastModifiedBy>
  <dcterms:modified xsi:type="dcterms:W3CDTF">2020-10-14T06:24:30Z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