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8522" w:type="dxa"/>
        <w:jc w:val="center"/>
        <w:tblInd w:w="0" w:type="dxa"/>
        <w:tblLayout w:type="fixed"/>
        <w:tblCellMar>
          <w:top w:w="0" w:type="dxa"/>
          <w:start w:w="108" w:type="dxa"/>
          <w:bottom w:w="0" w:type="dxa"/>
          <w:end w:w="108" w:type="dxa"/>
        </w:tblCellMar>
      </w:tblPr>
      <w:tblGrid>
        <w:gridCol w:w="1368"/>
        <w:gridCol w:w="762"/>
        <w:gridCol w:w="2838"/>
        <w:gridCol w:w="1620"/>
        <w:gridCol w:w="1934"/>
      </w:tblGrid>
      <w:tr>
        <w:trPr>
          <w:cantSplit w:val="true"/>
        </w:trPr>
        <w:tc>
          <w:tcPr>
            <w:tcW w:w="136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bidi w:val="0"/>
              <w:snapToGrid w:val="false"/>
              <w:spacing w:lineRule="auto" w:line="360"/>
              <w:ind w:start="0" w:hanging="0"/>
              <w:jc w:val="center"/>
              <w:textAlignment w:val="auto"/>
              <w:rPr>
                <w:rFonts w:ascii="楷体" w:hAnsi="楷体" w:eastAsia="楷体" w:cs="楷体"/>
                <w:sz w:val="24"/>
              </w:rPr>
            </w:pPr>
            <w:r>
              <w:rPr>
                <w:rFonts w:ascii="SimHei" w:hAnsi="SimHei" w:cs="楷体" w:eastAsia="黑体"/>
                <w:sz w:val="24"/>
              </w:rPr>
              <w:t>制度名</w:t>
            </w:r>
          </w:p>
        </w:tc>
        <w:tc>
          <w:tcPr>
            <w:tcW w:w="7154" w:type="dxa"/>
            <w:gridSpan w:val="4"/>
            <w:tcBorders>
              <w:top w:val="single" w:sz="4" w:space="0" w:color="000000"/>
              <w:start w:val="single" w:sz="4" w:space="0" w:color="000000"/>
              <w:bottom w:val="single" w:sz="4" w:space="0" w:color="000000"/>
              <w:end w:val="single" w:sz="4" w:space="0" w:color="000000"/>
            </w:tcBorders>
            <w:vAlign w:val="center"/>
          </w:tcPr>
          <w:p>
            <w:pPr>
              <w:pStyle w:val="Style15"/>
              <w:keepNext w:val="false"/>
              <w:keepLines w:val="false"/>
              <w:widowControl w:val="false"/>
              <w:kinsoku w:val="true"/>
              <w:overflowPunct w:val="true"/>
              <w:bidi w:val="0"/>
              <w:snapToGrid w:val="false"/>
              <w:spacing w:lineRule="auto" w:line="360"/>
              <w:ind w:start="0" w:hanging="0"/>
              <w:textAlignment w:val="auto"/>
              <w:rPr>
                <w:rFonts w:ascii="楷体" w:hAnsi="楷体" w:eastAsia="楷体" w:cs="楷体"/>
                <w:lang w:val="en-US"/>
              </w:rPr>
            </w:pPr>
            <w:r>
              <w:rPr>
                <w:rFonts w:ascii="SimHei" w:hAnsi="SimHei" w:cs="楷体" w:eastAsia="黑体"/>
                <w:b/>
                <w:bCs/>
              </w:rPr>
              <w:t>员工福利金管理制度</w:t>
            </w:r>
          </w:p>
        </w:tc>
      </w:tr>
      <w:tr>
        <w:trPr/>
        <w:tc>
          <w:tcPr>
            <w:tcW w:w="2130" w:type="dxa"/>
            <w:gridSpan w:val="2"/>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bidi w:val="0"/>
              <w:snapToGrid w:val="false"/>
              <w:spacing w:lineRule="auto" w:line="360"/>
              <w:ind w:start="0" w:hanging="0"/>
              <w:jc w:val="center"/>
              <w:textAlignment w:val="auto"/>
              <w:rPr>
                <w:rFonts w:ascii="楷体" w:hAnsi="楷体" w:eastAsia="楷体" w:cs="楷体"/>
                <w:sz w:val="24"/>
              </w:rPr>
            </w:pPr>
            <w:r>
              <w:rPr>
                <w:rFonts w:ascii="SimHei" w:hAnsi="SimHei" w:cs="楷体" w:eastAsia="黑体"/>
                <w:kern w:val="0"/>
                <w:sz w:val="24"/>
                <w:szCs w:val="20"/>
                <w:lang w:val="zh-CN"/>
              </w:rPr>
              <w:t>电子文件编码</w:t>
            </w:r>
          </w:p>
        </w:tc>
        <w:tc>
          <w:tcPr>
            <w:tcW w:w="283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bidi w:val="0"/>
              <w:snapToGrid w:val="false"/>
              <w:spacing w:lineRule="auto" w:line="360"/>
              <w:ind w:start="0" w:hanging="0"/>
              <w:jc w:val="center"/>
              <w:textAlignment w:val="auto"/>
              <w:rPr>
                <w:rFonts w:ascii="楷体" w:hAnsi="楷体" w:eastAsia="楷体" w:cs="楷体"/>
                <w:sz w:val="24"/>
                <w:lang w:eastAsia="zh-CN"/>
              </w:rPr>
            </w:pPr>
            <w:r>
              <w:rPr>
                <w:rFonts w:eastAsia="黑体" w:cs="楷体" w:ascii="SimHei" w:hAnsi="SimHei"/>
                <w:kern w:val="0"/>
                <w:sz w:val="24"/>
                <w:szCs w:val="20"/>
                <w:lang w:val="en-US" w:eastAsia="zh-CN"/>
              </w:rPr>
              <w:t xml:space="preserve"> </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bidi w:val="0"/>
              <w:snapToGrid w:val="false"/>
              <w:spacing w:lineRule="auto" w:line="360"/>
              <w:ind w:start="0" w:hanging="0"/>
              <w:jc w:val="center"/>
              <w:textAlignment w:val="auto"/>
              <w:rPr>
                <w:rFonts w:ascii="楷体" w:hAnsi="楷体" w:eastAsia="楷体" w:cs="楷体"/>
                <w:sz w:val="24"/>
              </w:rPr>
            </w:pPr>
            <w:r>
              <w:rPr>
                <w:rFonts w:ascii="SimHei" w:hAnsi="SimHei" w:cs="楷体" w:eastAsia="黑体"/>
                <w:kern w:val="0"/>
                <w:sz w:val="24"/>
                <w:szCs w:val="20"/>
                <w:lang w:val="zh-CN"/>
              </w:rPr>
              <w:t>页码</w:t>
            </w:r>
          </w:p>
        </w:tc>
        <w:tc>
          <w:tcPr>
            <w:tcW w:w="193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bidi w:val="0"/>
              <w:snapToGrid w:val="false"/>
              <w:spacing w:lineRule="auto" w:line="360"/>
              <w:ind w:start="0" w:hanging="0"/>
              <w:jc w:val="center"/>
              <w:textAlignment w:val="auto"/>
              <w:rPr>
                <w:rFonts w:ascii="楷体" w:hAnsi="楷体" w:eastAsia="楷体" w:cs="楷体"/>
                <w:sz w:val="24"/>
              </w:rPr>
            </w:pPr>
            <w:r>
              <w:rPr>
                <w:rFonts w:eastAsia="黑体" w:cs="楷体" w:ascii="SimHei" w:hAnsi="SimHei"/>
                <w:kern w:val="0"/>
                <w:sz w:val="24"/>
                <w:szCs w:val="20"/>
              </w:rPr>
              <w:t>2-1</w:t>
            </w:r>
          </w:p>
        </w:tc>
      </w:tr>
      <w:tr>
        <w:trPr>
          <w:trHeight w:val="10709" w:hRule="atLeast"/>
          <w:cantSplit w:val="true"/>
        </w:trPr>
        <w:tc>
          <w:tcPr>
            <w:tcW w:w="8522" w:type="dxa"/>
            <w:gridSpan w:val="5"/>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false"/>
              <w:bidi w:val="0"/>
              <w:snapToGrid w:val="false"/>
              <w:spacing w:lineRule="auto" w:line="360"/>
              <w:ind w:start="0" w:hanging="0"/>
              <w:jc w:val="start"/>
              <w:textAlignment w:val="auto"/>
              <w:rPr>
                <w:rFonts w:ascii="楷体" w:hAnsi="楷体" w:eastAsia="楷体" w:cs="楷体"/>
                <w:kern w:val="0"/>
                <w:sz w:val="20"/>
                <w:szCs w:val="20"/>
              </w:rPr>
            </w:pPr>
            <w:r>
              <w:rPr>
                <w:rFonts w:eastAsia="黑体" w:cs="楷体" w:ascii="SimHei" w:hAnsi="SimHei"/>
                <w:kern w:val="0"/>
                <w:sz w:val="20"/>
                <w:szCs w:val="20"/>
              </w:rPr>
            </w:r>
          </w:p>
          <w:p>
            <w:pPr>
              <w:pStyle w:val="Style17"/>
              <w:keepNext w:val="false"/>
              <w:keepLines w:val="false"/>
              <w:widowControl w:val="false"/>
              <w:kinsoku w:val="true"/>
              <w:overflowPunct w:val="true"/>
              <w:bidi w:val="0"/>
              <w:snapToGrid w:val="false"/>
              <w:spacing w:lineRule="auto" w:line="360"/>
              <w:ind w:start="964" w:hanging="960"/>
              <w:textAlignment w:val="auto"/>
              <w:rPr>
                <w:rFonts w:ascii="楷体" w:hAnsi="楷体" w:eastAsia="楷体" w:cs="楷体"/>
                <w:b/>
                <w:b/>
                <w:bCs/>
              </w:rPr>
            </w:pPr>
            <w:r>
              <w:rPr>
                <w:rFonts w:ascii="SimHei" w:hAnsi="SimHei" w:cs="楷体" w:eastAsia="黑体"/>
                <w:b/>
                <w:bCs/>
              </w:rPr>
              <w:t>第一条  员工福利金来源</w:t>
            </w:r>
          </w:p>
          <w:p>
            <w:pPr>
              <w:pStyle w:val="1"/>
              <w:keepNext w:val="false"/>
              <w:keepLines w:val="false"/>
              <w:widowControl w:val="false"/>
              <w:kinsoku w:val="true"/>
              <w:overflowPunct w:val="true"/>
              <w:bidi w:val="0"/>
              <w:snapToGrid w:val="false"/>
              <w:spacing w:lineRule="auto" w:line="360"/>
              <w:ind w:start="240" w:hanging="240"/>
              <w:textAlignment w:val="auto"/>
              <w:rPr>
                <w:rFonts w:ascii="楷体" w:hAnsi="楷体" w:eastAsia="楷体" w:cs="楷体"/>
              </w:rPr>
            </w:pPr>
            <w:r>
              <w:rPr>
                <w:rFonts w:ascii="SimHei" w:hAnsi="SimHei" w:cs="楷体" w:eastAsia="黑体"/>
              </w:rPr>
              <w:t>本公司员工福利委员会福利金来源包括下列六项：</w:t>
            </w:r>
          </w:p>
          <w:p>
            <w:pPr>
              <w:pStyle w:val="1"/>
              <w:keepNext w:val="false"/>
              <w:keepLines w:val="false"/>
              <w:widowControl w:val="false"/>
              <w:kinsoku w:val="true"/>
              <w:overflowPunct w:val="true"/>
              <w:bidi w:val="0"/>
              <w:snapToGrid w:val="false"/>
              <w:spacing w:lineRule="auto" w:line="360"/>
              <w:ind w:start="240" w:hanging="240"/>
              <w:textAlignment w:val="auto"/>
              <w:rPr>
                <w:rFonts w:ascii="楷体" w:hAnsi="楷体" w:eastAsia="楷体" w:cs="楷体"/>
              </w:rPr>
            </w:pPr>
            <w:r>
              <w:rPr>
                <w:rFonts w:eastAsia="黑体" w:cs="楷体" w:ascii="SimHei" w:hAnsi="SimHei"/>
              </w:rPr>
              <w:t>1.</w:t>
            </w:r>
            <w:r>
              <w:rPr>
                <w:rFonts w:ascii="SimHei" w:hAnsi="SimHei" w:cs="楷体" w:eastAsia="黑体"/>
              </w:rPr>
              <w:t>基金部分：由本公司提拨</w:t>
            </w:r>
            <w:r>
              <w:rPr>
                <w:rFonts w:eastAsia="黑体" w:cs="楷体" w:ascii="SimHei" w:hAnsi="SimHei"/>
              </w:rPr>
              <w:t>20</w:t>
            </w:r>
            <w:r>
              <w:rPr>
                <w:rFonts w:ascii="SimHei" w:hAnsi="SimHei" w:cs="楷体" w:eastAsia="黑体"/>
              </w:rPr>
              <w:t>万元，以提拨一次为限。</w:t>
            </w:r>
          </w:p>
          <w:p>
            <w:pPr>
              <w:pStyle w:val="1"/>
              <w:keepNext w:val="false"/>
              <w:keepLines w:val="false"/>
              <w:widowControl w:val="false"/>
              <w:kinsoku w:val="true"/>
              <w:overflowPunct w:val="true"/>
              <w:bidi w:val="0"/>
              <w:snapToGrid w:val="false"/>
              <w:spacing w:lineRule="auto" w:line="360"/>
              <w:ind w:start="240" w:hanging="240"/>
              <w:textAlignment w:val="auto"/>
              <w:rPr>
                <w:rFonts w:ascii="楷体" w:hAnsi="楷体" w:eastAsia="楷体" w:cs="楷体"/>
              </w:rPr>
            </w:pPr>
            <w:r>
              <w:rPr>
                <w:rFonts w:eastAsia="黑体" w:cs="楷体" w:ascii="SimHei" w:hAnsi="SimHei"/>
              </w:rPr>
              <w:t>2.</w:t>
            </w:r>
            <w:r>
              <w:rPr>
                <w:rFonts w:ascii="SimHei" w:hAnsi="SimHei" w:cs="楷体" w:eastAsia="黑体"/>
              </w:rPr>
              <w:t>营业额提拨部分：由公司的营业额提拨，每月提拨前月份营业额的万分之五。</w:t>
            </w:r>
          </w:p>
          <w:p>
            <w:pPr>
              <w:pStyle w:val="1"/>
              <w:keepNext w:val="false"/>
              <w:keepLines w:val="false"/>
              <w:widowControl w:val="false"/>
              <w:kinsoku w:val="true"/>
              <w:overflowPunct w:val="true"/>
              <w:bidi w:val="0"/>
              <w:snapToGrid w:val="false"/>
              <w:spacing w:lineRule="auto" w:line="360"/>
              <w:ind w:start="240" w:hanging="240"/>
              <w:textAlignment w:val="auto"/>
              <w:rPr>
                <w:rFonts w:ascii="楷体" w:hAnsi="楷体" w:eastAsia="楷体" w:cs="楷体"/>
              </w:rPr>
            </w:pPr>
            <w:r>
              <w:rPr>
                <w:rFonts w:eastAsia="黑体" w:cs="楷体" w:ascii="SimHei" w:hAnsi="SimHei"/>
              </w:rPr>
              <w:t>3.</w:t>
            </w:r>
            <w:r>
              <w:rPr>
                <w:rFonts w:ascii="SimHei" w:hAnsi="SimHei" w:cs="楷体" w:eastAsia="黑体"/>
              </w:rPr>
              <w:t>薪资提拨部分：由公司所有员工同仁的薪资、年终奖金扣减千分之五提拨。</w:t>
            </w:r>
          </w:p>
          <w:p>
            <w:pPr>
              <w:pStyle w:val="1"/>
              <w:keepNext w:val="false"/>
              <w:keepLines w:val="false"/>
              <w:widowControl w:val="false"/>
              <w:kinsoku w:val="true"/>
              <w:overflowPunct w:val="true"/>
              <w:bidi w:val="0"/>
              <w:snapToGrid w:val="false"/>
              <w:spacing w:lineRule="auto" w:line="360"/>
              <w:ind w:start="240" w:hanging="240"/>
              <w:textAlignment w:val="auto"/>
              <w:rPr>
                <w:rFonts w:ascii="楷体" w:hAnsi="楷体" w:eastAsia="楷体" w:cs="楷体"/>
              </w:rPr>
            </w:pPr>
            <w:r>
              <w:rPr>
                <w:rFonts w:eastAsia="黑体" w:cs="楷体" w:ascii="SimHei" w:hAnsi="SimHei"/>
              </w:rPr>
              <w:t>4.</w:t>
            </w:r>
            <w:r>
              <w:rPr>
                <w:rFonts w:ascii="SimHei" w:hAnsi="SimHei" w:cs="楷体" w:eastAsia="黑体"/>
              </w:rPr>
              <w:t>伙食费提拨部分：由公司员工伙食费、伙食补助费提拨。</w:t>
            </w:r>
          </w:p>
          <w:p>
            <w:pPr>
              <w:pStyle w:val="1"/>
              <w:keepNext w:val="false"/>
              <w:keepLines w:val="false"/>
              <w:widowControl w:val="false"/>
              <w:kinsoku w:val="true"/>
              <w:overflowPunct w:val="true"/>
              <w:bidi w:val="0"/>
              <w:snapToGrid w:val="false"/>
              <w:spacing w:lineRule="auto" w:line="360"/>
              <w:ind w:start="240" w:hanging="240"/>
              <w:textAlignment w:val="auto"/>
              <w:rPr>
                <w:rFonts w:ascii="楷体" w:hAnsi="楷体" w:eastAsia="楷体" w:cs="楷体"/>
              </w:rPr>
            </w:pPr>
            <w:r>
              <w:rPr>
                <w:rFonts w:eastAsia="黑体" w:cs="楷体" w:ascii="SimHei" w:hAnsi="SimHei"/>
              </w:rPr>
              <w:t>5.</w:t>
            </w:r>
            <w:r>
              <w:rPr>
                <w:rFonts w:ascii="SimHei" w:hAnsi="SimHei" w:cs="楷体" w:eastAsia="黑体"/>
              </w:rPr>
              <w:t>下脚品出售价值提拨部分：公司下脚品出售值提拨</w:t>
            </w:r>
            <w:r>
              <w:rPr>
                <w:rFonts w:eastAsia="黑体" w:cs="楷体" w:ascii="SimHei" w:hAnsi="SimHei"/>
              </w:rPr>
              <w:t>40%</w:t>
            </w:r>
            <w:r>
              <w:rPr>
                <w:rFonts w:ascii="SimHei" w:hAnsi="SimHei" w:cs="楷体" w:eastAsia="黑体"/>
              </w:rPr>
              <w:t>。</w:t>
            </w:r>
          </w:p>
          <w:p>
            <w:pPr>
              <w:pStyle w:val="1"/>
              <w:keepNext w:val="false"/>
              <w:keepLines w:val="false"/>
              <w:widowControl w:val="false"/>
              <w:kinsoku w:val="true"/>
              <w:overflowPunct w:val="true"/>
              <w:bidi w:val="0"/>
              <w:snapToGrid w:val="false"/>
              <w:spacing w:lineRule="auto" w:line="360"/>
              <w:ind w:start="240" w:hanging="240"/>
              <w:textAlignment w:val="auto"/>
              <w:rPr>
                <w:rFonts w:ascii="楷体" w:hAnsi="楷体" w:eastAsia="楷体" w:cs="楷体"/>
              </w:rPr>
            </w:pPr>
            <w:r>
              <w:rPr>
                <w:rFonts w:eastAsia="黑体" w:cs="楷体" w:ascii="SimHei" w:hAnsi="SimHei"/>
              </w:rPr>
              <w:t>6.</w:t>
            </w:r>
            <w:r>
              <w:rPr>
                <w:rFonts w:ascii="SimHei" w:hAnsi="SimHei" w:cs="楷体" w:eastAsia="黑体"/>
              </w:rPr>
              <w:t>福利金运用收入部分：由福利金的运用赚取的利息与利润。</w:t>
            </w:r>
          </w:p>
          <w:p>
            <w:pPr>
              <w:pStyle w:val="Style17"/>
              <w:keepNext w:val="false"/>
              <w:keepLines w:val="false"/>
              <w:widowControl w:val="false"/>
              <w:kinsoku w:val="true"/>
              <w:overflowPunct w:val="true"/>
              <w:bidi w:val="0"/>
              <w:snapToGrid w:val="false"/>
              <w:spacing w:lineRule="auto" w:line="360"/>
              <w:ind w:start="964" w:hanging="960"/>
              <w:textAlignment w:val="auto"/>
              <w:rPr>
                <w:rFonts w:ascii="楷体" w:hAnsi="楷体" w:eastAsia="楷体" w:cs="楷体"/>
                <w:b/>
                <w:b/>
                <w:bCs/>
              </w:rPr>
            </w:pPr>
            <w:r>
              <w:rPr>
                <w:rFonts w:ascii="SimHei" w:hAnsi="SimHei" w:cs="楷体" w:eastAsia="黑体"/>
                <w:b/>
                <w:bCs/>
              </w:rPr>
              <w:t>第二条  员工福利金之使用范围</w:t>
            </w:r>
          </w:p>
          <w:p>
            <w:pPr>
              <w:pStyle w:val="1"/>
              <w:keepNext w:val="false"/>
              <w:keepLines w:val="false"/>
              <w:widowControl w:val="false"/>
              <w:kinsoku w:val="true"/>
              <w:overflowPunct w:val="true"/>
              <w:bidi w:val="0"/>
              <w:snapToGrid w:val="false"/>
              <w:spacing w:lineRule="auto" w:line="360"/>
              <w:ind w:start="240" w:hanging="240"/>
              <w:textAlignment w:val="auto"/>
              <w:rPr>
                <w:rFonts w:ascii="楷体" w:hAnsi="楷体" w:eastAsia="楷体" w:cs="楷体"/>
              </w:rPr>
            </w:pPr>
            <w:r>
              <w:rPr>
                <w:rFonts w:ascii="SimHei" w:hAnsi="SimHei" w:cs="楷体" w:eastAsia="黑体"/>
              </w:rPr>
              <w:t>本委员会福利金的使用范围包括下列六项用途：</w:t>
            </w:r>
          </w:p>
          <w:p>
            <w:pPr>
              <w:pStyle w:val="Style19"/>
              <w:keepNext w:val="false"/>
              <w:keepLines w:val="false"/>
              <w:widowControl w:val="false"/>
              <w:kinsoku w:val="true"/>
              <w:overflowPunct w:val="true"/>
              <w:bidi w:val="0"/>
              <w:snapToGrid w:val="false"/>
              <w:spacing w:lineRule="auto" w:line="360"/>
              <w:ind w:start="360" w:hanging="360"/>
              <w:textAlignment w:val="auto"/>
              <w:rPr>
                <w:rFonts w:ascii="楷体" w:hAnsi="楷体" w:eastAsia="楷体" w:cs="楷体"/>
              </w:rPr>
            </w:pPr>
            <w:r>
              <w:rPr>
                <w:rFonts w:eastAsia="黑体" w:cs="楷体" w:ascii="SimHei" w:hAnsi="SimHei"/>
              </w:rPr>
              <w:t>1.</w:t>
            </w:r>
            <w:r>
              <w:rPr>
                <w:rFonts w:ascii="SimHei" w:hAnsi="SimHei" w:cs="楷体" w:eastAsia="黑体"/>
              </w:rPr>
              <w:t xml:space="preserve">办理本公司同仁的各项福利活动，包括旅行、电影放映、节庆活动、庆生会等。 </w:t>
            </w:r>
          </w:p>
          <w:p>
            <w:pPr>
              <w:pStyle w:val="Style19"/>
              <w:keepNext w:val="false"/>
              <w:keepLines w:val="false"/>
              <w:widowControl w:val="false"/>
              <w:kinsoku w:val="true"/>
              <w:overflowPunct w:val="true"/>
              <w:bidi w:val="0"/>
              <w:snapToGrid w:val="false"/>
              <w:spacing w:lineRule="auto" w:line="360"/>
              <w:ind w:start="360" w:hanging="360"/>
              <w:textAlignment w:val="auto"/>
              <w:rPr>
                <w:rFonts w:ascii="楷体" w:hAnsi="楷体" w:eastAsia="楷体" w:cs="楷体"/>
              </w:rPr>
            </w:pPr>
            <w:r>
              <w:rPr>
                <w:rFonts w:eastAsia="黑体" w:cs="楷体" w:ascii="SimHei" w:hAnsi="SimHei"/>
              </w:rPr>
              <w:t>2.</w:t>
            </w:r>
            <w:r>
              <w:rPr>
                <w:rFonts w:ascii="SimHei" w:hAnsi="SimHei" w:cs="楷体" w:eastAsia="黑体"/>
              </w:rPr>
              <w:t>办理本公司同仁的伙食，包括平日缮食、加菜、聚餐等。</w:t>
            </w:r>
          </w:p>
          <w:p>
            <w:pPr>
              <w:pStyle w:val="Style19"/>
              <w:keepNext w:val="false"/>
              <w:keepLines w:val="false"/>
              <w:widowControl w:val="false"/>
              <w:kinsoku w:val="true"/>
              <w:overflowPunct w:val="true"/>
              <w:bidi w:val="0"/>
              <w:snapToGrid w:val="false"/>
              <w:spacing w:lineRule="auto" w:line="360"/>
              <w:ind w:start="360" w:hanging="360"/>
              <w:textAlignment w:val="auto"/>
              <w:rPr>
                <w:rFonts w:ascii="楷体" w:hAnsi="楷体" w:eastAsia="楷体" w:cs="楷体"/>
              </w:rPr>
            </w:pPr>
            <w:r>
              <w:rPr>
                <w:rFonts w:eastAsia="黑体" w:cs="楷体" w:ascii="SimHei" w:hAnsi="SimHei"/>
              </w:rPr>
              <w:t>3.</w:t>
            </w:r>
            <w:r>
              <w:rPr>
                <w:rFonts w:ascii="SimHei" w:hAnsi="SimHei" w:cs="楷体" w:eastAsia="黑体"/>
              </w:rPr>
              <w:t>办理同仁伤病的救济慰问、婚丧喜事的庆贺哀悼等。</w:t>
            </w:r>
          </w:p>
          <w:p>
            <w:pPr>
              <w:pStyle w:val="Style19"/>
              <w:keepNext w:val="false"/>
              <w:keepLines w:val="false"/>
              <w:widowControl w:val="false"/>
              <w:kinsoku w:val="true"/>
              <w:overflowPunct w:val="true"/>
              <w:bidi w:val="0"/>
              <w:snapToGrid w:val="false"/>
              <w:spacing w:lineRule="auto" w:line="360"/>
              <w:ind w:start="360" w:hanging="360"/>
              <w:textAlignment w:val="auto"/>
              <w:rPr>
                <w:rFonts w:ascii="楷体" w:hAnsi="楷体" w:eastAsia="楷体" w:cs="楷体"/>
              </w:rPr>
            </w:pPr>
            <w:r>
              <w:rPr>
                <w:rFonts w:eastAsia="黑体" w:cs="楷体" w:ascii="SimHei" w:hAnsi="SimHei"/>
              </w:rPr>
              <w:t>4.</w:t>
            </w:r>
            <w:r>
              <w:rPr>
                <w:rFonts w:ascii="SimHei" w:hAnsi="SimHei" w:cs="楷体" w:eastAsia="黑体"/>
              </w:rPr>
              <w:t>同仁的借支。</w:t>
            </w:r>
          </w:p>
          <w:p>
            <w:pPr>
              <w:pStyle w:val="Style19"/>
              <w:keepNext w:val="false"/>
              <w:keepLines w:val="false"/>
              <w:widowControl w:val="false"/>
              <w:kinsoku w:val="true"/>
              <w:overflowPunct w:val="true"/>
              <w:bidi w:val="0"/>
              <w:snapToGrid w:val="false"/>
              <w:spacing w:lineRule="auto" w:line="360"/>
              <w:ind w:start="360" w:hanging="360"/>
              <w:textAlignment w:val="auto"/>
              <w:rPr>
                <w:rFonts w:ascii="楷体" w:hAnsi="楷体" w:eastAsia="楷体" w:cs="楷体"/>
              </w:rPr>
            </w:pPr>
            <w:r>
              <w:rPr>
                <w:rFonts w:eastAsia="黑体" w:cs="楷体" w:ascii="SimHei" w:hAnsi="SimHei"/>
              </w:rPr>
              <w:t>5.</w:t>
            </w:r>
            <w:r>
              <w:rPr>
                <w:rFonts w:ascii="SimHei" w:hAnsi="SimHei" w:cs="楷体" w:eastAsia="黑体"/>
              </w:rPr>
              <w:t>其他由本委员会决议的用途。</w:t>
            </w:r>
          </w:p>
          <w:p>
            <w:pPr>
              <w:pStyle w:val="Style19"/>
              <w:keepNext w:val="false"/>
              <w:keepLines w:val="false"/>
              <w:widowControl w:val="false"/>
              <w:kinsoku w:val="true"/>
              <w:overflowPunct w:val="true"/>
              <w:bidi w:val="0"/>
              <w:snapToGrid w:val="false"/>
              <w:spacing w:lineRule="auto" w:line="360"/>
              <w:ind w:start="360" w:hanging="360"/>
              <w:textAlignment w:val="auto"/>
              <w:rPr>
                <w:rFonts w:ascii="楷体" w:hAnsi="楷体" w:eastAsia="楷体" w:cs="楷体"/>
              </w:rPr>
            </w:pPr>
            <w:r>
              <w:rPr>
                <w:rFonts w:eastAsia="黑体" w:cs="楷体" w:ascii="SimHei" w:hAnsi="SimHei"/>
              </w:rPr>
              <w:t>6.</w:t>
            </w:r>
            <w:r>
              <w:rPr>
                <w:rFonts w:ascii="SimHei" w:hAnsi="SimHei" w:cs="楷体" w:eastAsia="黑体"/>
              </w:rPr>
              <w:t>福利金的营利性运用或购买本委员会设备的支出。</w:t>
            </w:r>
          </w:p>
          <w:p>
            <w:pPr>
              <w:pStyle w:val="Style17"/>
              <w:keepNext w:val="false"/>
              <w:keepLines w:val="false"/>
              <w:widowControl w:val="false"/>
              <w:kinsoku w:val="true"/>
              <w:overflowPunct w:val="true"/>
              <w:bidi w:val="0"/>
              <w:snapToGrid w:val="false"/>
              <w:spacing w:lineRule="auto" w:line="360"/>
              <w:ind w:start="964" w:hanging="960"/>
              <w:textAlignment w:val="auto"/>
              <w:rPr>
                <w:rFonts w:ascii="楷体" w:hAnsi="楷体" w:eastAsia="楷体" w:cs="楷体"/>
                <w:b/>
                <w:b/>
                <w:bCs/>
              </w:rPr>
            </w:pPr>
            <w:r>
              <w:rPr>
                <w:rFonts w:ascii="SimHei" w:hAnsi="SimHei" w:cs="楷体" w:eastAsia="黑体"/>
                <w:b/>
                <w:bCs/>
              </w:rPr>
              <w:t>第三条  福利金的运用</w:t>
            </w:r>
          </w:p>
          <w:p>
            <w:pPr>
              <w:pStyle w:val="1"/>
              <w:keepNext w:val="false"/>
              <w:keepLines w:val="false"/>
              <w:widowControl w:val="false"/>
              <w:kinsoku w:val="true"/>
              <w:overflowPunct w:val="true"/>
              <w:bidi w:val="0"/>
              <w:snapToGrid w:val="false"/>
              <w:spacing w:lineRule="auto" w:line="360"/>
              <w:ind w:start="240" w:hanging="240"/>
              <w:textAlignment w:val="auto"/>
              <w:rPr>
                <w:rFonts w:ascii="楷体" w:hAnsi="楷体" w:eastAsia="楷体" w:cs="楷体"/>
              </w:rPr>
            </w:pPr>
            <w:r>
              <w:rPr>
                <w:rFonts w:eastAsia="黑体" w:cs="楷体" w:ascii="SimHei" w:hAnsi="SimHei"/>
              </w:rPr>
              <w:t>1.</w:t>
            </w:r>
            <w:r>
              <w:rPr>
                <w:rFonts w:ascii="SimHei" w:hAnsi="SimHei" w:cs="楷体" w:eastAsia="黑体"/>
              </w:rPr>
              <w:t>本委员会福利金的运用包括营利性与非营利性两项支出，非营利性支出每月动支 的金额 以不超过当月份的收入金额为原则，但特殊情形经由三分之二以上福利委员通过者不在此限 。</w:t>
            </w:r>
          </w:p>
          <w:p>
            <w:pPr>
              <w:pStyle w:val="1"/>
              <w:keepNext w:val="false"/>
              <w:keepLines w:val="false"/>
              <w:widowControl w:val="false"/>
              <w:kinsoku w:val="true"/>
              <w:overflowPunct w:val="true"/>
              <w:bidi w:val="0"/>
              <w:snapToGrid w:val="false"/>
              <w:spacing w:lineRule="auto" w:line="360"/>
              <w:ind w:start="240" w:hanging="240"/>
              <w:textAlignment w:val="auto"/>
              <w:rPr>
                <w:rFonts w:ascii="楷体" w:hAnsi="楷体" w:eastAsia="楷体" w:cs="楷体"/>
              </w:rPr>
            </w:pPr>
            <w:r>
              <w:rPr>
                <w:rFonts w:eastAsia="黑体" w:cs="楷体" w:ascii="SimHei" w:hAnsi="SimHei"/>
              </w:rPr>
              <w:t>2.</w:t>
            </w:r>
            <w:r>
              <w:rPr>
                <w:rFonts w:ascii="SimHei" w:hAnsi="SimHei" w:cs="楷体" w:eastAsia="黑体"/>
              </w:rPr>
              <w:t xml:space="preserve">本委员会福利金的非营利性支出，应由福利金运用小组编列预算，于每月月初提 交委员会审核并予公布。预算表的格式参照《福利金收支预算表》的格式办理。 </w:t>
            </w:r>
          </w:p>
          <w:p>
            <w:pPr>
              <w:pStyle w:val="Normal"/>
              <w:keepNext w:val="false"/>
              <w:keepLines w:val="false"/>
              <w:widowControl w:val="false"/>
              <w:kinsoku w:val="true"/>
              <w:overflowPunct w:val="true"/>
              <w:autoSpaceDE w:val="false"/>
              <w:bidi w:val="0"/>
              <w:snapToGrid w:val="false"/>
              <w:spacing w:lineRule="auto" w:line="360"/>
              <w:ind w:start="0" w:hanging="0"/>
              <w:jc w:val="start"/>
              <w:textAlignment w:val="auto"/>
              <w:rPr>
                <w:rFonts w:ascii="楷体" w:hAnsi="楷体" w:eastAsia="楷体" w:cs="楷体"/>
              </w:rPr>
            </w:pPr>
            <w:r>
              <w:rPr>
                <w:rFonts w:eastAsia="黑体" w:cs="楷体" w:ascii="SimHei" w:hAnsi="SimHei"/>
              </w:rPr>
            </w:r>
          </w:p>
        </w:tc>
      </w:tr>
      <w:tr>
        <w:trPr/>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bidi w:val="0"/>
              <w:snapToGrid w:val="false"/>
              <w:spacing w:lineRule="auto" w:line="360"/>
              <w:ind w:start="0" w:hanging="0"/>
              <w:jc w:val="center"/>
              <w:textAlignment w:val="auto"/>
              <w:rPr>
                <w:rFonts w:ascii="楷体" w:hAnsi="楷体" w:eastAsia="楷体" w:cs="楷体"/>
                <w:sz w:val="24"/>
              </w:rPr>
            </w:pPr>
            <w:r>
              <w:rPr>
                <w:rFonts w:ascii="SimHei" w:hAnsi="SimHei" w:cs="楷体" w:eastAsia="黑体"/>
                <w:kern w:val="0"/>
                <w:sz w:val="24"/>
                <w:szCs w:val="20"/>
                <w:lang w:val="zh-CN"/>
              </w:rPr>
              <w:t>签发人</w:t>
            </w:r>
          </w:p>
        </w:tc>
        <w:tc>
          <w:tcPr>
            <w:tcW w:w="283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bidi w:val="0"/>
              <w:snapToGrid w:val="false"/>
              <w:spacing w:lineRule="auto" w:line="360"/>
              <w:ind w:start="0" w:hanging="0"/>
              <w:jc w:val="center"/>
              <w:textAlignment w:val="auto"/>
              <w:rPr>
                <w:rFonts w:ascii="楷体" w:hAnsi="楷体" w:eastAsia="楷体" w:cs="楷体"/>
                <w:sz w:val="24"/>
              </w:rPr>
            </w:pPr>
            <w:r>
              <w:rPr>
                <w:rFonts w:eastAsia="黑体" w:cs="楷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bidi w:val="0"/>
              <w:snapToGrid w:val="false"/>
              <w:spacing w:lineRule="auto" w:line="360"/>
              <w:ind w:start="0" w:hanging="0"/>
              <w:jc w:val="center"/>
              <w:textAlignment w:val="auto"/>
              <w:rPr>
                <w:rFonts w:ascii="楷体" w:hAnsi="楷体" w:eastAsia="楷体" w:cs="楷体"/>
                <w:sz w:val="24"/>
              </w:rPr>
            </w:pPr>
            <w:r>
              <w:rPr>
                <w:rFonts w:ascii="SimHei" w:hAnsi="SimHei" w:cs="楷体" w:eastAsia="黑体"/>
                <w:kern w:val="0"/>
                <w:sz w:val="24"/>
                <w:szCs w:val="20"/>
                <w:lang w:val="zh-CN"/>
              </w:rPr>
              <w:t>责任人签名</w:t>
            </w:r>
          </w:p>
        </w:tc>
        <w:tc>
          <w:tcPr>
            <w:tcW w:w="193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bidi w:val="0"/>
              <w:snapToGrid w:val="false"/>
              <w:spacing w:lineRule="auto" w:line="360"/>
              <w:ind w:start="0" w:hanging="0"/>
              <w:jc w:val="center"/>
              <w:textAlignment w:val="auto"/>
              <w:rPr>
                <w:rFonts w:ascii="楷体" w:hAnsi="楷体" w:eastAsia="楷体" w:cs="楷体"/>
                <w:sz w:val="24"/>
              </w:rPr>
            </w:pPr>
            <w:r>
              <w:rPr>
                <w:rFonts w:eastAsia="黑体" w:cs="楷体" w:ascii="SimHei" w:hAnsi="SimHei"/>
                <w:sz w:val="24"/>
              </w:rPr>
            </w:r>
          </w:p>
        </w:tc>
      </w:tr>
    </w:tbl>
    <w:p>
      <w:pPr>
        <w:pStyle w:val="Normal"/>
        <w:rPr/>
      </w:pPr>
      <w:r>
        <w:rPr>
          <w:rFonts w:ascii="SimHei" w:hAnsi="SimHei" w:eastAsia="黑体"/>
        </w:rPr>
      </w:r>
    </w:p>
    <w:p>
      <w:pPr>
        <w:pStyle w:val="Normal"/>
        <w:rPr/>
      </w:pPr>
      <w:r>
        <w:rPr>
          <w:rFonts w:ascii="SimHei" w:hAnsi="SimHei" w:eastAsia="黑体"/>
        </w:rPr>
      </w:r>
    </w:p>
    <w:tbl>
      <w:tblPr>
        <w:tblW w:w="8522" w:type="dxa"/>
        <w:jc w:val="center"/>
        <w:tblInd w:w="0" w:type="dxa"/>
        <w:tblLayout w:type="fixed"/>
        <w:tblCellMar>
          <w:top w:w="0" w:type="dxa"/>
          <w:start w:w="108" w:type="dxa"/>
          <w:bottom w:w="0" w:type="dxa"/>
          <w:end w:w="108" w:type="dxa"/>
        </w:tblCellMar>
      </w:tblPr>
      <w:tblGrid>
        <w:gridCol w:w="1368"/>
        <w:gridCol w:w="762"/>
        <w:gridCol w:w="2838"/>
        <w:gridCol w:w="1620"/>
        <w:gridCol w:w="1934"/>
      </w:tblGrid>
      <w:tr>
        <w:trPr>
          <w:cantSplit w:val="true"/>
        </w:trPr>
        <w:tc>
          <w:tcPr>
            <w:tcW w:w="13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制度名</w:t>
            </w:r>
          </w:p>
        </w:tc>
        <w:tc>
          <w:tcPr>
            <w:tcW w:w="7154" w:type="dxa"/>
            <w:gridSpan w:val="4"/>
            <w:tcBorders>
              <w:top w:val="single" w:sz="4" w:space="0" w:color="000000"/>
              <w:start w:val="single" w:sz="4" w:space="0" w:color="000000"/>
              <w:bottom w:val="single" w:sz="4" w:space="0" w:color="000000"/>
              <w:end w:val="single" w:sz="4" w:space="0" w:color="000000"/>
            </w:tcBorders>
            <w:vAlign w:val="center"/>
          </w:tcPr>
          <w:p>
            <w:pPr>
              <w:pStyle w:val="Style15"/>
              <w:rPr>
                <w:rFonts w:ascii="楷体" w:hAnsi="楷体" w:eastAsia="楷体" w:cs="楷体"/>
                <w:lang w:val="en-US"/>
              </w:rPr>
            </w:pPr>
            <w:r>
              <w:rPr>
                <w:rFonts w:ascii="SimHei" w:hAnsi="SimHei" w:cs="楷体" w:eastAsia="黑体"/>
              </w:rPr>
              <w:t>员工福利金管理制度</w:t>
            </w:r>
          </w:p>
        </w:tc>
      </w:tr>
      <w:tr>
        <w:trPr/>
        <w:tc>
          <w:tcPr>
            <w:tcW w:w="213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sz w:val="24"/>
              </w:rPr>
            </w:pPr>
            <w:r>
              <w:rPr>
                <w:rFonts w:ascii="SimHei" w:hAnsi="SimHei" w:cs="楷体" w:eastAsia="黑体"/>
                <w:kern w:val="0"/>
                <w:sz w:val="24"/>
                <w:szCs w:val="20"/>
                <w:lang w:val="zh-CN"/>
              </w:rPr>
              <w:t>电子文件编码</w:t>
            </w:r>
          </w:p>
        </w:tc>
        <w:tc>
          <w:tcPr>
            <w:tcW w:w="283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sz w:val="24"/>
              </w:rPr>
            </w:pPr>
            <w:r>
              <w:rPr>
                <w:rFonts w:eastAsia="黑体" w:cs="楷体" w:ascii="SimHei" w:hAnsi="SimHei"/>
                <w:kern w:val="0"/>
                <w:sz w:val="24"/>
                <w:szCs w:val="20"/>
                <w:lang w:val="zh-CN"/>
              </w:rPr>
              <w:t>GLZD0</w:t>
            </w:r>
            <w:r>
              <w:rPr>
                <w:rFonts w:eastAsia="黑体" w:cs="楷体" w:ascii="SimHei" w:hAnsi="SimHei"/>
                <w:kern w:val="0"/>
                <w:sz w:val="24"/>
                <w:szCs w:val="20"/>
              </w:rPr>
              <w:t>66</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sz w:val="24"/>
              </w:rPr>
            </w:pPr>
            <w:r>
              <w:rPr>
                <w:rFonts w:ascii="SimHei" w:hAnsi="SimHei" w:cs="楷体" w:eastAsia="黑体"/>
                <w:kern w:val="0"/>
                <w:sz w:val="24"/>
                <w:szCs w:val="20"/>
                <w:lang w:val="zh-CN"/>
              </w:rPr>
              <w:t>页码</w:t>
            </w:r>
          </w:p>
        </w:tc>
        <w:tc>
          <w:tcPr>
            <w:tcW w:w="1934"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sz w:val="24"/>
              </w:rPr>
            </w:pPr>
            <w:r>
              <w:rPr>
                <w:rFonts w:eastAsia="黑体" w:cs="楷体" w:ascii="SimHei" w:hAnsi="SimHei"/>
                <w:kern w:val="0"/>
                <w:sz w:val="24"/>
                <w:szCs w:val="20"/>
              </w:rPr>
              <w:t>2-2</w:t>
            </w:r>
          </w:p>
        </w:tc>
      </w:tr>
      <w:tr>
        <w:trPr>
          <w:trHeight w:val="10709" w:hRule="atLeast"/>
          <w:cantSplit w:val="true"/>
        </w:trPr>
        <w:tc>
          <w:tcPr>
            <w:tcW w:w="8522" w:type="dxa"/>
            <w:gridSpan w:val="5"/>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start"/>
              <w:rPr>
                <w:rFonts w:ascii="楷体" w:hAnsi="楷体" w:eastAsia="楷体" w:cs="楷体"/>
                <w:kern w:val="0"/>
                <w:sz w:val="20"/>
                <w:szCs w:val="20"/>
              </w:rPr>
            </w:pPr>
            <w:r>
              <w:rPr>
                <w:rFonts w:eastAsia="黑体" w:cs="楷体" w:ascii="SimHei" w:hAnsi="SimHei"/>
                <w:kern w:val="0"/>
                <w:sz w:val="20"/>
                <w:szCs w:val="20"/>
              </w:rPr>
            </w:r>
          </w:p>
          <w:p>
            <w:pPr>
              <w:pStyle w:val="1"/>
              <w:ind w:start="1220" w:hanging="240"/>
              <w:rPr>
                <w:rFonts w:ascii="楷体" w:hAnsi="楷体" w:eastAsia="楷体" w:cs="楷体"/>
              </w:rPr>
            </w:pPr>
            <w:r>
              <w:rPr>
                <w:rFonts w:eastAsia="黑体" w:cs="楷体" w:ascii="SimHei" w:hAnsi="SimHei"/>
              </w:rPr>
              <w:t>3.</w:t>
            </w:r>
            <w:r>
              <w:rPr>
                <w:rFonts w:ascii="SimHei" w:hAnsi="SimHei" w:cs="楷体" w:eastAsia="黑体"/>
              </w:rPr>
              <w:t>员工伙食费、各项庆贺、慰问、奠仪、救济的金额标准，由本 委员会制定公布。</w:t>
            </w:r>
          </w:p>
          <w:p>
            <w:pPr>
              <w:pStyle w:val="1"/>
              <w:ind w:start="1220" w:hanging="240"/>
              <w:rPr>
                <w:rFonts w:ascii="楷体" w:hAnsi="楷体" w:eastAsia="楷体" w:cs="楷体"/>
              </w:rPr>
            </w:pPr>
            <w:r>
              <w:rPr>
                <w:rFonts w:eastAsia="黑体" w:cs="楷体" w:ascii="SimHei" w:hAnsi="SimHei"/>
              </w:rPr>
              <w:t>4.</w:t>
            </w:r>
            <w:r>
              <w:rPr>
                <w:rFonts w:ascii="SimHei" w:hAnsi="SimHei" w:cs="楷体" w:eastAsia="黑体"/>
              </w:rPr>
              <w:t>员工伙食的支出款项统由本委员会控制，参照支出标准按日实报实销，报销单的格式参照“福利费用报销单”。</w:t>
            </w:r>
          </w:p>
          <w:p>
            <w:pPr>
              <w:pStyle w:val="1"/>
              <w:ind w:start="1220" w:hanging="240"/>
              <w:rPr>
                <w:rFonts w:ascii="楷体" w:hAnsi="楷体" w:eastAsia="楷体" w:cs="楷体"/>
                <w:lang w:val="en-US"/>
              </w:rPr>
            </w:pPr>
            <w:r>
              <w:rPr>
                <w:rFonts w:eastAsia="黑体" w:cs="楷体" w:ascii="SimHei" w:hAnsi="SimHei"/>
              </w:rPr>
              <w:t>5.</w:t>
            </w:r>
            <w:r>
              <w:rPr>
                <w:rFonts w:ascii="SimHei" w:hAnsi="SimHei" w:cs="楷体" w:eastAsia="黑体"/>
              </w:rPr>
              <w:t xml:space="preserve">本公司同仁的伤病、慰问、婚丧喜事互助金的发给统由当事人或其直接主管提出申请。 </w:t>
            </w:r>
          </w:p>
          <w:p>
            <w:pPr>
              <w:pStyle w:val="1"/>
              <w:ind w:start="1220" w:hanging="240"/>
              <w:rPr>
                <w:rFonts w:ascii="楷体" w:hAnsi="楷体" w:eastAsia="楷体" w:cs="楷体"/>
              </w:rPr>
            </w:pPr>
            <w:r>
              <w:rPr>
                <w:rFonts w:eastAsia="黑体" w:cs="楷体" w:ascii="SimHei" w:hAnsi="SimHei"/>
              </w:rPr>
              <w:t>6.</w:t>
            </w:r>
            <w:r>
              <w:rPr>
                <w:rFonts w:ascii="SimHei" w:hAnsi="SimHei" w:cs="楷体" w:eastAsia="黑体"/>
              </w:rPr>
              <w:t>本公司同仁因特殊事故需向本委员会申请借支，可由当事人填妥，申请单向本委 员会申请 ，但借支的金额以不超过当事人一个月薪资所得为限，月息</w:t>
            </w:r>
            <w:r>
              <w:rPr>
                <w:rFonts w:eastAsia="黑体" w:cs="楷体" w:ascii="SimHei" w:hAnsi="SimHei"/>
              </w:rPr>
              <w:t>1.5%</w:t>
            </w:r>
            <w:r>
              <w:rPr>
                <w:rFonts w:ascii="SimHei" w:hAnsi="SimHei" w:cs="楷体" w:eastAsia="黑体"/>
              </w:rPr>
              <w:t>，但特殊情形由本委员会委 员保证者，得借支至</w:t>
            </w:r>
            <w:r>
              <w:rPr>
                <w:rFonts w:eastAsia="黑体" w:cs="楷体" w:ascii="SimHei" w:hAnsi="SimHei"/>
              </w:rPr>
              <w:t>3</w:t>
            </w:r>
            <w:r>
              <w:rPr>
                <w:rFonts w:ascii="SimHei" w:hAnsi="SimHei" w:cs="楷体" w:eastAsia="黑体"/>
              </w:rPr>
              <w:t>个月所得。借支单的格式参照“福利借支申请单”。</w:t>
            </w:r>
          </w:p>
          <w:p>
            <w:pPr>
              <w:pStyle w:val="1"/>
              <w:ind w:start="1220" w:hanging="240"/>
              <w:rPr>
                <w:rFonts w:ascii="楷体" w:hAnsi="楷体" w:eastAsia="楷体" w:cs="楷体"/>
              </w:rPr>
            </w:pPr>
            <w:r>
              <w:rPr>
                <w:rFonts w:eastAsia="黑体" w:cs="楷体" w:ascii="SimHei" w:hAnsi="SimHei"/>
              </w:rPr>
              <w:t>7.</w:t>
            </w:r>
            <w:r>
              <w:rPr>
                <w:rFonts w:ascii="SimHei" w:hAnsi="SimHei" w:cs="楷体" w:eastAsia="黑体"/>
              </w:rPr>
              <w:t>本委员会各项福利活动的费用支出以不超过当月份的预算为原则，实报实销，报销单的格式参用“福利费用报销单”。</w:t>
            </w:r>
          </w:p>
          <w:p>
            <w:pPr>
              <w:pStyle w:val="1"/>
              <w:ind w:start="1220" w:hanging="240"/>
              <w:rPr>
                <w:rFonts w:ascii="楷体" w:hAnsi="楷体" w:eastAsia="楷体" w:cs="楷体"/>
              </w:rPr>
            </w:pPr>
            <w:r>
              <w:rPr>
                <w:rFonts w:eastAsia="黑体" w:cs="楷体" w:ascii="SimHei" w:hAnsi="SimHei"/>
              </w:rPr>
              <w:t>8.</w:t>
            </w:r>
            <w:r>
              <w:rPr>
                <w:rFonts w:ascii="SimHei" w:hAnsi="SimHei" w:cs="楷体" w:eastAsia="黑体"/>
              </w:rPr>
              <w:t>本委员会营利性的支出统由福利金运用小组运用，未动用部分得存入本公司帐上，以</w:t>
            </w:r>
            <w:r>
              <w:rPr>
                <w:rFonts w:eastAsia="黑体" w:cs="楷体" w:ascii="SimHei" w:hAnsi="SimHei"/>
              </w:rPr>
              <w:t>××%</w:t>
            </w:r>
            <w:r>
              <w:rPr>
                <w:rFonts w:ascii="SimHei" w:hAnsi="SimHei" w:cs="楷体" w:eastAsia="黑体"/>
              </w:rPr>
              <w:t>日息计息。</w:t>
            </w:r>
          </w:p>
          <w:p>
            <w:pPr>
              <w:pStyle w:val="Style17"/>
              <w:keepNext w:val="false"/>
              <w:keepLines w:val="false"/>
              <w:widowControl w:val="false"/>
              <w:kinsoku w:val="true"/>
              <w:overflowPunct w:val="true"/>
              <w:bidi w:val="0"/>
              <w:snapToGrid w:val="false"/>
              <w:spacing w:lineRule="auto" w:line="360"/>
              <w:ind w:start="964" w:hanging="960"/>
              <w:textAlignment w:val="auto"/>
              <w:rPr>
                <w:rFonts w:ascii="楷体" w:hAnsi="楷体" w:eastAsia="楷体" w:cs="楷体"/>
                <w:b/>
                <w:b/>
                <w:bCs/>
              </w:rPr>
            </w:pPr>
            <w:r>
              <w:rPr>
                <w:rFonts w:ascii="SimHei" w:hAnsi="SimHei" w:cs="楷体" w:eastAsia="黑体"/>
                <w:b/>
                <w:bCs/>
              </w:rPr>
              <w:t>第四条  福利金的运用状况报告与控制</w:t>
            </w:r>
          </w:p>
          <w:p>
            <w:pPr>
              <w:pStyle w:val="1"/>
              <w:ind w:start="1220" w:hanging="240"/>
              <w:rPr>
                <w:rFonts w:ascii="楷体" w:hAnsi="楷体" w:eastAsia="楷体" w:cs="楷体"/>
              </w:rPr>
            </w:pPr>
            <w:r>
              <w:rPr>
                <w:rFonts w:eastAsia="黑体" w:cs="楷体" w:ascii="SimHei" w:hAnsi="SimHei"/>
              </w:rPr>
              <w:t>1.</w:t>
            </w:r>
            <w:r>
              <w:rPr>
                <w:rFonts w:ascii="SimHei" w:hAnsi="SimHei" w:cs="楷体" w:eastAsia="黑体"/>
              </w:rPr>
              <w:t xml:space="preserve">本委员会福利金运用小组每月月底必须将营利性与非营利性支出编列结算表，交付本委员会审核并予公布。结算表的格式比照“福利金收支预算表”的格式编列。 </w:t>
            </w:r>
          </w:p>
          <w:p>
            <w:pPr>
              <w:pStyle w:val="1"/>
              <w:ind w:start="1220" w:hanging="240"/>
              <w:rPr>
                <w:rFonts w:ascii="楷体" w:hAnsi="楷体" w:eastAsia="楷体" w:cs="楷体"/>
              </w:rPr>
            </w:pPr>
            <w:r>
              <w:rPr>
                <w:rFonts w:eastAsia="黑体" w:cs="楷体" w:ascii="SimHei" w:hAnsi="SimHei"/>
              </w:rPr>
              <w:t>2.</w:t>
            </w:r>
            <w:r>
              <w:rPr>
                <w:rFonts w:ascii="SimHei" w:hAnsi="SimHei" w:cs="楷体" w:eastAsia="黑体"/>
              </w:rPr>
              <w:t>福利金的收支帐务程序比照一般会计制度办理，支出金额超过</w:t>
            </w:r>
            <w:r>
              <w:rPr>
                <w:rFonts w:eastAsia="黑体" w:cs="楷体" w:ascii="SimHei" w:hAnsi="SimHei"/>
              </w:rPr>
              <w:t>2000</w:t>
            </w:r>
            <w:r>
              <w:rPr>
                <w:rFonts w:ascii="SimHei" w:hAnsi="SimHei" w:cs="楷体" w:eastAsia="黑体"/>
              </w:rPr>
              <w:t>元以上者需提交福利金运用小组审议。</w:t>
            </w:r>
          </w:p>
          <w:p>
            <w:pPr>
              <w:pStyle w:val="1"/>
              <w:ind w:start="1220" w:hanging="240"/>
              <w:rPr>
                <w:rFonts w:ascii="楷体" w:hAnsi="楷体" w:eastAsia="楷体" w:cs="楷体"/>
              </w:rPr>
            </w:pPr>
            <w:r>
              <w:rPr>
                <w:rFonts w:eastAsia="黑体" w:cs="楷体" w:ascii="SimHei" w:hAnsi="SimHei"/>
              </w:rPr>
              <w:t>3.</w:t>
            </w:r>
            <w:r>
              <w:rPr>
                <w:rFonts w:ascii="SimHei" w:hAnsi="SimHei" w:cs="楷体" w:eastAsia="黑体"/>
              </w:rPr>
              <w:t>福利金运用小组每半年应编列福利金运用表及资产负债表各一份交本委员会审议并予公布。</w:t>
            </w:r>
          </w:p>
          <w:p>
            <w:pPr>
              <w:pStyle w:val="Style17"/>
              <w:keepNext w:val="false"/>
              <w:keepLines w:val="false"/>
              <w:widowControl w:val="false"/>
              <w:kinsoku w:val="true"/>
              <w:overflowPunct w:val="true"/>
              <w:bidi w:val="0"/>
              <w:snapToGrid w:val="false"/>
              <w:spacing w:lineRule="auto" w:line="360"/>
              <w:ind w:start="964" w:hanging="960"/>
              <w:textAlignment w:val="auto"/>
              <w:rPr>
                <w:rFonts w:ascii="楷体" w:hAnsi="楷体" w:eastAsia="楷体" w:cs="楷体"/>
                <w:b/>
                <w:b/>
                <w:bCs/>
              </w:rPr>
            </w:pPr>
            <w:r>
              <w:rPr>
                <w:rFonts w:ascii="SimHei" w:hAnsi="SimHei" w:cs="楷体" w:eastAsia="黑体"/>
                <w:b/>
                <w:bCs/>
              </w:rPr>
              <w:t>第五条  附则</w:t>
            </w:r>
          </w:p>
          <w:p>
            <w:pPr>
              <w:pStyle w:val="1"/>
              <w:ind w:start="1220" w:hanging="240"/>
              <w:rPr>
                <w:rFonts w:ascii="楷体" w:hAnsi="楷体" w:eastAsia="楷体" w:cs="楷体"/>
              </w:rPr>
            </w:pPr>
            <w:r>
              <w:rPr>
                <w:rFonts w:ascii="SimHei" w:hAnsi="SimHei" w:cs="楷体" w:eastAsia="黑体"/>
              </w:rPr>
              <w:t>本办法自公布日起实施，未尽事宜将得以修订。</w:t>
            </w:r>
          </w:p>
          <w:p>
            <w:pPr>
              <w:pStyle w:val="Normal"/>
              <w:autoSpaceDE w:val="false"/>
              <w:jc w:val="start"/>
              <w:rPr>
                <w:rFonts w:ascii="楷体" w:hAnsi="楷体" w:eastAsia="楷体" w:cs="楷体"/>
              </w:rPr>
            </w:pPr>
            <w:r>
              <w:rPr>
                <w:rFonts w:eastAsia="黑体" w:cs="楷体" w:ascii="SimHei" w:hAnsi="SimHei"/>
              </w:rPr>
              <w:t xml:space="preserve"> </w:t>
            </w:r>
          </w:p>
        </w:tc>
      </w:tr>
      <w:tr>
        <w:trPr/>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kern w:val="0"/>
                <w:sz w:val="24"/>
                <w:szCs w:val="20"/>
                <w:lang w:val="zh-CN"/>
              </w:rPr>
              <w:t>签发人</w:t>
            </w:r>
          </w:p>
        </w:tc>
        <w:tc>
          <w:tcPr>
            <w:tcW w:w="28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kern w:val="0"/>
                <w:sz w:val="24"/>
                <w:szCs w:val="20"/>
                <w:lang w:val="zh-CN"/>
              </w:rPr>
              <w:t>责任人签名</w:t>
            </w:r>
          </w:p>
        </w:tc>
        <w:tc>
          <w:tcPr>
            <w:tcW w:w="19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sz w:val="24"/>
              </w:rPr>
            </w:pPr>
            <w:r>
              <w:rPr>
                <w:rFonts w:eastAsia="黑体" w:cs="楷体" w:ascii="SimHei" w:hAnsi="SimHei"/>
                <w:sz w:val="24"/>
              </w:rPr>
            </w:r>
          </w:p>
        </w:tc>
      </w:tr>
    </w:tbl>
    <w:p>
      <w:pPr>
        <w:pStyle w:val="Normal"/>
        <w:rPr/>
      </w:pPr>
      <w:r>
        <w:rPr>
          <w:rFonts w:ascii="SimHei" w:hAnsi="SimHei" w:eastAsia="黑体"/>
        </w:rPr>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楷体_GB2312">
    <w:altName w:val="楷体"/>
    <w:charset w:val="86"/>
    <w:family w:val="modern"/>
    <w:pitch w:val="default"/>
  </w:font>
  <w:font w:name="黑体">
    <w:charset w:val="86"/>
    <w:family w:val="auto"/>
    <w:pitch w:val="default"/>
  </w:font>
  <w:font w:name="楷体">
    <w:charset w:val="86"/>
    <w:family w:val="auto"/>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黑体" w:cs="Times New Roman"/>
      <w:color w:val="auto"/>
      <w:kern w:val="2"/>
      <w:sz w:val="28"/>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1">
    <w:name w:val="1"/>
    <w:basedOn w:val="Normal"/>
    <w:qFormat/>
    <w:pPr>
      <w:ind w:start="450" w:hanging="100"/>
      <w:jc w:val="start"/>
    </w:pPr>
    <w:rPr>
      <w:rFonts w:ascii="楷体_GB2312;楷体" w:hAnsi="楷体_GB2312;楷体" w:eastAsia="楷体_GB2312;楷体"/>
      <w:kern w:val="0"/>
      <w:sz w:val="24"/>
      <w:szCs w:val="20"/>
      <w:lang w:val="zh-CN"/>
    </w:rPr>
  </w:style>
  <w:style w:type="paragraph" w:styleId="Style15">
    <w:name w:val="表格文字"/>
    <w:basedOn w:val="Normal"/>
    <w:qFormat/>
    <w:pPr>
      <w:autoSpaceDE w:val="false"/>
      <w:jc w:val="center"/>
    </w:pPr>
    <w:rPr>
      <w:rFonts w:ascii="黑体" w:hAnsi="黑体"/>
      <w:kern w:val="0"/>
      <w:szCs w:val="20"/>
      <w:lang w:val="zh-CN"/>
    </w:rPr>
  </w:style>
  <w:style w:type="paragraph" w:styleId="Style16">
    <w:name w:val="标题中"/>
    <w:basedOn w:val="Normal"/>
    <w:qFormat/>
    <w:pPr>
      <w:autoSpaceDE w:val="false"/>
      <w:jc w:val="center"/>
    </w:pPr>
    <w:rPr>
      <w:rFonts w:ascii="黑体" w:hAnsi="黑体"/>
      <w:kern w:val="0"/>
      <w:sz w:val="24"/>
      <w:szCs w:val="20"/>
      <w:lang w:val="zh-CN"/>
    </w:rPr>
  </w:style>
  <w:style w:type="paragraph" w:styleId="Style17">
    <w:name w:val="一"/>
    <w:basedOn w:val="Normal"/>
    <w:qFormat/>
    <w:pPr>
      <w:ind w:start="400" w:hanging="400"/>
      <w:jc w:val="start"/>
    </w:pPr>
    <w:rPr>
      <w:rFonts w:ascii="楷体_GB2312;楷体" w:hAnsi="楷体_GB2312;楷体" w:eastAsia="楷体_GB2312;楷体"/>
      <w:kern w:val="0"/>
      <w:sz w:val="24"/>
      <w:szCs w:val="20"/>
      <w:lang w:val="zh-CN"/>
    </w:rPr>
  </w:style>
  <w:style w:type="paragraph" w:styleId="Style18">
    <w:name w:val="段首"/>
    <w:basedOn w:val="Style17"/>
    <w:qFormat/>
    <w:pPr>
      <w:spacing w:before="200" w:after="0"/>
    </w:pPr>
    <w:rPr/>
  </w:style>
  <w:style w:type="paragraph" w:styleId="Style19">
    <w:name w:val="扩"/>
    <w:basedOn w:val="Normal"/>
    <w:qFormat/>
    <w:pPr>
      <w:ind w:start="600" w:hanging="150"/>
      <w:jc w:val="start"/>
    </w:pPr>
    <w:rPr>
      <w:rFonts w:ascii="楷体_GB2312;楷体" w:hAnsi="楷体_GB2312;楷体" w:eastAsia="楷体_GB2312;楷体"/>
      <w:kern w:val="0"/>
      <w:sz w:val="24"/>
      <w:szCs w:val="20"/>
      <w:lang w:val="zh-CN"/>
    </w:rPr>
  </w:style>
  <w:style w:type="paragraph" w:styleId="Style20">
    <w:name w:val="一正文"/>
    <w:basedOn w:val="Style19"/>
    <w:qFormat/>
    <w:pPr>
      <w:ind w:start="500" w:hanging="15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43200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2003-08-15T15:28:00Z</dcterms:created>
  <dc:creator>jsb</dc:creator>
  <dc:description/>
  <dc:language>en-US</dc:language>
  <cp:lastModifiedBy>Administrator</cp:lastModifiedBy>
  <dcterms:modified xsi:type="dcterms:W3CDTF">2019-11-20T11:29:23Z</dcterms:modified>
  <cp:revision>5</cp:revision>
  <dc:subject/>
  <dc:title>制度名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