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2" w:afterLines="100" w:line="360" w:lineRule="auto"/>
        <w:textAlignment w:val="baseline"/>
        <w:rPr>
          <w:rFonts w:hint="eastAsia" w:ascii="楷体" w:hAnsi="宋体" w:eastAsia="楷体"/>
          <w:b/>
          <w:bCs/>
          <w:color w:val="000000"/>
          <w:sz w:val="36"/>
        </w:rPr>
      </w:pPr>
      <w:bookmarkStart w:id="0" w:name="_GoBack"/>
      <w:bookmarkEnd w:id="0"/>
      <w:r>
        <w:rPr>
          <w:rFonts w:hint="eastAsia" w:ascii="SimHei" w:hAnsi="SimHei" w:eastAsia="黑体"/>
          <w:b/>
          <w:bCs/>
          <w:color w:val="000000"/>
          <w:sz w:val="36"/>
        </w:rPr>
        <w:t>薪资与福利管理</w:t>
      </w:r>
    </w:p>
    <w:p>
      <w:pPr>
        <w:pStyle w:val="2"/>
        <w:tabs>
          <w:tab w:val="left" w:pos="851"/>
          <w:tab w:val="left" w:pos="993"/>
          <w:tab w:val="left" w:pos="1134"/>
        </w:tabs>
        <w:spacing w:before="0" w:after="0" w:line="360" w:lineRule="auto"/>
        <w:ind w:firstLine="424" w:firstLineChars="151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8"/>
          <w:szCs w:val="21"/>
        </w:rPr>
        <w:t>一、制定薪资制度的指导原则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1.遵照国家和地方有关部门关于劳动工资的有关法令政策，包括最低（工资）生活线标准，反性别歧视、劳动加班等。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2.考虑当地生活物价指数上涨，相应增加工资以保持原有生活水平。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3.坚持工资增长幅度不超过企业经济效益增长幅度，职工平均实际收入增长幅度不超过企业劳动生产率增长幅度的“两不超”原则。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4.合理的职工报酬应达到：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（1）讲求企业内外的公平性、破除大锅饭；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（2）能吸引有技能的人到企业工作；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（3）能把有才能的人留在企业不流失；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（4）能激励员工努力把工作做好，做到奖勤罚懒。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5.根据劳动力市场价格，尤其同行业公司、类似岗位的工资水平，制定竞争性工资率。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目前，已有专业人力资源咨询公司开始公开发布若干重要岗位薪资信息，企业据此可以判断其薪资水平是过低、过高或持平并作出相应的调整，尤其关注过低的关键岗位或人员。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6.适当考虑员工需求差异，薪资和福利制度留有弹性、可供选择。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7.测算人力资本成本在总成本中的比例及变动空间，考虑企业最终对薪资的财务支付能力。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8.在母公司财务管理总则指导下，全资子公司、控股子公司，执行母公司的工资管理制度；参股公司、关联协作企业自行决定工资分配。</w:t>
      </w:r>
    </w:p>
    <w:p>
      <w:pPr>
        <w:pStyle w:val="2"/>
        <w:tabs>
          <w:tab w:val="left" w:pos="851"/>
          <w:tab w:val="left" w:pos="993"/>
          <w:tab w:val="left" w:pos="1134"/>
        </w:tabs>
        <w:spacing w:before="0" w:after="0" w:line="360" w:lineRule="auto"/>
        <w:ind w:firstLine="424" w:firstLineChars="151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8"/>
          <w:szCs w:val="21"/>
        </w:rPr>
        <w:t>二、薪资制度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在美国，（蓝领）工人的报酬称为工资（wage），一般按小时计算；（白领）职员的报酬称为薪金（salary），一般按周、月、年计算。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1.工资体系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（1）职务工资制：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——按照职务的责任重要程度、工作繁简程序和工作条件划分等级，按等级规定工资标准。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——职务变动则工资相应变化。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——可能造成员工专业、技能固定在一个（种）岗位上。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（2）技能工资制：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——按照一定职务的执行能力划分工资等级，每多掌握一种技能，则增加其工资额。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——当领导职位有限、具备相当能力条件的人不能晋升时，也给予相应的工资待遇。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（3）年功工资：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——根据在本企业工作年限确定工资。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——一般假定在本企业工作年限越长、资历越丰富，能力也越强、贡献也越大，相应地，工资与资历一致。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（4）结构（结合）工资制：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多项工资制度的综合，例如：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结构工资=基础工资＋职务工资＋工龄工资＋奖金＋津贴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2.工资形式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（1）计件（奖励）工资制。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按工作量多少计算工资。例如：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直线型。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所得工资=合格品生产数量×单件工资率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递增型。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所得工资=合格品生产数量×单件工资率1（定额以下）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所得工资=合格品生产数量×单件工资率2（定额以上）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集体型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小组所得工资=小组合格生产数量×单件工资率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——优点：依实绩计酬，计算简单，能激发效率，减少管理负担。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——缺点：易出现重数量、轻质量；过分加班赶货，打破正常工作秩序；共同性劳动易起争议。——适合范围：质量易测控，产品较简单，大批量或手工作业的行业、工种。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（2）计时工资制。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按实际工作时间计算工资，工作时间包含正常工时和加班工时。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标准工时以下。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所得工资=实际工时×小时工资率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标准工时以上。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所得工资=实际工时×小时工资率＋奖金系数×超时数×小时工资率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其中，奖金系数在0～1间变动，反映不同的计酬策略。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——优点：不易产生员工间成绩争议，产品质量较有保障。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——缺点：不易激发工作主动性，会出现出工不出力现象，增加监督成本。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——适合范围：不易计件的、脑力型的任务和作业工作。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（3）产值含量工资制。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类似于计件工资制，适合生产一线工人。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（4）销售收入提成工资制。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按销售收入多少提取员工收入，适合营销业务人员。其中，有两种形式：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底薪＋销售收入提成；无底薪的销售收入提成。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（5）项目包干工资制。适用于科研单位、科研人员。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（6）年薪制。适用于企业主要领导（董事长、总经理）。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3.薪资方案制定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（1）选择影响职务工资的因素。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职务工资确定因素及等级划分表</w:t>
      </w:r>
    </w:p>
    <w:p>
      <w:pPr>
        <w:pStyle w:val="5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业根据自身情况筛选出（如上表类似）的付酬因素。</w:t>
      </w:r>
    </w:p>
    <w:p>
      <w:pPr>
        <w:pStyle w:val="5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对上表的各项因素确定评分标准和总分大小，形成标准评分表。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（2）把企业中的每一个职务情况与标准评分表对比，可以计算出每一个职务的得分。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（3）把企业中的每一个职务的得分，按从大到小或从小到大排列，再划分出工资等级及相应的薪金数额。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①由上表可归纳出企业（职务等级）标准工资表。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②工资等级合理划分：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——对大型企业，工资等级可能达到几十个之多。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——对中型企业，工资等级可以10～20个。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——对小型企业，工资等级可以在10个左右。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——本手册给出的是五类十八级方案，有较大适应性。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③确定等级间的级差，拉开等级间的档次。一般而言，在低级职务段相邻级差较小（如10元、15元），随职务升高级差逐步增大，在最高职务段相邻级差最大（如100元、200元）。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（4）以上所议薪资一般指税后工资额，要由企业代扣代缴个人所得税，故企业应考虑税前工资总额对企业财务成本的影响。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（5）加班工资只针对初级管理员和工人，而中高级职员加班是无偿的。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（6）对员工普调（增加、削减）工资方法。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①同比例调整（如都增减5％），由此造成员工等级级差拉大。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②等额调整（如都增减100元），由此造成员工等级级差缩小。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③不同比例、不等额调整，可保持级差，但操作复杂。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（7）对员工工龄工资制定方法。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①区分社会工龄和本企业工龄，社会工龄按一定比例折算为本企业工龄。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②工龄工资可为一年元，逐年等额递增。也可在不同工龄段设定不同工龄工资标准。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（8）考绩与工龄相结合。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①考核优秀的员工，在同等工龄条件下，调薪幅度可大些。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②考核良好的员工，在同等工龄条件下，调薪幅度略小些。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③考核合格的员工，则按一般标准（或下调、微调）调薪。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4.薪资管理综述与策略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（1）关于年功序列工资制。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这是日本国特有的一种工资形式，在日本经济起飞并超过美国的奇迹出现后，被管理学家归结为主要成功武器之一。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——优点：培养员工对企业的绝对忠诚以及“企业是家”的观念，员工流动性最小。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——缺点：唯资历是论，可能与真正的能力脱节，压抑积极性与创新。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年功序列制在新的经济时代变得弊大于利，日本目前正逐步放弃它。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（2）关于技能工资制。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这是一种新的工资制度。每人都从最低工资出发，按员工工作或考试显示的各种专业知识和技能逐步加薪。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——优点：减少骨干职工的流动性，促使职工自发提高技能和多岗位适应性。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——缺点：职工要求公司强化培训，推动企业培训费用与工资开支互动增长。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（3）管理者薪金制定策略。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①对初级（基层）管理者，主要考虑外部人力市场同业职位薪金竞争性。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②对中级管理者，主要考虑其资历、经验专长、过去工作贡献确定。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③对最高级管理者，主要由企业规模、行业性质、工作绩效决定。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（4）企业生命周期阶段的薪资策略。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①创业初期，职工尚不稳定，应以公平为主，着力提高企业总体平均工资水平，促进员工安心、敬业。因尚无明显业绩，故工资等级差距不宜过大。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②成长期公平与效率兼顾，拉开一定的收入差距，建立相对正规的工资制度，适度用业绩奖励调节。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③成熟期和衰退期以效率为主，激发员工工作热情以延缓企业生命周期，故应实施拉大收入差异的工资制度。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④当企业盈利较多时，可给员工普加工资；企业盈利较差时，可对员工削减工资。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（5）国外心理学家研究表明，企业各级员工大多数（主观上）认为其报酬所得抵不上其作出的贡献。为避免其副作用，企业薪资制度应有一定透明度，可以让职工参与奖励决策，实行集体分配奖金制。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（6）当工资制度不公平并难以调整时，可采取其他非薪资方式予以补偿。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（7）随着时间的推移，企业定期对工资制度作出评估，并予以合理调整或导入新的薪资体制。在日常动作中对薪资系统明显不合理之处，应及时作出修正。</w:t>
      </w:r>
    </w:p>
    <w:p>
      <w:pPr>
        <w:pStyle w:val="2"/>
        <w:tabs>
          <w:tab w:val="left" w:pos="851"/>
          <w:tab w:val="left" w:pos="993"/>
          <w:tab w:val="left" w:pos="1134"/>
        </w:tabs>
        <w:spacing w:before="0" w:after="0" w:line="360" w:lineRule="auto"/>
        <w:ind w:firstLine="424" w:firstLineChars="151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8"/>
          <w:szCs w:val="21"/>
        </w:rPr>
        <w:t>三、年薪制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1.适用范围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——企业的董事长、总经理。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——一般副职不实行年薪制。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副总经理（党委书记）是否适用，由董事会或上级决定；有的按总经理标准减半实行。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2.报酬模式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年薪=基薪＋加薪</w:t>
      </w:r>
    </w:p>
    <w:p>
      <w:pPr>
        <w:pStyle w:val="5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基薪。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主要根据企业效益水平和生产经营规模，以及本地区和本企业职工平均收入水平确定。基薪可在本地区企业职工平均工资2～4倍以内确定。</w:t>
      </w:r>
    </w:p>
    <w:p>
      <w:pPr>
        <w:pStyle w:val="5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加薪。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——国外一般将企业利润的一定比例（如10％）分给管理者，即加薪=企业利润×（分档）分红比例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——国内通常由多项工作业绩综合确定，如资产保值增值、工业产值或销售收入增长、工商税收入库情况、安全生产经营、环保达标或优质服务、思想政治工作、社会治安综合治理、文明生产经营等指标。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（3）国内国有企业推广年薪制正处于探索中，具体操作上加薪一般封顶，规定不超过基薪的几倍。如上海市加薪可达基薪的1～3倍，经营者收入不得高于本企业职工平均工资水平的4倍。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3.财务处理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（1）基薪直接进入企业成本（费用），并在企业工资总额中顺加。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（2）加薪由企业从税后待分配利润中提取。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4.具体操作要点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（1）利润基数确定：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——原则上按上年实际完成核算。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——波动大的可按前2～3年平均数核定。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——或按董事会经营计划中的利润目标确定。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（2）国内分红比例分档一般在6％～0.5％，视利润规模而定。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（3）对经营者实行个人资产风险抵押制。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（4）薪资发放：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——每月按职工人均工资预付，年终考核兑现。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——提取经营者收入不能当年全部领回，只能领取一半；另一半作为风险基金存入企业的经营者专户，每年积存，一直到经营者离位，届时将风险基金余额连同按银行同档利率归还经营者。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当经营者未能完成核定利润基数时，用风险基金补偿，补偿金额按提取风险收入的同样比例计算。当风险基金不足以支付补偿数时，则在下半年度的基薪中继续扣除，但每月扣除后基薪余额不低于当地最低工资线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●已核定赢利基数又发生亏损的，以及不能完成减亏低限指标任务的亏损（国有）企业，经营者领导班子只能领取职工平均工资；连续两年以上发生亏损或不能完成减亏指标的经营者主动辞职</w:t>
      </w:r>
    </w:p>
    <w:p>
      <w:pPr>
        <w:pStyle w:val="2"/>
        <w:tabs>
          <w:tab w:val="left" w:pos="851"/>
          <w:tab w:val="left" w:pos="993"/>
          <w:tab w:val="left" w:pos="1134"/>
        </w:tabs>
        <w:spacing w:before="0" w:after="0" w:line="360" w:lineRule="auto"/>
        <w:ind w:firstLine="424" w:firstLineChars="151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8"/>
          <w:szCs w:val="21"/>
        </w:rPr>
        <w:t>四、福利制度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福利是员工的间接报酬。目前的趋势是福利的整个报酬体系中的比重越来越大。</w:t>
      </w:r>
    </w:p>
    <w:p>
      <w:pPr>
        <w:pStyle w:val="5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福利项目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一般包括：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●职工意外伤害保险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●职工失业保险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●职工养老保险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●职工医疗保险、大病统筹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●职工个人财产保险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●带薪休假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●提供职工住房或住房补贴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●免费午餐、职工食堂或伙食补助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●提供交通接送或交通补贴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●带薪培训或教育补助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●本企业股份、股票或期权优先权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●娱乐或体育活动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●厂区整洁园林化，有益员工健康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●家庭特困补助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●家庭红白事慰问金、抚恤金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●公伤残疾、重病补助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●组织公司旅游，或提供疗养机会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●节日礼物或优惠实物分配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2.福利权利差异性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对以上这些福利项目不是供所有职工享受的，而分为：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（1）全员福利，对所有职工享有的；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（2）特种福利，如对高层人员的轿车、飞机、星级宾馆出差待遇；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（3）特困补助，针对特别困难家庭。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企业应合理划分各类、各级员工的福利项目范围，既要雪中送炭，又要锦上添花。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3.弹性的职工自助福利计划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为最大满足不同职工的差异性福利需求，可借鉴西方企业做法，推行有弹性的职工自助福利计划。具体类型：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（1）附加型。在现有的福利计划之外，再提供其他不同的福利措施，供员工选择。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（2）核心加选择型。“核心福利”是每个员工享有的基本福利，“弹性选择福利”则附有价格供员工任意选择。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（3）套餐。企业推出项目的优惠水准都不同的“福利组合”，每个员工从中择其一。</w:t>
      </w:r>
    </w:p>
    <w:p>
      <w:pPr>
        <w:pStyle w:val="5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firstLine="480" w:firstLineChars="200"/>
        <w:jc w:val="both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SimHei" w:hAnsi="SimHei" w:eastAsia="黑体"/>
          <w:color w:val="000000"/>
          <w:sz w:val="24"/>
          <w:szCs w:val="21"/>
        </w:rPr>
        <w:t>在给定每个职工福利开支总额前提下，职工在福利菜单项目范围内自行决定的福利结构。一般实际福利消费与福利限额的差异可折发现金或抵扣工资。</w:t>
      </w:r>
    </w:p>
    <w:sectPr>
      <w:footerReference r:id="rId3" w:type="even"/>
      <w:pgSz w:w="11906" w:h="16838"/>
      <w:pgMar w:top="850" w:right="1474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74A7"/>
    <w:multiLevelType w:val="multilevel"/>
    <w:tmpl w:val="257074A7"/>
    <w:lvl w:ilvl="0" w:tentative="0">
      <w:start w:val="1"/>
      <w:numFmt w:val="decimalEnclosedCircle"/>
      <w:lvlText w:val="%1_x0001_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4D11C3"/>
    <w:multiLevelType w:val="multilevel"/>
    <w:tmpl w:val="434D11C3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CBF0305"/>
    <w:multiLevelType w:val="multilevel"/>
    <w:tmpl w:val="4CBF0305"/>
    <w:lvl w:ilvl="0" w:tentative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FA"/>
    <w:rsid w:val="00023CEA"/>
    <w:rsid w:val="00074541"/>
    <w:rsid w:val="002C2EFA"/>
    <w:rsid w:val="003938C8"/>
    <w:rsid w:val="00656E30"/>
    <w:rsid w:val="00833D68"/>
    <w:rsid w:val="00971099"/>
    <w:rsid w:val="009B3DF1"/>
    <w:rsid w:val="00BA4AE1"/>
    <w:rsid w:val="00C95158"/>
    <w:rsid w:val="00E46579"/>
    <w:rsid w:val="00E979FF"/>
    <w:rsid w:val="00F63CAC"/>
    <w:rsid w:val="00F83FA4"/>
    <w:rsid w:val="384D0D5F"/>
    <w:rsid w:val="63056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nhideWhenUsed/>
    <w:uiPriority w:val="99"/>
  </w:style>
  <w:style w:type="character" w:customStyle="1" w:styleId="11">
    <w:name w:val="标题 1 Char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2">
    <w:name w:val="页眉 字符"/>
    <w:link w:val="4"/>
    <w:uiPriority w:val="99"/>
    <w:rPr>
      <w:kern w:val="2"/>
      <w:sz w:val="18"/>
      <w:szCs w:val="18"/>
    </w:rPr>
  </w:style>
  <w:style w:type="character" w:customStyle="1" w:styleId="13">
    <w:name w:val="页脚 字符"/>
    <w:link w:val="3"/>
    <w:uiPriority w:val="99"/>
    <w:rPr>
      <w:kern w:val="2"/>
      <w:sz w:val="18"/>
      <w:szCs w:val="18"/>
    </w:rPr>
  </w:style>
  <w:style w:type="character" w:customStyle="1" w:styleId="14">
    <w:name w:val="标题 Char"/>
    <w:basedOn w:val="8"/>
    <w:link w:val="6"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693</Words>
  <Characters>3954</Characters>
  <Lines>32</Lines>
  <Paragraphs>9</Paragraphs>
  <TotalTime>0</TotalTime>
  <ScaleCrop>false</ScaleCrop>
  <LinksUpToDate>false</LinksUpToDate>
  <CharactersWithSpaces>4638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2019-04-08T10:12:00Z</dcterms:created>
  <dc:creator>administrator</dc:creator>
  <cp:lastModifiedBy>Administrator</cp:lastModifiedBy>
  <dcterms:modified xsi:type="dcterms:W3CDTF">2019-10-18T02:05:59Z</dcterms:modified>
  <dc:title>薪资与福利管理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