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sz w:val="36"/>
          <w:szCs w:val="36"/>
        </w:rPr>
      </w:pPr>
      <w:bookmarkStart w:id="88" w:name="_GoBack"/>
      <w:bookmarkEnd w:id="88"/>
      <w:r>
        <w:rPr>
          <w:rFonts w:hint="eastAsia" w:ascii="SimHei" w:hAnsi="SimHei" w:eastAsia="黑体" w:cs="楷体"/>
          <w:b/>
          <w:sz w:val="36"/>
          <w:szCs w:val="36"/>
        </w:rPr>
        <w:t>本部薪酬管理制度</w:t>
      </w:r>
      <w:bookmarkStart w:id="0" w:name="_Toc215478582"/>
      <w:bookmarkStart w:id="1" w:name="_Toc215462437"/>
      <w:bookmarkStart w:id="2" w:name="_Toc215462122"/>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 w:hAnsi="楷体" w:eastAsia="楷体" w:cs="楷体"/>
          <w:b/>
          <w:sz w:val="24"/>
          <w:szCs w:val="24"/>
        </w:rPr>
      </w:pPr>
      <w:r>
        <w:rPr>
          <w:rFonts w:hint="eastAsia" w:ascii="SimHei" w:hAnsi="SimHei" w:eastAsia="黑体" w:cs="楷体"/>
          <w:b/>
          <w:sz w:val="24"/>
          <w:szCs w:val="24"/>
        </w:rPr>
        <w:t>（试行）</w:t>
      </w:r>
    </w:p>
    <w:p>
      <w:pPr>
        <w:keepNext w:val="0"/>
        <w:keepLines w:val="0"/>
        <w:pageBreakBefore w:val="0"/>
        <w:numPr>
          <w:ilvl w:val="0"/>
          <w:numId w:val="1"/>
        </w:numPr>
        <w:kinsoku/>
        <w:wordWrap/>
        <w:overflowPunct/>
        <w:topLinePunct w:val="0"/>
        <w:autoSpaceDE/>
        <w:autoSpaceDN/>
        <w:bidi w:val="0"/>
        <w:adjustRightInd/>
        <w:snapToGrid/>
        <w:spacing w:line="360" w:lineRule="auto"/>
        <w:ind w:left="0" w:firstLine="482" w:firstLineChars="200"/>
        <w:jc w:val="both"/>
        <w:textAlignment w:val="auto"/>
        <w:outlineLvl w:val="0"/>
        <w:rPr>
          <w:rFonts w:hint="eastAsia" w:ascii="楷体" w:hAnsi="楷体" w:eastAsia="楷体" w:cs="楷体"/>
          <w:b/>
          <w:bCs/>
          <w:color w:val="000000"/>
          <w:sz w:val="24"/>
          <w:szCs w:val="24"/>
        </w:rPr>
      </w:pPr>
      <w:bookmarkStart w:id="3" w:name="_Toc215638367"/>
      <w:r>
        <w:rPr>
          <w:rFonts w:hint="eastAsia" w:ascii="SimHei" w:hAnsi="SimHei" w:eastAsia="黑体" w:cs="楷体"/>
          <w:b/>
          <w:bCs/>
          <w:color w:val="000000"/>
          <w:sz w:val="24"/>
          <w:szCs w:val="24"/>
        </w:rPr>
        <w:t>总 则</w:t>
      </w:r>
      <w:bookmarkEnd w:id="0"/>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楷体" w:hAnsi="楷体" w:eastAsia="楷体" w:cs="楷体"/>
          <w:b/>
          <w:color w:val="000000"/>
          <w:sz w:val="24"/>
          <w:szCs w:val="24"/>
        </w:rPr>
      </w:pPr>
      <w:bookmarkStart w:id="4" w:name="_Toc215478583"/>
      <w:bookmarkStart w:id="5" w:name="_Toc215462438"/>
      <w:bookmarkStart w:id="6" w:name="_Toc215638368"/>
      <w:r>
        <w:rPr>
          <w:rFonts w:hint="eastAsia" w:ascii="SimHei" w:hAnsi="SimHei" w:eastAsia="黑体" w:cs="楷体"/>
          <w:b/>
          <w:color w:val="000000"/>
          <w:sz w:val="24"/>
          <w:szCs w:val="24"/>
        </w:rPr>
        <w:t xml:space="preserve">第一条 </w:t>
      </w:r>
      <w:bookmarkEnd w:id="4"/>
      <w:bookmarkEnd w:id="5"/>
      <w:bookmarkEnd w:id="6"/>
      <w:r>
        <w:rPr>
          <w:rFonts w:hint="eastAsia" w:ascii="SimHei" w:hAnsi="SimHei" w:eastAsia="黑体" w:cs="楷体"/>
          <w:b/>
          <w:color w:val="000000"/>
          <w:sz w:val="24"/>
          <w:szCs w:val="24"/>
        </w:rPr>
        <w:t>目的</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bookmarkStart w:id="7" w:name="_Toc215478584"/>
      <w:bookmarkStart w:id="8" w:name="_Toc215462439"/>
      <w:bookmarkStart w:id="9" w:name="_Toc215461990"/>
      <w:bookmarkStart w:id="10" w:name="_Toc215395946"/>
      <w:bookmarkStart w:id="11" w:name="_Toc215395904"/>
      <w:r>
        <w:rPr>
          <w:rFonts w:hint="eastAsia" w:ascii="SimHei" w:hAnsi="SimHei" w:eastAsia="黑体" w:cs="楷体"/>
          <w:sz w:val="24"/>
          <w:szCs w:val="24"/>
        </w:rPr>
        <w:t>为了有效吸引和激励公司员工，吸引更多更好的优秀人才加盟，确保公司“十二五”战略规划的实现，根据</w:t>
      </w:r>
      <w:r>
        <w:rPr>
          <w:rFonts w:hint="eastAsia" w:ascii="SimHei" w:hAnsi="SimHei" w:eastAsia="黑体" w:cs="楷体"/>
          <w:color w:val="000000"/>
          <w:sz w:val="24"/>
          <w:szCs w:val="24"/>
        </w:rPr>
        <w:t>国家有关法规，特制定本制度。</w:t>
      </w:r>
      <w:bookmarkEnd w:id="7"/>
      <w:bookmarkEnd w:id="8"/>
      <w:bookmarkEnd w:id="9"/>
      <w:bookmarkEnd w:id="10"/>
      <w:bookmarkEnd w:id="11"/>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楷体" w:hAnsi="楷体" w:eastAsia="楷体" w:cs="楷体"/>
          <w:b/>
          <w:color w:val="000000"/>
          <w:sz w:val="24"/>
          <w:szCs w:val="24"/>
        </w:rPr>
      </w:pPr>
      <w:bookmarkStart w:id="12" w:name="_Toc215638369"/>
      <w:bookmarkStart w:id="13" w:name="_Toc215478585"/>
      <w:bookmarkStart w:id="14" w:name="_Toc215462440"/>
      <w:r>
        <w:rPr>
          <w:rFonts w:hint="eastAsia" w:ascii="SimHei" w:hAnsi="SimHei" w:eastAsia="黑体" w:cs="楷体"/>
          <w:b/>
          <w:color w:val="000000"/>
          <w:sz w:val="24"/>
          <w:szCs w:val="24"/>
        </w:rPr>
        <w:t>第二条 薪酬管理理念</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在薪酬管理理念上，打破论资排辈和摒除单纯以职务定薪酬”的传统薪酬模式,按现代3P付薪理念，坚持以为“岗位”（Position）付薪、为“能力”（Personality)付薪、为“绩效”（Performance）付薪，同时兼顾内、外部公平，科学反映员工的贡献。</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楷体" w:hAnsi="楷体" w:eastAsia="楷体" w:cs="楷体"/>
          <w:b/>
          <w:color w:val="000000"/>
          <w:sz w:val="24"/>
          <w:szCs w:val="24"/>
        </w:rPr>
      </w:pPr>
      <w:r>
        <w:rPr>
          <w:rFonts w:hint="eastAsia" w:ascii="SimHei" w:hAnsi="SimHei" w:eastAsia="黑体" w:cs="楷体"/>
          <w:b/>
          <w:color w:val="000000"/>
          <w:sz w:val="24"/>
          <w:szCs w:val="24"/>
        </w:rPr>
        <w:t>第三条</w:t>
      </w:r>
      <w:r>
        <w:rPr>
          <w:rFonts w:hint="eastAsia" w:ascii="SimHei" w:hAnsi="SimHei" w:eastAsia="黑体" w:cs="楷体"/>
          <w:color w:val="000000"/>
          <w:sz w:val="24"/>
          <w:szCs w:val="24"/>
        </w:rPr>
        <w:t xml:space="preserve"> </w:t>
      </w:r>
      <w:r>
        <w:rPr>
          <w:rFonts w:hint="eastAsia" w:ascii="SimHei" w:hAnsi="SimHei" w:eastAsia="黑体" w:cs="楷体"/>
          <w:b/>
          <w:color w:val="000000"/>
          <w:sz w:val="24"/>
          <w:szCs w:val="24"/>
        </w:rPr>
        <w:t>薪酬分配原则</w:t>
      </w:r>
      <w:bookmarkEnd w:id="12"/>
      <w:bookmarkEnd w:id="13"/>
      <w:bookmarkEnd w:id="14"/>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1"/>
        <w:rPr>
          <w:rFonts w:hint="eastAsia" w:ascii="楷体" w:hAnsi="楷体" w:eastAsia="楷体" w:cs="楷体"/>
          <w:color w:val="000000"/>
          <w:sz w:val="24"/>
          <w:szCs w:val="24"/>
        </w:rPr>
      </w:pPr>
      <w:bookmarkStart w:id="15" w:name="_Toc215638370"/>
      <w:bookmarkStart w:id="16" w:name="_Toc215478590"/>
      <w:bookmarkStart w:id="17" w:name="_Toc215462445"/>
      <w:r>
        <w:rPr>
          <w:rFonts w:hint="eastAsia" w:ascii="SimHei" w:hAnsi="SimHei" w:eastAsia="黑体" w:cs="楷体"/>
          <w:color w:val="000000"/>
          <w:sz w:val="24"/>
          <w:szCs w:val="24"/>
        </w:rPr>
        <w:t>按薪酬分配的一般原则和央企的特点，本薪酬制度遵循以下原则：</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1"/>
        <w:rPr>
          <w:rFonts w:hint="eastAsia" w:ascii="楷体" w:hAnsi="楷体" w:eastAsia="楷体" w:cs="楷体"/>
          <w:color w:val="000000"/>
          <w:sz w:val="24"/>
          <w:szCs w:val="24"/>
        </w:rPr>
      </w:pPr>
      <w:r>
        <w:rPr>
          <w:rFonts w:hint="eastAsia" w:ascii="SimHei" w:hAnsi="SimHei" w:eastAsia="黑体" w:cs="楷体"/>
          <w:color w:val="000000"/>
          <w:sz w:val="24"/>
          <w:szCs w:val="24"/>
        </w:rPr>
        <w:t>效益原则：按央企工效挂钩办法，以效益为前提，实施薪酬总额控制，并按坚持“工资总额的增长低于经济效益增长、员工平均工资的增长低于劳动生产率的增长”，建立员工工资与企业经济效益共进退的机制。</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1"/>
        <w:rPr>
          <w:rFonts w:hint="eastAsia" w:ascii="楷体" w:hAnsi="楷体" w:eastAsia="楷体" w:cs="楷体"/>
          <w:color w:val="000000"/>
          <w:sz w:val="24"/>
          <w:szCs w:val="24"/>
        </w:rPr>
      </w:pPr>
      <w:r>
        <w:rPr>
          <w:rFonts w:hint="eastAsia" w:ascii="SimHei" w:hAnsi="SimHei" w:eastAsia="黑体" w:cs="楷体"/>
          <w:color w:val="000000"/>
          <w:sz w:val="24"/>
          <w:szCs w:val="24"/>
        </w:rPr>
        <w:t>竞争原则：现阶段，公司属于战略性投入期，不符合工效挂钩条件的情况下，实施工资总额预算控制下的，有竞争力的薪酬领先策略，薪酬分配以提高关键岗位在人才市场上的薪酬竞争力和吸引力为导向。通过优化薪酬结构，调整薪酬水平，建立有竞争力的薪酬体系，从而吸引优秀人才，确保企业快速的发展。</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1"/>
        <w:rPr>
          <w:rFonts w:hint="eastAsia" w:ascii="楷体" w:hAnsi="楷体" w:eastAsia="楷体" w:cs="楷体"/>
          <w:color w:val="000000"/>
          <w:sz w:val="24"/>
          <w:szCs w:val="24"/>
        </w:rPr>
      </w:pPr>
      <w:r>
        <w:rPr>
          <w:rFonts w:hint="eastAsia" w:ascii="SimHei" w:hAnsi="SimHei" w:eastAsia="黑体" w:cs="楷体"/>
          <w:color w:val="000000"/>
          <w:sz w:val="24"/>
          <w:szCs w:val="24"/>
        </w:rPr>
        <w:t>激励原则：薪酬以增强工资的激励性为导向，通过绩效工资增加薪酬的激励性，通过年度奖金和利润提成奖励政策，建立起风险与收益相结合的激励机制；通过设计不同职系的薪酬晋升通道，激励员工立足本职，通过持续提升能力和绩效实现薪酬的提高。</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1"/>
        <w:rPr>
          <w:rFonts w:hint="eastAsia" w:ascii="楷体" w:hAnsi="楷体" w:eastAsia="楷体" w:cs="楷体"/>
          <w:color w:val="000000"/>
          <w:sz w:val="24"/>
          <w:szCs w:val="24"/>
        </w:rPr>
      </w:pPr>
      <w:r>
        <w:rPr>
          <w:rFonts w:hint="eastAsia" w:ascii="SimHei" w:hAnsi="SimHei" w:eastAsia="黑体" w:cs="楷体"/>
          <w:color w:val="000000"/>
          <w:sz w:val="24"/>
          <w:szCs w:val="24"/>
        </w:rPr>
        <w:t>合法合规性：薪酬分配制度要在国家的法律、法规等制度框架下来制定，并且按国资委对央企的薪酬绩效管理有关文件为基本依据。</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楷体" w:hAnsi="楷体" w:eastAsia="楷体" w:cs="楷体"/>
          <w:b/>
          <w:color w:val="000000"/>
          <w:sz w:val="24"/>
          <w:szCs w:val="24"/>
        </w:rPr>
      </w:pPr>
      <w:r>
        <w:rPr>
          <w:rFonts w:hint="eastAsia" w:ascii="SimHei" w:hAnsi="SimHei" w:eastAsia="黑体" w:cs="楷体"/>
          <w:b/>
          <w:color w:val="000000"/>
          <w:sz w:val="24"/>
          <w:szCs w:val="24"/>
        </w:rPr>
        <w:t xml:space="preserve">第四条 </w:t>
      </w:r>
      <w:bookmarkEnd w:id="15"/>
      <w:bookmarkEnd w:id="16"/>
      <w:bookmarkEnd w:id="17"/>
      <w:bookmarkStart w:id="18" w:name="_Toc215638372"/>
      <w:bookmarkStart w:id="19" w:name="_Toc215478592"/>
      <w:bookmarkStart w:id="20" w:name="_Toc215462447"/>
      <w:r>
        <w:rPr>
          <w:rFonts w:hint="eastAsia" w:ascii="SimHei" w:hAnsi="SimHei" w:eastAsia="黑体" w:cs="楷体"/>
          <w:b/>
          <w:color w:val="000000"/>
          <w:sz w:val="24"/>
          <w:szCs w:val="24"/>
        </w:rPr>
        <w:t>适用范围</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本规定适用于工资关系在公司的本部员工，某集团每年核定薪酬的企业负责人。</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0"/>
        <w:rPr>
          <w:rFonts w:hint="eastAsia" w:ascii="楷体" w:hAnsi="楷体" w:eastAsia="楷体" w:cs="楷体"/>
          <w:b/>
          <w:bCs/>
          <w:color w:val="000000"/>
          <w:sz w:val="24"/>
          <w:szCs w:val="24"/>
        </w:rPr>
      </w:pPr>
    </w:p>
    <w:bookmarkEnd w:id="18"/>
    <w:bookmarkEnd w:id="19"/>
    <w:bookmarkEnd w:id="20"/>
    <w:p>
      <w:pPr>
        <w:keepNext w:val="0"/>
        <w:keepLines w:val="0"/>
        <w:pageBreakBefore w:val="0"/>
        <w:numPr>
          <w:ilvl w:val="0"/>
          <w:numId w:val="1"/>
        </w:numPr>
        <w:kinsoku/>
        <w:wordWrap/>
        <w:overflowPunct/>
        <w:topLinePunct w:val="0"/>
        <w:autoSpaceDE/>
        <w:autoSpaceDN/>
        <w:bidi w:val="0"/>
        <w:adjustRightInd/>
        <w:snapToGrid/>
        <w:spacing w:line="360" w:lineRule="auto"/>
        <w:ind w:left="0" w:firstLine="482" w:firstLineChars="200"/>
        <w:jc w:val="both"/>
        <w:textAlignment w:val="auto"/>
        <w:outlineLvl w:val="0"/>
        <w:rPr>
          <w:rFonts w:hint="eastAsia" w:ascii="楷体" w:hAnsi="楷体" w:eastAsia="楷体" w:cs="楷体"/>
          <w:b/>
          <w:bCs/>
          <w:color w:val="000000"/>
          <w:sz w:val="24"/>
          <w:szCs w:val="24"/>
        </w:rPr>
      </w:pPr>
      <w:bookmarkStart w:id="21" w:name="_Toc215478593"/>
      <w:bookmarkStart w:id="22" w:name="_Toc215462448"/>
      <w:bookmarkStart w:id="23" w:name="_Toc215462123"/>
      <w:bookmarkStart w:id="24" w:name="_Toc215638373"/>
      <w:r>
        <w:rPr>
          <w:rFonts w:hint="eastAsia" w:ascii="SimHei" w:hAnsi="SimHei" w:eastAsia="黑体" w:cs="楷体"/>
          <w:b/>
          <w:bCs/>
          <w:color w:val="000000"/>
          <w:sz w:val="24"/>
          <w:szCs w:val="24"/>
        </w:rPr>
        <w:t xml:space="preserve"> </w:t>
      </w:r>
      <w:bookmarkEnd w:id="21"/>
      <w:bookmarkEnd w:id="22"/>
      <w:bookmarkEnd w:id="23"/>
      <w:bookmarkEnd w:id="24"/>
      <w:r>
        <w:rPr>
          <w:rFonts w:hint="eastAsia" w:ascii="SimHei" w:hAnsi="SimHei" w:eastAsia="黑体" w:cs="楷体"/>
          <w:b/>
          <w:bCs/>
          <w:color w:val="000000"/>
          <w:sz w:val="24"/>
          <w:szCs w:val="24"/>
        </w:rPr>
        <w:t>职级及薪酬模式</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楷体" w:hAnsi="楷体" w:eastAsia="楷体" w:cs="楷体"/>
          <w:b/>
          <w:color w:val="000000"/>
          <w:sz w:val="24"/>
          <w:szCs w:val="24"/>
        </w:rPr>
      </w:pPr>
      <w:bookmarkStart w:id="25" w:name="_Toc215638374"/>
      <w:bookmarkStart w:id="26" w:name="_Toc215478594"/>
      <w:bookmarkStart w:id="27" w:name="_Toc215462449"/>
      <w:r>
        <w:rPr>
          <w:rFonts w:hint="eastAsia" w:ascii="SimHei" w:hAnsi="SimHei" w:eastAsia="黑体" w:cs="楷体"/>
          <w:b/>
          <w:color w:val="000000"/>
          <w:sz w:val="24"/>
          <w:szCs w:val="24"/>
        </w:rPr>
        <w:t>第五条</w:t>
      </w:r>
      <w:bookmarkEnd w:id="25"/>
      <w:bookmarkEnd w:id="26"/>
      <w:bookmarkEnd w:id="27"/>
      <w:r>
        <w:rPr>
          <w:rFonts w:hint="eastAsia" w:ascii="SimHei" w:hAnsi="SimHei" w:eastAsia="黑体" w:cs="楷体"/>
          <w:b/>
          <w:color w:val="000000"/>
          <w:sz w:val="24"/>
          <w:szCs w:val="24"/>
        </w:rPr>
        <w:t xml:space="preserve"> 职级设置</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bookmarkStart w:id="28" w:name="_Toc215478595"/>
      <w:bookmarkStart w:id="29" w:name="_Toc215462450"/>
      <w:bookmarkStart w:id="30" w:name="_Toc215462001"/>
      <w:bookmarkStart w:id="31" w:name="_Toc215395957"/>
      <w:r>
        <w:rPr>
          <w:rFonts w:hint="eastAsia" w:ascii="SimHei" w:hAnsi="SimHei" w:eastAsia="黑体" w:cs="楷体"/>
          <w:color w:val="000000"/>
          <w:sz w:val="24"/>
          <w:szCs w:val="24"/>
        </w:rPr>
        <w:t>某集团及公司的实际，本部设置十个职级，从高到低依次为：董事长（含党委书记）、总经理（含副董事长、党委副书记）、副总经理（含三总师）、总经理助理级（含副总师）、部门主任、部门副主任及主任工程师、处长、主管、</w:t>
      </w:r>
      <w:bookmarkEnd w:id="28"/>
      <w:bookmarkEnd w:id="29"/>
      <w:bookmarkEnd w:id="30"/>
      <w:bookmarkEnd w:id="31"/>
      <w:r>
        <w:rPr>
          <w:rFonts w:hint="eastAsia" w:ascii="SimHei" w:hAnsi="SimHei" w:eastAsia="黑体" w:cs="楷体"/>
          <w:color w:val="000000"/>
          <w:sz w:val="24"/>
          <w:szCs w:val="24"/>
        </w:rPr>
        <w:t>主办业务员、业务员。</w:t>
      </w:r>
    </w:p>
    <w:p>
      <w:pPr>
        <w:keepNext w:val="0"/>
        <w:keepLines w:val="0"/>
        <w:pageBreakBefore w:val="0"/>
        <w:widowControl/>
        <w:tabs>
          <w:tab w:val="left" w:pos="6096"/>
        </w:tabs>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bookmarkStart w:id="32" w:name="_Toc215478596"/>
      <w:bookmarkStart w:id="33" w:name="_Toc215462451"/>
      <w:bookmarkStart w:id="34" w:name="_Toc215462002"/>
      <w:bookmarkStart w:id="35" w:name="_Toc215395958"/>
      <w:r>
        <w:rPr>
          <w:rFonts w:hint="eastAsia" w:ascii="SimHei" w:hAnsi="SimHei" w:eastAsia="黑体" w:cs="楷体"/>
          <w:color w:val="000000"/>
          <w:sz w:val="24"/>
          <w:szCs w:val="24"/>
        </w:rPr>
        <w:t>总经理助理及以上班子成员为高管层级，部门的正、副主任以及主任工程师为中层层级，其他职级的员工为一般员工层级。</w:t>
      </w:r>
      <w:bookmarkEnd w:id="32"/>
      <w:bookmarkEnd w:id="33"/>
      <w:bookmarkEnd w:id="34"/>
      <w:bookmarkEnd w:id="35"/>
    </w:p>
    <w:p>
      <w:pPr>
        <w:keepNext w:val="0"/>
        <w:keepLines w:val="0"/>
        <w:pageBreakBefore w:val="0"/>
        <w:widowControl/>
        <w:tabs>
          <w:tab w:val="left" w:pos="6096"/>
        </w:tabs>
        <w:kinsoku/>
        <w:wordWrap/>
        <w:overflowPunct/>
        <w:topLinePunct w:val="0"/>
        <w:autoSpaceDE/>
        <w:autoSpaceDN/>
        <w:bidi w:val="0"/>
        <w:adjustRightInd/>
        <w:snapToGrid/>
        <w:spacing w:line="360" w:lineRule="auto"/>
        <w:ind w:left="0" w:firstLine="482" w:firstLineChars="200"/>
        <w:jc w:val="both"/>
        <w:textAlignment w:val="auto"/>
        <w:rPr>
          <w:rFonts w:hint="eastAsia" w:ascii="楷体" w:hAnsi="楷体" w:eastAsia="楷体" w:cs="楷体"/>
          <w:b/>
          <w:color w:val="000000"/>
          <w:sz w:val="24"/>
          <w:szCs w:val="24"/>
        </w:rPr>
      </w:pPr>
      <w:r>
        <w:rPr>
          <w:rFonts w:hint="eastAsia" w:ascii="SimHei" w:hAnsi="SimHei" w:eastAsia="黑体" w:cs="楷体"/>
          <w:b/>
          <w:color w:val="000000"/>
          <w:sz w:val="24"/>
          <w:szCs w:val="24"/>
        </w:rPr>
        <w:t>第六条 薪酬模式</w:t>
      </w:r>
    </w:p>
    <w:p>
      <w:pPr>
        <w:keepNext w:val="0"/>
        <w:keepLines w:val="0"/>
        <w:pageBreakBefore w:val="0"/>
        <w:widowControl/>
        <w:tabs>
          <w:tab w:val="left" w:pos="6096"/>
        </w:tabs>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公司本部实施宽带薪酬体系，其中，本部中层及高管实行年薪制，员工层级实行岗效工资制。</w:t>
      </w:r>
    </w:p>
    <w:p>
      <w:pPr>
        <w:keepNext w:val="0"/>
        <w:keepLines w:val="0"/>
        <w:pageBreakBefore w:val="0"/>
        <w:numPr>
          <w:ilvl w:val="0"/>
          <w:numId w:val="1"/>
        </w:numPr>
        <w:kinsoku/>
        <w:wordWrap/>
        <w:overflowPunct/>
        <w:topLinePunct w:val="0"/>
        <w:autoSpaceDE/>
        <w:autoSpaceDN/>
        <w:bidi w:val="0"/>
        <w:adjustRightInd/>
        <w:snapToGrid/>
        <w:spacing w:line="360" w:lineRule="auto"/>
        <w:ind w:left="0" w:firstLine="482" w:firstLineChars="200"/>
        <w:jc w:val="both"/>
        <w:textAlignment w:val="auto"/>
        <w:outlineLvl w:val="0"/>
        <w:rPr>
          <w:rFonts w:hint="eastAsia" w:ascii="楷体" w:hAnsi="楷体" w:eastAsia="楷体" w:cs="楷体"/>
          <w:b/>
          <w:bCs/>
          <w:color w:val="000000"/>
          <w:sz w:val="24"/>
          <w:szCs w:val="24"/>
        </w:rPr>
      </w:pPr>
      <w:r>
        <w:rPr>
          <w:rFonts w:hint="eastAsia" w:ascii="SimHei" w:hAnsi="SimHei" w:eastAsia="黑体" w:cs="楷体"/>
          <w:b/>
          <w:bCs/>
          <w:color w:val="000000"/>
          <w:sz w:val="24"/>
          <w:szCs w:val="24"/>
        </w:rPr>
        <w:t>薪酬结构和水平</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楷体" w:hAnsi="楷体" w:eastAsia="楷体" w:cs="楷体"/>
          <w:b/>
          <w:color w:val="000000"/>
          <w:sz w:val="24"/>
          <w:szCs w:val="24"/>
        </w:rPr>
      </w:pPr>
      <w:bookmarkStart w:id="36" w:name="_Toc215638375"/>
      <w:bookmarkStart w:id="37" w:name="_Toc215478597"/>
      <w:bookmarkStart w:id="38" w:name="_Toc215462452"/>
      <w:r>
        <w:rPr>
          <w:rFonts w:hint="eastAsia" w:ascii="SimHei" w:hAnsi="SimHei" w:eastAsia="黑体" w:cs="楷体"/>
          <w:b/>
          <w:color w:val="000000"/>
          <w:sz w:val="24"/>
          <w:szCs w:val="24"/>
        </w:rPr>
        <w:t>第七条 薪酬结构</w:t>
      </w:r>
    </w:p>
    <w:bookmarkEnd w:id="36"/>
    <w:bookmarkEnd w:id="37"/>
    <w:bookmarkEnd w:id="38"/>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Fonts w:hint="eastAsia" w:ascii="楷体" w:hAnsi="楷体" w:eastAsia="楷体" w:cs="楷体"/>
          <w:color w:val="000000"/>
          <w:sz w:val="24"/>
          <w:szCs w:val="24"/>
        </w:rPr>
      </w:pPr>
      <w:bookmarkStart w:id="39" w:name="_Toc215638376"/>
      <w:r>
        <w:rPr>
          <w:rFonts w:hint="eastAsia" w:ascii="SimHei" w:hAnsi="SimHei" w:eastAsia="黑体" w:cs="楷体"/>
          <w:color w:val="000000"/>
          <w:sz w:val="24"/>
          <w:szCs w:val="24"/>
        </w:rPr>
        <w:t>（一）我公司班子成员</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Fonts w:hint="eastAsia" w:ascii="楷体" w:hAnsi="楷体" w:eastAsia="楷体" w:cs="楷体"/>
          <w:color w:val="000000"/>
          <w:sz w:val="24"/>
          <w:szCs w:val="24"/>
        </w:rPr>
      </w:pPr>
      <w:r>
        <w:rPr>
          <w:rFonts w:hint="eastAsia" w:ascii="SimHei" w:hAnsi="SimHei" w:eastAsia="黑体" w:cs="楷体"/>
          <w:color w:val="000000"/>
          <w:sz w:val="24"/>
          <w:szCs w:val="24"/>
        </w:rPr>
        <w:t>我公司班子成员的薪酬，由基薪、绩效薪金和中长期激励三个薪酬单元组成。基薪是高管年度基本收入，绩效薪金是与经营业绩考核结果挂钩，考核后的绩效薪金倍数乘以基薪。</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Fonts w:hint="eastAsia" w:ascii="楷体" w:hAnsi="楷体" w:eastAsia="楷体" w:cs="楷体"/>
          <w:color w:val="FF0000"/>
          <w:sz w:val="24"/>
          <w:szCs w:val="24"/>
        </w:rPr>
      </w:pPr>
      <w:r>
        <w:rPr>
          <w:rFonts w:hint="eastAsia" w:ascii="SimHei" w:hAnsi="SimHei" w:eastAsia="黑体" w:cs="楷体"/>
          <w:color w:val="000000"/>
          <w:sz w:val="24"/>
          <w:szCs w:val="24"/>
        </w:rPr>
        <w:t>某集团负责管理。</w:t>
      </w:r>
      <w:r>
        <w:rPr>
          <w:rFonts w:hint="eastAsia" w:ascii="SimHei" w:hAnsi="SimHei" w:eastAsia="黑体" w:cs="楷体"/>
          <w:color w:val="FF0000"/>
          <w:sz w:val="24"/>
          <w:szCs w:val="24"/>
        </w:rPr>
        <w:t>我公司副总工程师、总助层级由我公司参考班子成员的薪酬管理办法进行管理。</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Fonts w:hint="eastAsia" w:ascii="楷体" w:hAnsi="楷体" w:eastAsia="楷体" w:cs="楷体"/>
          <w:color w:val="000000"/>
          <w:sz w:val="24"/>
          <w:szCs w:val="24"/>
        </w:rPr>
      </w:pPr>
      <w:r>
        <w:rPr>
          <w:rFonts w:hint="eastAsia" w:ascii="SimHei" w:hAnsi="SimHei" w:eastAsia="黑体" w:cs="楷体"/>
          <w:color w:val="000000"/>
          <w:sz w:val="24"/>
          <w:szCs w:val="24"/>
        </w:rPr>
        <w:t>（二）我公司中层员工</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Fonts w:hint="eastAsia" w:ascii="楷体" w:hAnsi="楷体" w:eastAsia="楷体" w:cs="楷体"/>
          <w:color w:val="000000"/>
          <w:sz w:val="24"/>
          <w:szCs w:val="24"/>
        </w:rPr>
      </w:pPr>
      <w:r>
        <w:rPr>
          <w:rFonts w:hint="eastAsia" w:ascii="SimHei" w:hAnsi="SimHei" w:eastAsia="黑体" w:cs="楷体"/>
          <w:color w:val="000000"/>
          <w:sz w:val="24"/>
          <w:szCs w:val="24"/>
        </w:rPr>
        <w:t>中层员工年薪制人员的薪酬，由基本年薪、绩效年薪、工龄工资、福利津贴、年终效益奖励构成，其中基本年薪和绩效年薪构成岗位标准年薪。</w:t>
      </w:r>
      <w:bookmarkEnd w:id="39"/>
      <w:bookmarkStart w:id="40" w:name="_Toc215478598"/>
      <w:bookmarkStart w:id="41" w:name="_Toc215462453"/>
      <w:r>
        <w:rPr>
          <w:rFonts w:hint="eastAsia" w:ascii="SimHei" w:hAnsi="SimHei" w:eastAsia="黑体" w:cs="楷体"/>
          <w:color w:val="000000"/>
          <w:sz w:val="24"/>
          <w:szCs w:val="24"/>
        </w:rPr>
        <w:t>年薪制人员的基本年薪、绩效年薪的比例，视管理需要可以调整。</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Fonts w:hint="eastAsia" w:ascii="楷体" w:hAnsi="楷体" w:eastAsia="楷体" w:cs="楷体"/>
          <w:color w:val="000000"/>
          <w:sz w:val="24"/>
          <w:szCs w:val="24"/>
        </w:rPr>
      </w:pPr>
      <w:r>
        <w:rPr>
          <w:rFonts w:hint="eastAsia" w:ascii="SimHei" w:hAnsi="SimHei" w:eastAsia="黑体" w:cs="楷体"/>
          <w:color w:val="000000"/>
          <w:sz w:val="24"/>
          <w:szCs w:val="24"/>
        </w:rPr>
        <w:t>（三）我公司本部一般员工</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Fonts w:hint="eastAsia" w:ascii="楷体" w:hAnsi="楷体" w:eastAsia="楷体" w:cs="楷体"/>
          <w:color w:val="000000"/>
          <w:sz w:val="24"/>
          <w:szCs w:val="24"/>
        </w:rPr>
      </w:pPr>
      <w:r>
        <w:rPr>
          <w:rFonts w:hint="eastAsia" w:ascii="SimHei" w:hAnsi="SimHei" w:eastAsia="黑体" w:cs="楷体"/>
          <w:color w:val="000000"/>
          <w:sz w:val="24"/>
          <w:szCs w:val="24"/>
        </w:rPr>
        <w:t>我公司本部一般员工实施岗效工资，由基本工资、绩效工资、工龄工资、福利津贴、年终效益奖励构成。其中，基本工资和绩效工资构成岗位标准工资，视管理需要可以调整。</w:t>
      </w:r>
    </w:p>
    <w:bookmarkEnd w:id="40"/>
    <w:bookmarkEnd w:id="41"/>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2"/>
        <w:rPr>
          <w:rStyle w:val="25"/>
          <w:rFonts w:hint="eastAsia" w:ascii="楷体" w:hAnsi="楷体" w:eastAsia="楷体" w:cs="楷体"/>
          <w:b/>
          <w:color w:val="000000"/>
          <w:sz w:val="24"/>
          <w:szCs w:val="24"/>
        </w:rPr>
      </w:pPr>
      <w:bookmarkStart w:id="42" w:name="_Toc215638379"/>
      <w:bookmarkStart w:id="43" w:name="_Toc215478602"/>
      <w:bookmarkStart w:id="44" w:name="_Toc215462457"/>
      <w:r>
        <w:rPr>
          <w:rStyle w:val="25"/>
          <w:rFonts w:hint="eastAsia" w:ascii="SimHei" w:hAnsi="SimHei" w:eastAsia="黑体" w:cs="楷体"/>
          <w:b/>
          <w:color w:val="000000"/>
          <w:sz w:val="24"/>
          <w:szCs w:val="24"/>
        </w:rPr>
        <w:t>第八条 薪酬结构项目</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（一）总薪酬</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员工薪酬在广义上分为固定薪酬和浮动薪酬、间接薪酬三部分，这三部分构成了员工在公司获得的总薪酬。其中：</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固定薪酬是指公司每个月按照固定标准发给员工的报酬，包括基本工资、工龄工资、国家规定的津补贴（副食补贴、独生子女费等）；</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浮动薪酬是指根据员工业绩完成情况、企业经营情况发给员工的报酬，包括按照月、季、年考核发放的绩效工资、年终效益奖。</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间接薪酬是指公司可用货币化进行衡量的福利，公积金、商业补充保险等。</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2"/>
        <w:rPr>
          <w:rStyle w:val="25"/>
          <w:rFonts w:hint="eastAsia" w:ascii="楷体" w:hAnsi="楷体" w:eastAsia="楷体" w:cs="楷体"/>
          <w:b/>
          <w:color w:val="000000"/>
          <w:sz w:val="24"/>
          <w:szCs w:val="24"/>
        </w:rPr>
      </w:pPr>
      <w:r>
        <w:rPr>
          <w:rStyle w:val="25"/>
          <w:rFonts w:hint="eastAsia" w:ascii="SimHei" w:hAnsi="SimHei" w:eastAsia="黑体" w:cs="楷体"/>
          <w:b/>
          <w:color w:val="000000"/>
          <w:sz w:val="24"/>
          <w:szCs w:val="24"/>
        </w:rPr>
        <w:t>第九条 薪酬水平</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（一）基本工资：</w:t>
      </w:r>
      <w:r>
        <w:rPr>
          <w:rFonts w:hint="eastAsia" w:ascii="SimHei" w:hAnsi="SimHei" w:eastAsia="黑体" w:cs="楷体"/>
          <w:color w:val="000000"/>
          <w:sz w:val="24"/>
          <w:szCs w:val="24"/>
        </w:rPr>
        <w:t>基本工资是员工按月发放的基本收入，是员工基本生活保障及岗位价值的体现，基本工资按照岗位职级设定，岗位越高，基本工资越高。</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基本工资按月度考勤结果发放，员工满勤时的基本工资为员工标准基本工资。</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Style w:val="25"/>
          <w:rFonts w:hint="eastAsia" w:ascii="SimHei" w:hAnsi="SimHei" w:eastAsia="黑体" w:cs="楷体"/>
          <w:color w:val="000000"/>
          <w:sz w:val="24"/>
          <w:szCs w:val="24"/>
        </w:rPr>
        <w:t>（二）绩效工资：</w:t>
      </w:r>
      <w:r>
        <w:rPr>
          <w:rFonts w:hint="eastAsia" w:ascii="SimHei" w:hAnsi="SimHei" w:eastAsia="黑体" w:cs="楷体"/>
          <w:color w:val="000000"/>
          <w:sz w:val="24"/>
          <w:szCs w:val="24"/>
        </w:rPr>
        <w:t>绩效工资的差异体现了员工的工作业绩、工作能力和工作态度的差异，绩效工资根据员工的绩效考核结果发放。员工考核结果为1.0时的绩效工资为员工标准绩效工资。</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我公司本部各职级员工的绩效考核办法另行下文。</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员工的年度基本工资与标准绩效工资构成了员工的年度标准薪酬。</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color w:val="000000"/>
          <w:sz w:val="24"/>
          <w:szCs w:val="24"/>
        </w:rPr>
        <w:t>（三）基本工资与绩效工资金额及比例</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Fonts w:hint="eastAsia" w:ascii="SimHei" w:hAnsi="SimHei" w:eastAsia="黑体" w:cs="楷体"/>
          <w:color w:val="000000"/>
          <w:sz w:val="24"/>
          <w:szCs w:val="24"/>
        </w:rPr>
        <w:t>根据员工绩效对企业效益的影响力，岗位职级越高影响越大，浮动工资比例越高的原则，确定不同层级员工月基本工资金额及绩效工资发放比例，具体</w:t>
      </w:r>
      <w:r>
        <w:rPr>
          <w:rStyle w:val="25"/>
          <w:rFonts w:hint="eastAsia" w:ascii="SimHei" w:hAnsi="SimHei" w:eastAsia="黑体" w:cs="楷体"/>
          <w:color w:val="000000"/>
          <w:sz w:val="24"/>
          <w:szCs w:val="24"/>
        </w:rPr>
        <w:t>见下表（根据我公司薪酬管理和激励政策的需要，对基本工资与绩效工资比例可做适当调整）。</w:t>
      </w:r>
    </w:p>
    <w:tbl>
      <w:tblPr>
        <w:tblStyle w:val="12"/>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70"/>
        <w:gridCol w:w="1470"/>
        <w:gridCol w:w="1575"/>
        <w:gridCol w:w="147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jc w:val="center"/>
        </w:trPr>
        <w:tc>
          <w:tcPr>
            <w:tcW w:w="2326"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职务</w:t>
            </w:r>
          </w:p>
        </w:tc>
        <w:tc>
          <w:tcPr>
            <w:tcW w:w="3045"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薪酬发放比例</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年度绩效考核比例</w:t>
            </w:r>
          </w:p>
        </w:tc>
        <w:tc>
          <w:tcPr>
            <w:tcW w:w="189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年度效益奖励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5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代码</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职务层级</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月基本工资</w:t>
            </w: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月度绩效工资</w:t>
            </w: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p>
        </w:tc>
        <w:tc>
          <w:tcPr>
            <w:tcW w:w="189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5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B2</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部门主任</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35%</w:t>
            </w: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35%</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30%</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5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B1</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部门副主任，主任工程师</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35%</w:t>
            </w: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35%</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30%</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5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C2</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处长</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w:t>
            </w: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0～3个月基本工资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5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C1</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主管</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w:t>
            </w: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0～3个月基本工资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5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D2</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主办业务员</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w:t>
            </w: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0～3个月基本工资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jc w:val="center"/>
        </w:trPr>
        <w:tc>
          <w:tcPr>
            <w:tcW w:w="85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D1</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业务员</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w:t>
            </w: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w:t>
            </w:r>
          </w:p>
        </w:tc>
        <w:tc>
          <w:tcPr>
            <w:tcW w:w="189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0～3个月基本工资</w:t>
            </w:r>
          </w:p>
        </w:tc>
      </w:tr>
    </w:tbl>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（四）薪酬标准</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1、员工年度标准薪酬</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Style w:val="25"/>
          <w:rFonts w:hint="eastAsia" w:ascii="SimHei" w:hAnsi="SimHei" w:eastAsia="黑体" w:cs="楷体"/>
          <w:color w:val="000000"/>
          <w:sz w:val="24"/>
          <w:szCs w:val="24"/>
        </w:rPr>
        <w:t>按有竞争力的薪酬策略，</w:t>
      </w:r>
      <w:r>
        <w:rPr>
          <w:rFonts w:hint="eastAsia" w:ascii="SimHei" w:hAnsi="SimHei" w:eastAsia="黑体" w:cs="楷体"/>
          <w:color w:val="000000"/>
          <w:sz w:val="24"/>
          <w:szCs w:val="24"/>
        </w:rPr>
        <w:t>按同规模、同行业、同岗位劳动力市场价位中位数，确定本部薪酬标准中位值。</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color w:val="000000"/>
          <w:sz w:val="24"/>
          <w:szCs w:val="24"/>
        </w:rPr>
        <w:t>其中：某集团确定薪酬标准；其他层级员工按宽带薪酬理念，每个职级员工的薪酬为一个区间，区间内设置若干档，职级越低档差越小，级别越高档差越大；相邻职级之间的薪酬标准有一定的重合。</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Fonts w:hint="eastAsia" w:ascii="SimHei" w:hAnsi="SimHei" w:eastAsia="黑体" w:cs="楷体"/>
          <w:color w:val="000000"/>
          <w:sz w:val="24"/>
          <w:szCs w:val="24"/>
        </w:rPr>
        <w:t xml:space="preserve">    </w:t>
      </w:r>
      <w:r>
        <w:rPr>
          <w:rStyle w:val="25"/>
          <w:rFonts w:hint="eastAsia" w:ascii="SimHei" w:hAnsi="SimHei" w:eastAsia="黑体" w:cs="楷体"/>
          <w:color w:val="000000"/>
          <w:sz w:val="24"/>
          <w:szCs w:val="24"/>
        </w:rPr>
        <w:t>2、工龄工资</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工龄工资是公司按照员工的工作年数，即员工的工作经验和劳动贡献的积累给予的固定工资。工龄工资标准，具体见下表：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9"/>
        <w:gridCol w:w="5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8" w:type="dxa"/>
            <w:noWrap w:val="0"/>
            <w:vAlign w:val="top"/>
          </w:tcPr>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工龄</w:t>
            </w:r>
          </w:p>
        </w:tc>
        <w:tc>
          <w:tcPr>
            <w:tcW w:w="5555" w:type="dxa"/>
            <w:noWrap w:val="0"/>
            <w:vAlign w:val="top"/>
          </w:tcPr>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工龄工资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3058" w:type="dxa"/>
            <w:noWrap w:val="0"/>
            <w:vAlign w:val="top"/>
          </w:tcPr>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标准(元/月/年）</w:t>
            </w:r>
          </w:p>
        </w:tc>
        <w:tc>
          <w:tcPr>
            <w:tcW w:w="5555" w:type="dxa"/>
            <w:noWrap w:val="0"/>
            <w:vAlign w:val="top"/>
          </w:tcPr>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20</w:t>
            </w:r>
          </w:p>
        </w:tc>
      </w:tr>
    </w:tbl>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工龄工资以查档的方式确定，从参加工作起开始计算（包括部队服役）；每年的一月份为工龄工资调整时间，按自然年度调整。</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3、福利津贴</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福利津贴构成员工的间接薪酬，是员工所能享受到的一种福利待遇，包括国家法定性津贴、国家强制性保险、补充保险和公司为员工提供的有关补助。</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国家法定性津贴按国家的有关文件执行。</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国家强制性保险、补充保险按国家的有关规定执行。</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公司为员工提供的补助，按我公司有关规定执行。</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4、技术职称津贴</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FF0000"/>
          <w:sz w:val="24"/>
          <w:szCs w:val="24"/>
        </w:rPr>
      </w:pPr>
      <w:r>
        <w:rPr>
          <w:rStyle w:val="25"/>
          <w:rFonts w:hint="eastAsia" w:ascii="SimHei" w:hAnsi="SimHei" w:eastAsia="黑体" w:cs="楷体"/>
          <w:sz w:val="24"/>
          <w:szCs w:val="24"/>
        </w:rPr>
        <w:t>当员工取得专业技术职称，代表其达到了对应职称所具有的专业技术能力，当员工所从事的岗位的任职资格专业技术要求与职称一致时，对于处长以下（不包含处在）员工给予技术职称津贴（含注册专业证书）。</w:t>
      </w:r>
      <w:r>
        <w:rPr>
          <w:rStyle w:val="25"/>
          <w:rFonts w:hint="eastAsia" w:ascii="SimHei" w:hAnsi="SimHei" w:eastAsia="黑体" w:cs="楷体"/>
          <w:color w:val="FF0000"/>
          <w:sz w:val="24"/>
          <w:szCs w:val="24"/>
        </w:rPr>
        <w:t>技术职称津贴暂不执行，待我公司职称制度等有关文件下发后，确定执行时间。</w:t>
      </w:r>
    </w:p>
    <w:tbl>
      <w:tblPr>
        <w:tblStyle w:val="12"/>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1"/>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89" w:hRule="atLeast"/>
          <w:jc w:val="center"/>
        </w:trPr>
        <w:tc>
          <w:tcPr>
            <w:tcW w:w="3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职称津贴</w:t>
            </w:r>
          </w:p>
        </w:tc>
        <w:tc>
          <w:tcPr>
            <w:tcW w:w="4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标准（元/月）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6" w:hRule="atLeast"/>
          <w:jc w:val="center"/>
        </w:trPr>
        <w:tc>
          <w:tcPr>
            <w:tcW w:w="3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教授级高工</w:t>
            </w:r>
          </w:p>
        </w:tc>
        <w:tc>
          <w:tcPr>
            <w:tcW w:w="4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6" w:hRule="atLeast"/>
          <w:jc w:val="center"/>
        </w:trPr>
        <w:tc>
          <w:tcPr>
            <w:tcW w:w="3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高级</w:t>
            </w:r>
          </w:p>
        </w:tc>
        <w:tc>
          <w:tcPr>
            <w:tcW w:w="4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6" w:hRule="atLeast"/>
          <w:jc w:val="center"/>
        </w:trPr>
        <w:tc>
          <w:tcPr>
            <w:tcW w:w="3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中级</w:t>
            </w:r>
          </w:p>
        </w:tc>
        <w:tc>
          <w:tcPr>
            <w:tcW w:w="4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6" w:hRule="atLeast"/>
          <w:jc w:val="center"/>
        </w:trPr>
        <w:tc>
          <w:tcPr>
            <w:tcW w:w="3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助理级</w:t>
            </w:r>
          </w:p>
        </w:tc>
        <w:tc>
          <w:tcPr>
            <w:tcW w:w="4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200</w:t>
            </w:r>
          </w:p>
        </w:tc>
      </w:tr>
    </w:tbl>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Fonts w:hint="eastAsia" w:ascii="楷体" w:hAnsi="楷体" w:eastAsia="楷体" w:cs="楷体"/>
          <w:color w:val="000000"/>
          <w:sz w:val="24"/>
          <w:szCs w:val="24"/>
        </w:rPr>
      </w:pPr>
      <w:r>
        <w:rPr>
          <w:rStyle w:val="25"/>
          <w:rFonts w:hint="eastAsia" w:ascii="SimHei" w:hAnsi="SimHei" w:eastAsia="黑体" w:cs="楷体"/>
          <w:color w:val="000000"/>
          <w:sz w:val="24"/>
          <w:szCs w:val="24"/>
        </w:rPr>
        <w:t>5、</w:t>
      </w:r>
      <w:r>
        <w:rPr>
          <w:rFonts w:hint="eastAsia" w:ascii="SimHei" w:hAnsi="SimHei" w:eastAsia="黑体" w:cs="楷体"/>
          <w:color w:val="000000"/>
          <w:sz w:val="24"/>
          <w:szCs w:val="24"/>
        </w:rPr>
        <w:t>年终效益奖励</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某集团下达的利润总额，可以发年终效益奖励。</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处长及以下级别员工发放0-3个月的月度标准工资（标准基本工资+标准绩效工资）作为年终效益奖（具体发放月数，由我公司总经理办公会确定），部门中层年终效益奖励政策视情况另行制定。</w:t>
      </w:r>
    </w:p>
    <w:bookmarkEnd w:id="42"/>
    <w:bookmarkEnd w:id="43"/>
    <w:bookmarkEnd w:id="44"/>
    <w:p>
      <w:pPr>
        <w:keepNext w:val="0"/>
        <w:keepLines w:val="0"/>
        <w:pageBreakBefore w:val="0"/>
        <w:numPr>
          <w:ilvl w:val="0"/>
          <w:numId w:val="1"/>
        </w:numPr>
        <w:kinsoku/>
        <w:wordWrap/>
        <w:overflowPunct/>
        <w:topLinePunct w:val="0"/>
        <w:autoSpaceDE/>
        <w:autoSpaceDN/>
        <w:bidi w:val="0"/>
        <w:adjustRightInd/>
        <w:snapToGrid/>
        <w:spacing w:line="360" w:lineRule="auto"/>
        <w:ind w:left="0" w:firstLine="482" w:firstLineChars="200"/>
        <w:jc w:val="both"/>
        <w:textAlignment w:val="auto"/>
        <w:outlineLvl w:val="0"/>
        <w:rPr>
          <w:rFonts w:hint="eastAsia" w:ascii="楷体" w:hAnsi="楷体" w:eastAsia="楷体" w:cs="楷体"/>
          <w:b/>
          <w:bCs/>
          <w:color w:val="000000"/>
          <w:sz w:val="24"/>
          <w:szCs w:val="24"/>
        </w:rPr>
      </w:pPr>
      <w:bookmarkStart w:id="45" w:name="_Toc215638381"/>
      <w:bookmarkStart w:id="46" w:name="_Toc215478604"/>
      <w:bookmarkStart w:id="47" w:name="_Toc215462459"/>
      <w:bookmarkStart w:id="48" w:name="_Toc215462124"/>
      <w:r>
        <w:rPr>
          <w:rFonts w:hint="eastAsia" w:ascii="SimHei" w:hAnsi="SimHei" w:eastAsia="黑体" w:cs="楷体"/>
          <w:b/>
          <w:bCs/>
          <w:color w:val="000000"/>
          <w:sz w:val="24"/>
          <w:szCs w:val="24"/>
        </w:rPr>
        <w:t>薪酬运作管理</w:t>
      </w:r>
      <w:bookmarkEnd w:id="45"/>
      <w:bookmarkEnd w:id="46"/>
      <w:bookmarkEnd w:id="47"/>
      <w:bookmarkEnd w:id="48"/>
      <w:bookmarkStart w:id="49" w:name="_Toc215478605"/>
      <w:bookmarkStart w:id="50" w:name="_Toc215462460"/>
    </w:p>
    <w:p>
      <w:pPr>
        <w:pStyle w:val="5"/>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Style w:val="25"/>
          <w:rFonts w:hint="eastAsia" w:ascii="楷体" w:hAnsi="楷体" w:eastAsia="楷体" w:cs="楷体"/>
          <w:b/>
          <w:color w:val="000000"/>
          <w:sz w:val="24"/>
          <w:szCs w:val="24"/>
        </w:rPr>
      </w:pPr>
      <w:bookmarkStart w:id="51" w:name="_Toc215638382"/>
      <w:r>
        <w:rPr>
          <w:rStyle w:val="25"/>
          <w:rFonts w:hint="eastAsia" w:ascii="SimHei" w:hAnsi="SimHei" w:eastAsia="黑体" w:cs="楷体"/>
          <w:b/>
          <w:color w:val="000000"/>
          <w:sz w:val="24"/>
          <w:szCs w:val="24"/>
        </w:rPr>
        <w:t>第十条 入职员工薪酬水平的确定</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bookmarkStart w:id="52" w:name="_Toc215638383"/>
      <w:bookmarkStart w:id="53" w:name="_Toc215478606"/>
      <w:bookmarkStart w:id="54" w:name="_Toc215462461"/>
      <w:bookmarkStart w:id="55" w:name="_Toc215395967"/>
      <w:r>
        <w:rPr>
          <w:rStyle w:val="25"/>
          <w:rFonts w:hint="eastAsia" w:ascii="SimHei" w:hAnsi="SimHei" w:eastAsia="黑体" w:cs="楷体"/>
          <w:color w:val="000000"/>
          <w:sz w:val="24"/>
          <w:szCs w:val="24"/>
        </w:rPr>
        <w:t>1.岗位级别的确定</w:t>
      </w:r>
      <w:bookmarkEnd w:id="52"/>
      <w:bookmarkEnd w:id="53"/>
      <w:bookmarkEnd w:id="54"/>
      <w:bookmarkEnd w:id="55"/>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人力资源部综合新入职员工的学历、工作经验、个人能力、市场价位及岗位匹配程度确定其岗位职级。</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bookmarkStart w:id="56" w:name="_Toc215638384"/>
      <w:bookmarkStart w:id="57" w:name="_Toc215478607"/>
      <w:bookmarkStart w:id="58" w:name="_Toc215462462"/>
      <w:bookmarkStart w:id="59" w:name="_Toc215395968"/>
      <w:r>
        <w:rPr>
          <w:rStyle w:val="25"/>
          <w:rFonts w:hint="eastAsia" w:ascii="SimHei" w:hAnsi="SimHei" w:eastAsia="黑体" w:cs="楷体"/>
          <w:color w:val="000000"/>
          <w:sz w:val="24"/>
          <w:szCs w:val="24"/>
        </w:rPr>
        <w:t>2.岗位工资水平的确定</w:t>
      </w:r>
      <w:bookmarkEnd w:id="56"/>
      <w:bookmarkEnd w:id="57"/>
      <w:bookmarkEnd w:id="58"/>
      <w:bookmarkEnd w:id="59"/>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以确定岗位职级对应的工资区间的某一档为起薪点，依据岗位说明书（或岗位胜利力模型）要求，结合员工的综合资历、行业稀缺性、内部同级别员工薪酬水平，在综合平衡后确定员工入职之后的工资水平。</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2"/>
        <w:rPr>
          <w:rStyle w:val="25"/>
          <w:rFonts w:hint="eastAsia" w:ascii="楷体" w:hAnsi="楷体" w:eastAsia="楷体" w:cs="楷体"/>
          <w:b/>
          <w:color w:val="000000"/>
          <w:sz w:val="24"/>
          <w:szCs w:val="24"/>
        </w:rPr>
      </w:pPr>
      <w:r>
        <w:rPr>
          <w:rStyle w:val="25"/>
          <w:rFonts w:hint="eastAsia" w:ascii="SimHei" w:hAnsi="SimHei" w:eastAsia="黑体" w:cs="楷体"/>
          <w:b/>
          <w:color w:val="000000"/>
          <w:sz w:val="24"/>
          <w:szCs w:val="24"/>
        </w:rPr>
        <w:t>第十一条 现有员工薪酬套档</w:t>
      </w:r>
      <w:bookmarkEnd w:id="49"/>
      <w:bookmarkEnd w:id="50"/>
      <w:bookmarkEnd w:id="51"/>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按目前的薪酬水平，在考评的基础上，各层级员工原则上就高套档，对于目前薪酬水平与个人能力、经验、知识水平以及内外部薪酬差距相差比较大的员工，在经部门分及分管领导的提议下，经人力资源部审核，经公司审批后向更高档级调整。</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Style w:val="25"/>
          <w:rFonts w:hint="eastAsia" w:ascii="楷体" w:hAnsi="楷体" w:eastAsia="楷体" w:cs="楷体"/>
          <w:b/>
          <w:color w:val="000000"/>
          <w:sz w:val="24"/>
          <w:szCs w:val="24"/>
        </w:rPr>
      </w:pPr>
      <w:bookmarkStart w:id="60" w:name="_Toc215638385"/>
      <w:bookmarkStart w:id="61" w:name="_Toc215478608"/>
      <w:bookmarkStart w:id="62" w:name="_Toc215462463"/>
      <w:r>
        <w:rPr>
          <w:rStyle w:val="25"/>
          <w:rFonts w:hint="eastAsia" w:ascii="SimHei" w:hAnsi="SimHei" w:eastAsia="黑体" w:cs="楷体"/>
          <w:b/>
          <w:color w:val="000000"/>
          <w:sz w:val="24"/>
          <w:szCs w:val="24"/>
        </w:rPr>
        <w:t>第十二条 特殊人员薪酬</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color w:val="000000"/>
          <w:sz w:val="24"/>
          <w:szCs w:val="24"/>
        </w:rPr>
        <w:t>特殊人员指的是试用期员工、实习生、借调人员、交流人员、</w:t>
      </w:r>
      <w:r>
        <w:rPr>
          <w:rStyle w:val="25"/>
          <w:rFonts w:hint="eastAsia" w:ascii="SimHei" w:hAnsi="SimHei" w:eastAsia="黑体" w:cs="楷体"/>
          <w:sz w:val="24"/>
          <w:szCs w:val="24"/>
        </w:rPr>
        <w:t>外派人员、劳务人员等员工。</w:t>
      </w:r>
    </w:p>
    <w:p>
      <w:pPr>
        <w:pStyle w:val="5"/>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1"/>
        <w:rPr>
          <w:rStyle w:val="25"/>
          <w:rFonts w:hint="eastAsia" w:ascii="楷体" w:hAnsi="楷体" w:eastAsia="楷体" w:cs="楷体"/>
          <w:sz w:val="24"/>
          <w:szCs w:val="24"/>
        </w:rPr>
      </w:pPr>
      <w:r>
        <w:rPr>
          <w:rStyle w:val="25"/>
          <w:rFonts w:hint="eastAsia" w:ascii="SimHei" w:hAnsi="SimHei" w:eastAsia="黑体" w:cs="楷体"/>
          <w:sz w:val="24"/>
          <w:szCs w:val="24"/>
        </w:rPr>
        <w:t>（一）试用期薪酬</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新招聘入职与我公司签订劳动合同的员工，按《劳动合同法》与员工约定试用期。为吸引核心管理人员及技术人员进入我公司，创造有竞争力的吸引人才的条件，新入职人员试用期薪酬按以下办法执行：</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部门副主任级及以上人员，试用期薪酬按100%发放（根据管理需要可进行调整）；处级及以下人员试用期薪酬按80%发放。</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试用期人员福利津贴按有关规定执行。</w:t>
      </w:r>
    </w:p>
    <w:p>
      <w:pPr>
        <w:keepNext w:val="0"/>
        <w:keepLines w:val="0"/>
        <w:pageBreakBefore w:val="0"/>
        <w:widowControl/>
        <w:numPr>
          <w:ilvl w:val="0"/>
          <w:numId w:val="2"/>
        </w:numPr>
        <w:tabs>
          <w:tab w:val="left" w:pos="1050"/>
          <w:tab w:val="left" w:pos="1260"/>
        </w:tabs>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实习生</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为培养选拔优秀毕业生进入公司工作，公司选择一些即将毕业的应届毕业生到公司实习。实习生在与公司签订实习协议后，每月给予800元/月的实习津贴和餐补。</w:t>
      </w:r>
    </w:p>
    <w:p>
      <w:pPr>
        <w:keepNext w:val="0"/>
        <w:keepLines w:val="0"/>
        <w:pageBreakBefore w:val="0"/>
        <w:widowControl/>
        <w:numPr>
          <w:ilvl w:val="0"/>
          <w:numId w:val="2"/>
        </w:numPr>
        <w:tabs>
          <w:tab w:val="left" w:pos="1050"/>
          <w:tab w:val="left" w:pos="1260"/>
        </w:tabs>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借调人员</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借调指临时抽调到我公司本部工作的下属企业人员，借调人员的人事关系保留在原单位，工资按借调前标准保持不变在原单位发放，福利津贴由我公司本级发放，原单位停止发放。</w:t>
      </w:r>
    </w:p>
    <w:p>
      <w:pPr>
        <w:keepNext w:val="0"/>
        <w:keepLines w:val="0"/>
        <w:pageBreakBefore w:val="0"/>
        <w:widowControl/>
        <w:numPr>
          <w:ilvl w:val="0"/>
          <w:numId w:val="2"/>
        </w:numPr>
        <w:tabs>
          <w:tab w:val="left" w:pos="1050"/>
          <w:tab w:val="left" w:pos="1260"/>
        </w:tabs>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交流人员</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以人才培养、锻炼、熟悉企业情况为目的或短期支援企业某项工作任务的本部工作人员，交流到下属企业的，人事关系在我公司本部，薪酬、福利在本部保持不变。</w:t>
      </w:r>
    </w:p>
    <w:p>
      <w:pPr>
        <w:keepNext w:val="0"/>
        <w:keepLines w:val="0"/>
        <w:pageBreakBefore w:val="0"/>
        <w:widowControl/>
        <w:numPr>
          <w:ilvl w:val="0"/>
          <w:numId w:val="2"/>
        </w:numPr>
        <w:tabs>
          <w:tab w:val="left" w:pos="1050"/>
          <w:tab w:val="left" w:pos="1260"/>
        </w:tabs>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外派人员</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sz w:val="24"/>
          <w:szCs w:val="24"/>
        </w:rPr>
        <w:t>由我公司本部外派到下属企业工作的人员，为我公司外派员工，人事关系保留在我公司本部。派遣人员，薪酬、福利津贴按外派公司的标准执行，在本部发生的保险公积金由下</w:t>
      </w:r>
      <w:r>
        <w:rPr>
          <w:rStyle w:val="25"/>
          <w:rFonts w:hint="eastAsia" w:ascii="SimHei" w:hAnsi="SimHei" w:eastAsia="黑体" w:cs="楷体"/>
          <w:color w:val="000000"/>
          <w:sz w:val="24"/>
          <w:szCs w:val="24"/>
        </w:rPr>
        <w:t>属公司承担，年末统一结算。</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因个人或工作需要，已与我公司本部解除劳动关系并与下属公司签订劳动合同的员工不属于我公司外派人员。</w:t>
      </w:r>
    </w:p>
    <w:p>
      <w:pPr>
        <w:keepNext w:val="0"/>
        <w:keepLines w:val="0"/>
        <w:pageBreakBefore w:val="0"/>
        <w:widowControl/>
        <w:numPr>
          <w:ilvl w:val="0"/>
          <w:numId w:val="2"/>
        </w:numPr>
        <w:tabs>
          <w:tab w:val="left" w:pos="1050"/>
          <w:tab w:val="left" w:pos="1260"/>
        </w:tabs>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劳务人员</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FF0000"/>
          <w:sz w:val="24"/>
          <w:szCs w:val="24"/>
        </w:rPr>
      </w:pPr>
      <w:r>
        <w:rPr>
          <w:rStyle w:val="25"/>
          <w:rFonts w:hint="eastAsia" w:ascii="SimHei" w:hAnsi="SimHei" w:eastAsia="黑体" w:cs="楷体"/>
          <w:color w:val="000000"/>
          <w:sz w:val="24"/>
          <w:szCs w:val="24"/>
        </w:rPr>
        <w:t>我公司本部的专职司机、清洁工及安保人员等后勤服务人员，签订劳务协议的，薪酬标准按协议执行。</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Style w:val="25"/>
          <w:rFonts w:hint="eastAsia" w:ascii="楷体" w:hAnsi="楷体" w:eastAsia="楷体" w:cs="楷体"/>
          <w:b/>
          <w:color w:val="000000"/>
          <w:sz w:val="24"/>
          <w:szCs w:val="24"/>
        </w:rPr>
      </w:pPr>
      <w:bookmarkStart w:id="63" w:name="_Toc215638390"/>
      <w:bookmarkStart w:id="64" w:name="_Toc215478613"/>
      <w:bookmarkStart w:id="65" w:name="_Toc215462468"/>
      <w:r>
        <w:rPr>
          <w:rStyle w:val="25"/>
          <w:rFonts w:hint="eastAsia" w:ascii="SimHei" w:hAnsi="SimHei" w:eastAsia="黑体" w:cs="楷体"/>
          <w:b/>
          <w:color w:val="000000"/>
          <w:sz w:val="24"/>
          <w:szCs w:val="24"/>
        </w:rPr>
        <w:t>第十三条 特殊情况下薪酬</w:t>
      </w:r>
      <w:bookmarkEnd w:id="63"/>
      <w:bookmarkEnd w:id="64"/>
      <w:bookmarkEnd w:id="65"/>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（一）新录用员工，从报到之日起计发薪酬；我公司内部岗位异动的员工，15日前正式宣布或文件下发的，从月初调整，15日后宣布的，从月末调整薪酬。</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 xml:space="preserve">离职员工从离职审批之日起停发薪酬，实行年薪制的员工，按服务月数，在年度绩效考核后发放绩效年薪。离职员工不享受年终效益奖励。 </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（二）事假工资</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sz w:val="24"/>
          <w:szCs w:val="24"/>
        </w:rPr>
      </w:pPr>
      <w:r>
        <w:rPr>
          <w:rStyle w:val="25"/>
          <w:rFonts w:hint="eastAsia" w:ascii="SimHei" w:hAnsi="SimHei" w:eastAsia="黑体" w:cs="楷体"/>
          <w:sz w:val="24"/>
          <w:szCs w:val="24"/>
        </w:rPr>
        <w:t>员工休事假，每月事假超过一天的，需计扣工资，事假扣款=（月薪酬/月计薪天数/8）*事假时数。（月薪酬指全部货币化薪酬）</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sz w:val="24"/>
          <w:szCs w:val="24"/>
        </w:rPr>
      </w:pPr>
      <w:r>
        <w:rPr>
          <w:rStyle w:val="25"/>
          <w:rFonts w:hint="eastAsia" w:ascii="SimHei" w:hAnsi="SimHei" w:eastAsia="黑体" w:cs="楷体"/>
          <w:sz w:val="24"/>
          <w:szCs w:val="24"/>
        </w:rPr>
        <w:t>请事假累计一个月，年终效益奖金按应发金额减发20%，两个月减发40%，以此类推，直至全部减发完毕。</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sz w:val="24"/>
          <w:szCs w:val="24"/>
        </w:rPr>
      </w:pPr>
      <w:r>
        <w:rPr>
          <w:rStyle w:val="25"/>
          <w:rFonts w:hint="eastAsia" w:ascii="SimHei" w:hAnsi="SimHei" w:eastAsia="黑体" w:cs="楷体"/>
          <w:sz w:val="24"/>
          <w:szCs w:val="24"/>
        </w:rPr>
        <w:t>（三）病假工资</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sz w:val="24"/>
          <w:szCs w:val="24"/>
        </w:rPr>
      </w:pPr>
      <w:r>
        <w:rPr>
          <w:rStyle w:val="25"/>
          <w:rFonts w:hint="eastAsia" w:ascii="SimHei" w:hAnsi="SimHei" w:eastAsia="黑体" w:cs="楷体"/>
          <w:sz w:val="24"/>
          <w:szCs w:val="24"/>
        </w:rPr>
        <w:t>1、短期病休，按休假天数扣除绩效工资（15以内不扣）。</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sz w:val="24"/>
          <w:szCs w:val="24"/>
        </w:rPr>
      </w:pPr>
      <w:r>
        <w:rPr>
          <w:rStyle w:val="25"/>
          <w:rFonts w:hint="eastAsia" w:ascii="SimHei" w:hAnsi="SimHei" w:eastAsia="黑体" w:cs="楷体"/>
          <w:sz w:val="24"/>
          <w:szCs w:val="24"/>
        </w:rPr>
        <w:t>病假扣款=（月绩效标准工资/月计薪天数）*病假扣款天数*50%</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sz w:val="24"/>
          <w:szCs w:val="24"/>
        </w:rPr>
      </w:pPr>
      <w:r>
        <w:rPr>
          <w:rStyle w:val="25"/>
          <w:rFonts w:hint="eastAsia" w:ascii="SimHei" w:hAnsi="SimHei" w:eastAsia="黑体" w:cs="楷体"/>
          <w:sz w:val="24"/>
          <w:szCs w:val="24"/>
        </w:rPr>
        <w:t>2、长期病休，指因疾病或非因工负伤连续休假两个月以上，医疗期内给予员工病休待遇，支付病假工资及“医疗救济费”。病假工资支付比例及医疗救济费金额见下表：</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268"/>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病休时间：N</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单位：月</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连续工龄：M</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单位：年</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病假工资支付比例：%</w:t>
            </w: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疾病救济费</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因疾病或非因工负伤连续休假在两个月以上6个月以内</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M≤2</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60%</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2≤M&lt;4</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70%</w:t>
            </w: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4≤M&lt;6</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80%</w:t>
            </w: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6≤M&lt;8</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90%</w:t>
            </w: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8≤M</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100%</w:t>
            </w: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因疾病或非因工负伤连续休假超过6个月</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M≤1</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w:t>
            </w: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1≤M&lt;3</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w:t>
            </w: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376"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3≤M</w:t>
            </w:r>
          </w:p>
        </w:tc>
        <w:tc>
          <w:tcPr>
            <w:tcW w:w="21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w:t>
            </w: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60%</w:t>
            </w:r>
          </w:p>
        </w:tc>
      </w:tr>
    </w:tbl>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以上病假工资及疾病救济费低于北京市企业职工最低工资标准的80%的，按北京市企业职工最低工资标准的80%计发（包含由个人承担的保险、公积金等）。</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在医疗期内病休两个月，年终效益奖励减发20%，四个月减发40%，以此类推，直至全部减发完毕；年度病休超出医疗期人员不享受年终效益奖励。</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（四）带薪休假</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sz w:val="24"/>
          <w:szCs w:val="24"/>
        </w:rPr>
        <w:t>法定休假日、年休假、探亲假、哺乳假、婚假、产假、计划生育假、看护假、丧假等为带薪休假，带薪休假按正常出勤发放薪酬与福利；</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（五）离岗培训员工</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员工公派进修、脱产培训连续离岗超过三个月，培训期间基本工资全额发放。培训期间不参加绩效考核，无绩效工资。年终效益奖按实际在岗的时间进行调整。其它事项执行公司培训管理办法及双方签订的培训协议。</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color w:val="000000"/>
          <w:sz w:val="24"/>
          <w:szCs w:val="24"/>
        </w:rPr>
        <w:t>员工自费脱产培训学习期间，自批准之日起停发薪酬，法定社会保险中应由企业承担的部分，公司统一缴纳，应由个人承担的部分，由公司代扣代缴。</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（六）离职人员</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1、正常离职的人员，一般员工的绩效工资考核后按正常的发放周期发放；部门副主任以上年薪人员，绩效年薪在年底考核后发放。正常离职人员不享受年终效益奖和其他薪酬待遇。</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sz w:val="24"/>
          <w:szCs w:val="24"/>
        </w:rPr>
      </w:pPr>
      <w:r>
        <w:rPr>
          <w:rStyle w:val="25"/>
          <w:rFonts w:hint="eastAsia" w:ascii="SimHei" w:hAnsi="SimHei" w:eastAsia="黑体" w:cs="楷体"/>
          <w:color w:val="000000"/>
          <w:sz w:val="24"/>
          <w:szCs w:val="24"/>
        </w:rPr>
        <w:t>2、因严重过失被公司解除劳动合同的人员，或表现不佳给公司造成重大损失及负面影响，被劝退或辞退人员，只发放在岗期间的固定工资，取消自解除劳动合同或离职之日起的所有剩余绩效工资、奖金。</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（七）员工因公负伤，其工资待遇按《北京市实施&lt;工伤保险条例&gt;办法》的有关规定执行。</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（八）员工被有关部门拘留、收容、审查，尚未解除劳动合同的，1个月之内，按事假处理；超过1个月的，按北京市城市居民最低生活保障标准支付生活费。</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（九）工资中扣除部分</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按国家有关规定，公司从个人工资中扣除法定的社会保险和住房公积金个人承担部分，扣除代扣代缴的个人所得税，扣除其它公司管理制度中的扣款项目。</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Style w:val="25"/>
          <w:rFonts w:hint="eastAsia" w:ascii="楷体" w:hAnsi="楷体" w:eastAsia="楷体" w:cs="楷体"/>
          <w:b/>
          <w:color w:val="000000"/>
          <w:sz w:val="24"/>
          <w:szCs w:val="24"/>
        </w:rPr>
      </w:pPr>
      <w:r>
        <w:rPr>
          <w:rStyle w:val="25"/>
          <w:rFonts w:hint="eastAsia" w:ascii="SimHei" w:hAnsi="SimHei" w:eastAsia="黑体" w:cs="楷体"/>
          <w:b/>
          <w:color w:val="000000"/>
          <w:sz w:val="24"/>
          <w:szCs w:val="24"/>
        </w:rPr>
        <w:t>第十四条 薪酬调整</w:t>
      </w:r>
      <w:bookmarkEnd w:id="60"/>
      <w:bookmarkEnd w:id="61"/>
      <w:bookmarkEnd w:id="62"/>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（一）整体调整</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kern w:val="2"/>
          <w:sz w:val="24"/>
          <w:szCs w:val="24"/>
        </w:rPr>
      </w:pPr>
      <w:r>
        <w:rPr>
          <w:rStyle w:val="25"/>
          <w:rFonts w:hint="eastAsia" w:ascii="SimHei" w:hAnsi="SimHei" w:eastAsia="黑体" w:cs="楷体"/>
          <w:color w:val="000000"/>
          <w:kern w:val="2"/>
          <w:sz w:val="24"/>
          <w:szCs w:val="24"/>
        </w:rPr>
        <w:t>当发生下列情况时，可进行整体调薪，其标准最终由董事会确定：</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kern w:val="2"/>
          <w:sz w:val="24"/>
          <w:szCs w:val="24"/>
        </w:rPr>
        <w:t xml:space="preserve">1、 </w:t>
      </w:r>
      <w:r>
        <w:rPr>
          <w:rStyle w:val="25"/>
          <w:rFonts w:hint="eastAsia" w:ascii="SimHei" w:hAnsi="SimHei" w:eastAsia="黑体" w:cs="楷体"/>
          <w:color w:val="000000"/>
          <w:sz w:val="24"/>
          <w:szCs w:val="24"/>
        </w:rPr>
        <w:t>公司经营效益发生重大变化；</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2、 社会物价水平显著提高或降低；</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3、 劳动力市场的供求与工资行情发生重大变化；</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Fonts w:hint="eastAsia" w:ascii="SimHei" w:hAnsi="SimHei" w:eastAsia="黑体" w:cs="楷体"/>
          <w:color w:val="000000"/>
          <w:sz w:val="24"/>
          <w:szCs w:val="24"/>
        </w:rPr>
        <w:t>（二）</w:t>
      </w:r>
      <w:r>
        <w:rPr>
          <w:rStyle w:val="25"/>
          <w:rFonts w:hint="eastAsia" w:ascii="SimHei" w:hAnsi="SimHei" w:eastAsia="黑体" w:cs="楷体"/>
          <w:color w:val="000000"/>
          <w:sz w:val="24"/>
          <w:szCs w:val="24"/>
        </w:rPr>
        <w:t>岗位变动调薪</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岗位变动后，按变动后的岗位调整薪酬标准。</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FF0000"/>
          <w:sz w:val="24"/>
          <w:szCs w:val="24"/>
        </w:rPr>
      </w:pPr>
      <w:r>
        <w:rPr>
          <w:rFonts w:hint="eastAsia" w:ascii="SimHei" w:hAnsi="SimHei" w:eastAsia="黑体" w:cs="楷体"/>
          <w:color w:val="000000"/>
          <w:sz w:val="24"/>
          <w:szCs w:val="24"/>
        </w:rPr>
        <w:t>1、员工在本职系内职务晋升或平调，岗位工资依据就近就高原则进行调整；员工在本职系内降职，岗位工资依据就近就低原则调整。</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color w:val="000000"/>
          <w:sz w:val="24"/>
          <w:szCs w:val="24"/>
        </w:rPr>
      </w:pPr>
      <w:r>
        <w:rPr>
          <w:rFonts w:hint="eastAsia" w:ascii="SimHei" w:hAnsi="SimHei" w:eastAsia="黑体" w:cs="楷体"/>
          <w:color w:val="000000"/>
          <w:sz w:val="24"/>
          <w:szCs w:val="24"/>
        </w:rPr>
        <w:t>2、员工在职系之间的岗位变动，按新岗位的任职资格确定其在新职系中的职级，并在新职系中晋升。</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员工身兼多个岗位的工作时，薪酬按主岗位的薪酬标准执行，另外给予相应的兼职津贴。兼职津贴体现在员工年终效益奖励中，或通过适当提高主岗位的考核系数体现，主岗位考核系数提高幅度参考对兼职岗位的业绩考核结果执行；</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4、副职主持工作时，薪酬标准在本级内上调一档执行；不再主持工作时，薪酬标准调整回原标准。</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bookmarkStart w:id="66" w:name="_Toc215638389"/>
      <w:bookmarkStart w:id="67" w:name="_Toc215478612"/>
      <w:bookmarkStart w:id="68" w:name="_Toc215462467"/>
      <w:bookmarkStart w:id="69" w:name="_Toc215395973"/>
      <w:r>
        <w:rPr>
          <w:rStyle w:val="25"/>
          <w:rFonts w:hint="eastAsia" w:ascii="SimHei" w:hAnsi="SimHei" w:eastAsia="黑体" w:cs="楷体"/>
          <w:color w:val="000000"/>
          <w:sz w:val="24"/>
          <w:szCs w:val="24"/>
        </w:rPr>
        <w:t>（三）</w:t>
      </w:r>
      <w:bookmarkEnd w:id="66"/>
      <w:bookmarkEnd w:id="67"/>
      <w:bookmarkEnd w:id="68"/>
      <w:bookmarkEnd w:id="69"/>
      <w:r>
        <w:rPr>
          <w:rStyle w:val="25"/>
          <w:rFonts w:hint="eastAsia" w:ascii="SimHei" w:hAnsi="SimHei" w:eastAsia="黑体" w:cs="楷体"/>
          <w:color w:val="000000"/>
          <w:sz w:val="24"/>
          <w:szCs w:val="24"/>
        </w:rPr>
        <w:t>绩效考核调整</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sz w:val="24"/>
          <w:szCs w:val="24"/>
        </w:rPr>
      </w:pPr>
      <w:r>
        <w:rPr>
          <w:rStyle w:val="25"/>
          <w:rFonts w:hint="eastAsia" w:ascii="SimHei" w:hAnsi="SimHei" w:eastAsia="黑体" w:cs="楷体"/>
          <w:color w:val="000000"/>
          <w:sz w:val="24"/>
          <w:szCs w:val="24"/>
        </w:rPr>
        <w:t>员工按年终综合考核评级</w:t>
      </w:r>
      <w:r>
        <w:rPr>
          <w:rFonts w:hint="eastAsia" w:ascii="SimHei" w:hAnsi="SimHei" w:eastAsia="黑体" w:cs="楷体"/>
          <w:sz w:val="24"/>
          <w:szCs w:val="24"/>
        </w:rPr>
        <w:t>结果，每年有一次绩效调薪。</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绩效考核结果，需要强制分布并控制各考核结果的比例，具体控制比例如下表（可根据薪酬策略调整比例）：</w:t>
      </w:r>
    </w:p>
    <w:tbl>
      <w:tblPr>
        <w:tblStyle w:val="12"/>
        <w:tblW w:w="9181" w:type="dxa"/>
        <w:jc w:val="center"/>
        <w:tblLayout w:type="autofit"/>
        <w:tblCellMar>
          <w:top w:w="0" w:type="dxa"/>
          <w:left w:w="108" w:type="dxa"/>
          <w:bottom w:w="0" w:type="dxa"/>
          <w:right w:w="108" w:type="dxa"/>
        </w:tblCellMar>
      </w:tblPr>
      <w:tblGrid>
        <w:gridCol w:w="4162"/>
        <w:gridCol w:w="5019"/>
      </w:tblGrid>
      <w:tr>
        <w:tblPrEx>
          <w:tblCellMar>
            <w:top w:w="0" w:type="dxa"/>
            <w:left w:w="108" w:type="dxa"/>
            <w:bottom w:w="0" w:type="dxa"/>
            <w:right w:w="108" w:type="dxa"/>
          </w:tblCellMar>
        </w:tblPrEx>
        <w:trPr>
          <w:wBefore w:w="0" w:type="dxa"/>
          <w:wAfter w:w="0" w:type="dxa"/>
          <w:trHeight w:val="765" w:hRule="atLeast"/>
          <w:jc w:val="center"/>
        </w:trPr>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考核结果</w:t>
            </w:r>
          </w:p>
        </w:tc>
        <w:tc>
          <w:tcPr>
            <w:tcW w:w="50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所占比例</w:t>
            </w:r>
          </w:p>
        </w:tc>
      </w:tr>
      <w:tr>
        <w:tblPrEx>
          <w:tblCellMar>
            <w:top w:w="0" w:type="dxa"/>
            <w:left w:w="108" w:type="dxa"/>
            <w:bottom w:w="0" w:type="dxa"/>
            <w:right w:w="108" w:type="dxa"/>
          </w:tblCellMar>
        </w:tblPrEx>
        <w:trPr>
          <w:wBefore w:w="0" w:type="dxa"/>
          <w:wAfter w:w="0" w:type="dxa"/>
          <w:trHeight w:val="450" w:hRule="atLeast"/>
          <w:jc w:val="center"/>
        </w:trPr>
        <w:tc>
          <w:tcPr>
            <w:tcW w:w="41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S(卓越)</w:t>
            </w:r>
          </w:p>
        </w:tc>
        <w:tc>
          <w:tcPr>
            <w:tcW w:w="501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≤5%</w:t>
            </w:r>
          </w:p>
        </w:tc>
      </w:tr>
      <w:tr>
        <w:tblPrEx>
          <w:tblCellMar>
            <w:top w:w="0" w:type="dxa"/>
            <w:left w:w="108" w:type="dxa"/>
            <w:bottom w:w="0" w:type="dxa"/>
            <w:right w:w="108" w:type="dxa"/>
          </w:tblCellMar>
        </w:tblPrEx>
        <w:trPr>
          <w:wBefore w:w="0" w:type="dxa"/>
          <w:wAfter w:w="0" w:type="dxa"/>
          <w:trHeight w:val="457" w:hRule="atLeast"/>
          <w:jc w:val="center"/>
        </w:trPr>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A(优秀)</w:t>
            </w:r>
          </w:p>
        </w:tc>
        <w:tc>
          <w:tcPr>
            <w:tcW w:w="501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≤20%</w:t>
            </w:r>
          </w:p>
        </w:tc>
      </w:tr>
      <w:tr>
        <w:tblPrEx>
          <w:tblCellMar>
            <w:top w:w="0" w:type="dxa"/>
            <w:left w:w="108" w:type="dxa"/>
            <w:bottom w:w="0" w:type="dxa"/>
            <w:right w:w="108" w:type="dxa"/>
          </w:tblCellMar>
        </w:tblPrEx>
        <w:trPr>
          <w:wBefore w:w="0" w:type="dxa"/>
          <w:wAfter w:w="0" w:type="dxa"/>
          <w:trHeight w:val="461" w:hRule="atLeast"/>
          <w:jc w:val="center"/>
        </w:trPr>
        <w:tc>
          <w:tcPr>
            <w:tcW w:w="41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B(称职)</w:t>
            </w:r>
          </w:p>
        </w:tc>
        <w:tc>
          <w:tcPr>
            <w:tcW w:w="501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p>
        </w:tc>
      </w:tr>
      <w:tr>
        <w:tblPrEx>
          <w:tblCellMar>
            <w:top w:w="0" w:type="dxa"/>
            <w:left w:w="108" w:type="dxa"/>
            <w:bottom w:w="0" w:type="dxa"/>
            <w:right w:w="108" w:type="dxa"/>
          </w:tblCellMar>
        </w:tblPrEx>
        <w:trPr>
          <w:wBefore w:w="0" w:type="dxa"/>
          <w:wAfter w:w="0" w:type="dxa"/>
          <w:trHeight w:val="450" w:hRule="atLeast"/>
          <w:jc w:val="center"/>
        </w:trPr>
        <w:tc>
          <w:tcPr>
            <w:tcW w:w="41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C(基本称职)</w:t>
            </w:r>
          </w:p>
        </w:tc>
        <w:tc>
          <w:tcPr>
            <w:tcW w:w="50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 xml:space="preserve">　</w:t>
            </w:r>
          </w:p>
        </w:tc>
      </w:tr>
      <w:tr>
        <w:tblPrEx>
          <w:tblCellMar>
            <w:top w:w="0" w:type="dxa"/>
            <w:left w:w="108" w:type="dxa"/>
            <w:bottom w:w="0" w:type="dxa"/>
            <w:right w:w="108" w:type="dxa"/>
          </w:tblCellMar>
        </w:tblPrEx>
        <w:trPr>
          <w:wBefore w:w="0" w:type="dxa"/>
          <w:wAfter w:w="0" w:type="dxa"/>
          <w:trHeight w:val="450" w:hRule="atLeast"/>
          <w:jc w:val="center"/>
        </w:trPr>
        <w:tc>
          <w:tcPr>
            <w:tcW w:w="41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D(不称职)</w:t>
            </w:r>
          </w:p>
        </w:tc>
        <w:tc>
          <w:tcPr>
            <w:tcW w:w="501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楷体" w:hAnsi="楷体" w:eastAsia="楷体" w:cs="楷体"/>
                <w:kern w:val="0"/>
                <w:sz w:val="24"/>
                <w:szCs w:val="24"/>
              </w:rPr>
            </w:pPr>
            <w:r>
              <w:rPr>
                <w:rFonts w:hint="eastAsia" w:ascii="SimHei" w:hAnsi="SimHei" w:eastAsia="黑体" w:cs="楷体"/>
                <w:kern w:val="0"/>
                <w:sz w:val="24"/>
                <w:szCs w:val="24"/>
              </w:rPr>
              <w:t xml:space="preserve"> ≥5% </w:t>
            </w:r>
          </w:p>
        </w:tc>
      </w:tr>
    </w:tbl>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连续两年年度绩效综合考核为C(基本称职)或年度绩效考核结果为D（不称职），可以调整其岗位及降低其薪酬，直至解除劳动合同；年度考核结果为A（优秀），在同职级内上调一个档级；年度考核结果为S（卓越），在同职级内上调两个档级。</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Fonts w:hint="eastAsia" w:ascii="SimHei" w:hAnsi="SimHei" w:eastAsia="黑体" w:cs="楷体"/>
          <w:sz w:val="24"/>
          <w:szCs w:val="24"/>
        </w:rPr>
        <w:t>本级员工绩效考核办法另行下文。</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kern w:val="2"/>
          <w:sz w:val="24"/>
          <w:szCs w:val="24"/>
        </w:rPr>
      </w:pPr>
      <w:r>
        <w:rPr>
          <w:rStyle w:val="25"/>
          <w:rFonts w:hint="eastAsia" w:ascii="SimHei" w:hAnsi="SimHei" w:eastAsia="黑体" w:cs="楷体"/>
          <w:color w:val="000000"/>
          <w:sz w:val="24"/>
          <w:szCs w:val="24"/>
        </w:rPr>
        <w:t>（四）个别</w:t>
      </w:r>
      <w:r>
        <w:rPr>
          <w:rStyle w:val="25"/>
          <w:rFonts w:hint="eastAsia" w:ascii="SimHei" w:hAnsi="SimHei" w:eastAsia="黑体" w:cs="楷体"/>
          <w:color w:val="000000"/>
          <w:kern w:val="2"/>
          <w:sz w:val="24"/>
          <w:szCs w:val="24"/>
        </w:rPr>
        <w:t>审批调整</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1、 有特殊功劳表现；</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2、 中途录用的员工具有优秀的技能与成绩；</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3、 为同行业间竞相争取的人才；</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Style w:val="25"/>
          <w:rFonts w:hint="eastAsia" w:ascii="楷体" w:hAnsi="楷体" w:eastAsia="楷体" w:cs="楷体"/>
          <w:b/>
          <w:color w:val="000000"/>
          <w:sz w:val="24"/>
          <w:szCs w:val="24"/>
        </w:rPr>
      </w:pPr>
      <w:r>
        <w:rPr>
          <w:rStyle w:val="25"/>
          <w:rFonts w:hint="eastAsia" w:ascii="SimHei" w:hAnsi="SimHei" w:eastAsia="黑体" w:cs="楷体"/>
          <w:b/>
          <w:color w:val="000000"/>
          <w:sz w:val="24"/>
          <w:szCs w:val="24"/>
        </w:rPr>
        <w:t>第十五条 薪酬支付</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bookmarkStart w:id="70" w:name="_Toc215638391"/>
      <w:bookmarkStart w:id="71" w:name="_Toc215478614"/>
      <w:bookmarkStart w:id="72" w:name="_Toc215462469"/>
      <w:bookmarkStart w:id="73" w:name="_Toc215395975"/>
      <w:r>
        <w:rPr>
          <w:rStyle w:val="25"/>
          <w:rFonts w:hint="eastAsia" w:ascii="SimHei" w:hAnsi="SimHei" w:eastAsia="黑体" w:cs="楷体"/>
          <w:color w:val="000000"/>
          <w:sz w:val="24"/>
          <w:szCs w:val="24"/>
        </w:rPr>
        <w:t>（一）支付时间</w:t>
      </w:r>
      <w:bookmarkEnd w:id="70"/>
      <w:bookmarkEnd w:id="71"/>
      <w:bookmarkEnd w:id="72"/>
      <w:bookmarkEnd w:id="73"/>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1、 公司最迟在次月5日前支付上月基本工资和月度绩效工资。如遇国家法定节假日提前发放。</w:t>
      </w:r>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2、实行年薪制人员的绩效年薪，参考国资委有关规定，在每年年末在绩效考核后，一次性预发年绩效考核工资的80%，余下年绩效考核工资的20%部分，在次年经审计后，根据审计结果一次性发放。</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2"/>
        <w:rPr>
          <w:rStyle w:val="25"/>
          <w:rFonts w:hint="eastAsia" w:ascii="楷体" w:hAnsi="楷体" w:eastAsia="楷体" w:cs="楷体"/>
          <w:color w:val="000000"/>
          <w:sz w:val="24"/>
          <w:szCs w:val="24"/>
        </w:rPr>
      </w:pPr>
      <w:bookmarkStart w:id="74" w:name="_Toc215638392"/>
      <w:bookmarkStart w:id="75" w:name="_Toc215478615"/>
      <w:bookmarkStart w:id="76" w:name="_Toc215462470"/>
      <w:bookmarkStart w:id="77" w:name="_Toc215395976"/>
      <w:r>
        <w:rPr>
          <w:rStyle w:val="25"/>
          <w:rFonts w:hint="eastAsia" w:ascii="SimHei" w:hAnsi="SimHei" w:eastAsia="黑体" w:cs="楷体"/>
          <w:color w:val="000000"/>
          <w:sz w:val="24"/>
          <w:szCs w:val="24"/>
        </w:rPr>
        <w:t>(二)支付形式</w:t>
      </w:r>
      <w:bookmarkEnd w:id="74"/>
      <w:bookmarkEnd w:id="75"/>
      <w:bookmarkEnd w:id="76"/>
      <w:bookmarkEnd w:id="77"/>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所有正式员工的薪酬通过银行代发薪酬。</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1"/>
        <w:rPr>
          <w:rFonts w:hint="eastAsia" w:ascii="楷体" w:hAnsi="楷体" w:eastAsia="楷体" w:cs="楷体"/>
          <w:b/>
          <w:sz w:val="24"/>
          <w:szCs w:val="24"/>
        </w:rPr>
      </w:pPr>
      <w:bookmarkStart w:id="78" w:name="_Toc215638393"/>
      <w:bookmarkStart w:id="79" w:name="_Toc215478616"/>
      <w:bookmarkStart w:id="80" w:name="_Toc215462471"/>
      <w:r>
        <w:rPr>
          <w:rFonts w:hint="eastAsia" w:ascii="SimHei" w:hAnsi="SimHei" w:eastAsia="黑体" w:cs="楷体"/>
          <w:b/>
          <w:color w:val="000000"/>
          <w:sz w:val="24"/>
          <w:szCs w:val="24"/>
        </w:rPr>
        <w:t xml:space="preserve">第十六条 </w:t>
      </w:r>
      <w:r>
        <w:rPr>
          <w:rStyle w:val="25"/>
          <w:rFonts w:hint="eastAsia" w:ascii="SimHei" w:hAnsi="SimHei" w:eastAsia="黑体" w:cs="楷体"/>
          <w:b/>
          <w:color w:val="000000"/>
          <w:sz w:val="24"/>
          <w:szCs w:val="24"/>
        </w:rPr>
        <w:t>薪酬保密</w:t>
      </w:r>
      <w:bookmarkEnd w:id="78"/>
      <w:bookmarkEnd w:id="79"/>
      <w:bookmarkEnd w:id="80"/>
    </w:p>
    <w:p>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color w:val="000000"/>
          <w:sz w:val="24"/>
          <w:szCs w:val="24"/>
        </w:rPr>
        <w:t>员工个人薪酬信息是公司机密，公司的薪酬制度及绩效考核结果等，可按有关规定予以公开。</w:t>
      </w:r>
    </w:p>
    <w:p>
      <w:pPr>
        <w:keepNext w:val="0"/>
        <w:keepLines w:val="0"/>
        <w:pageBreakBefore w:val="0"/>
        <w:numPr>
          <w:ilvl w:val="0"/>
          <w:numId w:val="1"/>
        </w:numPr>
        <w:kinsoku/>
        <w:wordWrap/>
        <w:overflowPunct/>
        <w:topLinePunct w:val="0"/>
        <w:autoSpaceDE/>
        <w:autoSpaceDN/>
        <w:bidi w:val="0"/>
        <w:adjustRightInd/>
        <w:snapToGrid/>
        <w:spacing w:line="360" w:lineRule="auto"/>
        <w:ind w:left="0" w:firstLine="482" w:firstLineChars="200"/>
        <w:jc w:val="both"/>
        <w:textAlignment w:val="auto"/>
        <w:outlineLvl w:val="0"/>
        <w:rPr>
          <w:rFonts w:hint="eastAsia" w:ascii="楷体" w:hAnsi="楷体" w:eastAsia="楷体" w:cs="楷体"/>
          <w:b/>
          <w:bCs/>
          <w:color w:val="000000"/>
          <w:sz w:val="24"/>
          <w:szCs w:val="24"/>
        </w:rPr>
      </w:pPr>
      <w:bookmarkStart w:id="81" w:name="_Toc215638395"/>
      <w:bookmarkStart w:id="82" w:name="_Toc215478618"/>
      <w:bookmarkStart w:id="83" w:name="_Toc215462473"/>
      <w:bookmarkStart w:id="84" w:name="_Toc215462125"/>
      <w:r>
        <w:rPr>
          <w:rFonts w:hint="eastAsia" w:ascii="SimHei" w:hAnsi="SimHei" w:eastAsia="黑体" w:cs="楷体"/>
          <w:b/>
          <w:bCs/>
          <w:color w:val="000000"/>
          <w:sz w:val="24"/>
          <w:szCs w:val="24"/>
        </w:rPr>
        <w:t>附则</w:t>
      </w:r>
      <w:bookmarkEnd w:id="81"/>
      <w:bookmarkEnd w:id="82"/>
      <w:bookmarkEnd w:id="83"/>
      <w:bookmarkEnd w:id="84"/>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outlineLvl w:val="0"/>
        <w:rPr>
          <w:rStyle w:val="25"/>
          <w:rFonts w:hint="eastAsia" w:ascii="楷体" w:hAnsi="楷体" w:eastAsia="楷体" w:cs="楷体"/>
          <w:color w:val="000000"/>
          <w:sz w:val="24"/>
          <w:szCs w:val="24"/>
        </w:rPr>
      </w:pPr>
      <w:bookmarkStart w:id="85" w:name="_Toc215479927"/>
      <w:bookmarkStart w:id="86" w:name="_Toc215478619"/>
      <w:bookmarkStart w:id="87" w:name="_Toc215462474"/>
      <w:r>
        <w:rPr>
          <w:rStyle w:val="25"/>
          <w:rFonts w:hint="eastAsia" w:ascii="SimHei" w:hAnsi="SimHei" w:eastAsia="黑体" w:cs="楷体"/>
          <w:b/>
          <w:color w:val="000000"/>
          <w:sz w:val="24"/>
          <w:szCs w:val="24"/>
        </w:rPr>
        <w:t>第十七条</w:t>
      </w:r>
      <w:r>
        <w:rPr>
          <w:rStyle w:val="25"/>
          <w:rFonts w:hint="eastAsia" w:ascii="SimHei" w:hAnsi="SimHei" w:eastAsia="黑体" w:cs="楷体"/>
          <w:color w:val="000000"/>
          <w:sz w:val="24"/>
          <w:szCs w:val="24"/>
        </w:rPr>
        <w:t xml:space="preserve"> 本制度实施后，其他相关规章制度自行废止。</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b/>
          <w:color w:val="000000"/>
          <w:sz w:val="24"/>
          <w:szCs w:val="24"/>
        </w:rPr>
        <w:t xml:space="preserve">第十八条 </w:t>
      </w:r>
      <w:r>
        <w:rPr>
          <w:rStyle w:val="25"/>
          <w:rFonts w:hint="eastAsia" w:ascii="SimHei" w:hAnsi="SimHei" w:eastAsia="黑体" w:cs="楷体"/>
          <w:color w:val="000000"/>
          <w:sz w:val="24"/>
          <w:szCs w:val="24"/>
        </w:rPr>
        <w:t>员工劳动合同中有特殊约定的，从其约定。</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b/>
          <w:color w:val="000000"/>
          <w:sz w:val="24"/>
          <w:szCs w:val="24"/>
        </w:rPr>
        <w:t xml:space="preserve">第十九条 </w:t>
      </w:r>
      <w:r>
        <w:rPr>
          <w:rStyle w:val="25"/>
          <w:rFonts w:hint="eastAsia" w:ascii="SimHei" w:hAnsi="SimHei" w:eastAsia="黑体" w:cs="楷体"/>
          <w:color w:val="000000"/>
          <w:sz w:val="24"/>
          <w:szCs w:val="24"/>
        </w:rPr>
        <w:t>本制度由公司人力资源部负责解释。</w:t>
      </w:r>
    </w:p>
    <w:p>
      <w:pPr>
        <w:keepNext w:val="0"/>
        <w:keepLines w:val="0"/>
        <w:pageBreakBefore w:val="0"/>
        <w:kinsoku/>
        <w:wordWrap/>
        <w:overflowPunct/>
        <w:topLinePunct w:val="0"/>
        <w:autoSpaceDE/>
        <w:autoSpaceDN/>
        <w:bidi w:val="0"/>
        <w:adjustRightInd/>
        <w:snapToGrid/>
        <w:spacing w:line="360" w:lineRule="auto"/>
        <w:ind w:left="0" w:firstLine="482" w:firstLineChars="200"/>
        <w:jc w:val="both"/>
        <w:textAlignment w:val="auto"/>
        <w:rPr>
          <w:rStyle w:val="25"/>
          <w:rFonts w:hint="eastAsia" w:ascii="楷体" w:hAnsi="楷体" w:eastAsia="楷体" w:cs="楷体"/>
          <w:color w:val="000000"/>
          <w:sz w:val="24"/>
          <w:szCs w:val="24"/>
        </w:rPr>
      </w:pPr>
      <w:r>
        <w:rPr>
          <w:rStyle w:val="25"/>
          <w:rFonts w:hint="eastAsia" w:ascii="SimHei" w:hAnsi="SimHei" w:eastAsia="黑体" w:cs="楷体"/>
          <w:b/>
          <w:color w:val="000000"/>
          <w:sz w:val="24"/>
          <w:szCs w:val="24"/>
        </w:rPr>
        <w:t>第二十条</w:t>
      </w:r>
      <w:bookmarkEnd w:id="85"/>
      <w:bookmarkEnd w:id="86"/>
      <w:bookmarkEnd w:id="87"/>
      <w:r>
        <w:rPr>
          <w:rStyle w:val="25"/>
          <w:rFonts w:hint="eastAsia" w:ascii="SimHei" w:hAnsi="SimHei" w:eastAsia="黑体" w:cs="楷体"/>
          <w:b/>
          <w:color w:val="000000"/>
          <w:sz w:val="24"/>
          <w:szCs w:val="24"/>
        </w:rPr>
        <w:t xml:space="preserve"> </w:t>
      </w:r>
      <w:r>
        <w:rPr>
          <w:rStyle w:val="25"/>
          <w:rFonts w:hint="eastAsia" w:ascii="SimHei" w:hAnsi="SimHei" w:eastAsia="黑体" w:cs="楷体"/>
          <w:color w:val="000000"/>
          <w:sz w:val="24"/>
          <w:szCs w:val="24"/>
        </w:rPr>
        <w:t>本制度自2018年 1 月1日起试行</w:t>
      </w:r>
    </w:p>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lang/>
      </w:rPr>
      <w:t>2</w:t>
    </w:r>
    <w:r>
      <w:fldChar w:fldCharType="end"/>
    </w:r>
  </w:p>
  <w:p>
    <w:pPr>
      <w:pStyle w:val="8"/>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50C3D"/>
    <w:multiLevelType w:val="multilevel"/>
    <w:tmpl w:val="1DE50C3D"/>
    <w:lvl w:ilvl="0" w:tentative="0">
      <w:start w:val="1"/>
      <w:numFmt w:val="japaneseCounting"/>
      <w:lvlText w:val="第%1章"/>
      <w:lvlJc w:val="left"/>
      <w:pPr>
        <w:tabs>
          <w:tab w:val="left" w:pos="1290"/>
        </w:tabs>
        <w:ind w:left="1290" w:hanging="1290"/>
      </w:pPr>
      <w:rPr>
        <w:rFonts w:hint="default"/>
        <w:b/>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4E1C14"/>
    <w:multiLevelType w:val="multilevel"/>
    <w:tmpl w:val="654E1C14"/>
    <w:lvl w:ilvl="0" w:tentative="0">
      <w:start w:val="2"/>
      <w:numFmt w:val="japaneseCounting"/>
      <w:lvlText w:val="（%1）"/>
      <w:lvlJc w:val="left"/>
      <w:pPr>
        <w:tabs>
          <w:tab w:val="left" w:pos="1720"/>
        </w:tabs>
        <w:ind w:left="1720" w:hanging="108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96"/>
    <w:rsid w:val="0000095B"/>
    <w:rsid w:val="00000A3E"/>
    <w:rsid w:val="00000FE7"/>
    <w:rsid w:val="00001266"/>
    <w:rsid w:val="000014F0"/>
    <w:rsid w:val="00002C72"/>
    <w:rsid w:val="000039BD"/>
    <w:rsid w:val="00005208"/>
    <w:rsid w:val="00005459"/>
    <w:rsid w:val="0000596D"/>
    <w:rsid w:val="00007497"/>
    <w:rsid w:val="000074FB"/>
    <w:rsid w:val="00010753"/>
    <w:rsid w:val="00012186"/>
    <w:rsid w:val="00013E8A"/>
    <w:rsid w:val="0001404E"/>
    <w:rsid w:val="000154D1"/>
    <w:rsid w:val="00015838"/>
    <w:rsid w:val="00015A3F"/>
    <w:rsid w:val="0001661D"/>
    <w:rsid w:val="00016CD5"/>
    <w:rsid w:val="00017F79"/>
    <w:rsid w:val="00020242"/>
    <w:rsid w:val="00020D5E"/>
    <w:rsid w:val="0002170E"/>
    <w:rsid w:val="00022DA3"/>
    <w:rsid w:val="00025015"/>
    <w:rsid w:val="00026D09"/>
    <w:rsid w:val="00026EC6"/>
    <w:rsid w:val="000300A3"/>
    <w:rsid w:val="000310C9"/>
    <w:rsid w:val="00032C8B"/>
    <w:rsid w:val="00033662"/>
    <w:rsid w:val="00033725"/>
    <w:rsid w:val="000347B9"/>
    <w:rsid w:val="000353C7"/>
    <w:rsid w:val="000366D6"/>
    <w:rsid w:val="00036D49"/>
    <w:rsid w:val="0003763E"/>
    <w:rsid w:val="00037A3E"/>
    <w:rsid w:val="00040049"/>
    <w:rsid w:val="000416B2"/>
    <w:rsid w:val="00041DCB"/>
    <w:rsid w:val="00042333"/>
    <w:rsid w:val="00042740"/>
    <w:rsid w:val="00042A7A"/>
    <w:rsid w:val="00042E12"/>
    <w:rsid w:val="0004332C"/>
    <w:rsid w:val="00046F9C"/>
    <w:rsid w:val="00051D25"/>
    <w:rsid w:val="0005267E"/>
    <w:rsid w:val="00052C12"/>
    <w:rsid w:val="000531CC"/>
    <w:rsid w:val="000533DE"/>
    <w:rsid w:val="00053431"/>
    <w:rsid w:val="00053BE5"/>
    <w:rsid w:val="000548CB"/>
    <w:rsid w:val="00054D32"/>
    <w:rsid w:val="00056067"/>
    <w:rsid w:val="00057324"/>
    <w:rsid w:val="000579C1"/>
    <w:rsid w:val="00057F5E"/>
    <w:rsid w:val="00060D35"/>
    <w:rsid w:val="000617E6"/>
    <w:rsid w:val="00061952"/>
    <w:rsid w:val="00061EF1"/>
    <w:rsid w:val="00062902"/>
    <w:rsid w:val="00063AA9"/>
    <w:rsid w:val="00064D5E"/>
    <w:rsid w:val="00064E17"/>
    <w:rsid w:val="00065256"/>
    <w:rsid w:val="000654BD"/>
    <w:rsid w:val="00065B61"/>
    <w:rsid w:val="0006611F"/>
    <w:rsid w:val="000717D0"/>
    <w:rsid w:val="000736C4"/>
    <w:rsid w:val="00073725"/>
    <w:rsid w:val="00073A41"/>
    <w:rsid w:val="00073AB6"/>
    <w:rsid w:val="00073F75"/>
    <w:rsid w:val="00074BD1"/>
    <w:rsid w:val="00075294"/>
    <w:rsid w:val="00075811"/>
    <w:rsid w:val="00076072"/>
    <w:rsid w:val="000764CF"/>
    <w:rsid w:val="000766DA"/>
    <w:rsid w:val="00076EC9"/>
    <w:rsid w:val="00077458"/>
    <w:rsid w:val="000775B8"/>
    <w:rsid w:val="0007781D"/>
    <w:rsid w:val="00077976"/>
    <w:rsid w:val="0008000F"/>
    <w:rsid w:val="00081183"/>
    <w:rsid w:val="00081397"/>
    <w:rsid w:val="00082500"/>
    <w:rsid w:val="00082DDE"/>
    <w:rsid w:val="0008326E"/>
    <w:rsid w:val="00084DC5"/>
    <w:rsid w:val="000858DA"/>
    <w:rsid w:val="00086102"/>
    <w:rsid w:val="000861D7"/>
    <w:rsid w:val="00087B2A"/>
    <w:rsid w:val="00091A0C"/>
    <w:rsid w:val="00093122"/>
    <w:rsid w:val="000948FB"/>
    <w:rsid w:val="00095E77"/>
    <w:rsid w:val="0009606B"/>
    <w:rsid w:val="00096EC0"/>
    <w:rsid w:val="000972F8"/>
    <w:rsid w:val="0009751C"/>
    <w:rsid w:val="000975C8"/>
    <w:rsid w:val="00097854"/>
    <w:rsid w:val="00097DDD"/>
    <w:rsid w:val="000A1156"/>
    <w:rsid w:val="000A1652"/>
    <w:rsid w:val="000A61F9"/>
    <w:rsid w:val="000A65D5"/>
    <w:rsid w:val="000A7505"/>
    <w:rsid w:val="000A7E00"/>
    <w:rsid w:val="000B05B8"/>
    <w:rsid w:val="000B0B94"/>
    <w:rsid w:val="000B1319"/>
    <w:rsid w:val="000B1835"/>
    <w:rsid w:val="000B1B09"/>
    <w:rsid w:val="000B38C3"/>
    <w:rsid w:val="000B4724"/>
    <w:rsid w:val="000B4BD6"/>
    <w:rsid w:val="000B5962"/>
    <w:rsid w:val="000B5B48"/>
    <w:rsid w:val="000B66EF"/>
    <w:rsid w:val="000B6DF1"/>
    <w:rsid w:val="000B7CB1"/>
    <w:rsid w:val="000C0357"/>
    <w:rsid w:val="000C0791"/>
    <w:rsid w:val="000C153E"/>
    <w:rsid w:val="000C1692"/>
    <w:rsid w:val="000C1F9C"/>
    <w:rsid w:val="000C22D4"/>
    <w:rsid w:val="000C2800"/>
    <w:rsid w:val="000C2BDE"/>
    <w:rsid w:val="000C2FD8"/>
    <w:rsid w:val="000C5ADE"/>
    <w:rsid w:val="000C6C7C"/>
    <w:rsid w:val="000D023D"/>
    <w:rsid w:val="000D05A1"/>
    <w:rsid w:val="000D1330"/>
    <w:rsid w:val="000D1CBD"/>
    <w:rsid w:val="000D22E8"/>
    <w:rsid w:val="000D3953"/>
    <w:rsid w:val="000D5D86"/>
    <w:rsid w:val="000D6097"/>
    <w:rsid w:val="000D61E1"/>
    <w:rsid w:val="000D6510"/>
    <w:rsid w:val="000D734B"/>
    <w:rsid w:val="000D7557"/>
    <w:rsid w:val="000E0F1B"/>
    <w:rsid w:val="000E2938"/>
    <w:rsid w:val="000E31A3"/>
    <w:rsid w:val="000E4AC5"/>
    <w:rsid w:val="000E4C73"/>
    <w:rsid w:val="000E5097"/>
    <w:rsid w:val="000E513A"/>
    <w:rsid w:val="000E6DA9"/>
    <w:rsid w:val="000E7077"/>
    <w:rsid w:val="000E7122"/>
    <w:rsid w:val="000E7C34"/>
    <w:rsid w:val="000F00A9"/>
    <w:rsid w:val="000F111E"/>
    <w:rsid w:val="000F2327"/>
    <w:rsid w:val="000F3420"/>
    <w:rsid w:val="000F3445"/>
    <w:rsid w:val="000F3E3C"/>
    <w:rsid w:val="000F4851"/>
    <w:rsid w:val="000F4D2C"/>
    <w:rsid w:val="000F5813"/>
    <w:rsid w:val="000F5983"/>
    <w:rsid w:val="000F5E31"/>
    <w:rsid w:val="000F741C"/>
    <w:rsid w:val="000F78BB"/>
    <w:rsid w:val="001000E3"/>
    <w:rsid w:val="001007DF"/>
    <w:rsid w:val="00100AB3"/>
    <w:rsid w:val="00100C89"/>
    <w:rsid w:val="00101734"/>
    <w:rsid w:val="00101868"/>
    <w:rsid w:val="0010289F"/>
    <w:rsid w:val="0010566E"/>
    <w:rsid w:val="001061A8"/>
    <w:rsid w:val="00106978"/>
    <w:rsid w:val="00110FEC"/>
    <w:rsid w:val="00111BF4"/>
    <w:rsid w:val="00111FC3"/>
    <w:rsid w:val="00112D43"/>
    <w:rsid w:val="00112DC3"/>
    <w:rsid w:val="00116267"/>
    <w:rsid w:val="00120166"/>
    <w:rsid w:val="00121856"/>
    <w:rsid w:val="0012464F"/>
    <w:rsid w:val="001246CE"/>
    <w:rsid w:val="00127F62"/>
    <w:rsid w:val="00131038"/>
    <w:rsid w:val="00131A0A"/>
    <w:rsid w:val="00133B81"/>
    <w:rsid w:val="001340EA"/>
    <w:rsid w:val="00134A21"/>
    <w:rsid w:val="001358B5"/>
    <w:rsid w:val="00136C30"/>
    <w:rsid w:val="001410EA"/>
    <w:rsid w:val="00141161"/>
    <w:rsid w:val="00141670"/>
    <w:rsid w:val="001421C5"/>
    <w:rsid w:val="001431CE"/>
    <w:rsid w:val="00143859"/>
    <w:rsid w:val="00143996"/>
    <w:rsid w:val="00143D76"/>
    <w:rsid w:val="00144676"/>
    <w:rsid w:val="001466F7"/>
    <w:rsid w:val="00146839"/>
    <w:rsid w:val="00146CD3"/>
    <w:rsid w:val="00147F7E"/>
    <w:rsid w:val="0015091E"/>
    <w:rsid w:val="001523DC"/>
    <w:rsid w:val="00152475"/>
    <w:rsid w:val="00152557"/>
    <w:rsid w:val="00153894"/>
    <w:rsid w:val="00153FE4"/>
    <w:rsid w:val="00157F1B"/>
    <w:rsid w:val="00161200"/>
    <w:rsid w:val="001621DD"/>
    <w:rsid w:val="0016228A"/>
    <w:rsid w:val="0016247A"/>
    <w:rsid w:val="00162767"/>
    <w:rsid w:val="00162CEA"/>
    <w:rsid w:val="00163388"/>
    <w:rsid w:val="00164162"/>
    <w:rsid w:val="00164F79"/>
    <w:rsid w:val="001658CC"/>
    <w:rsid w:val="00166D97"/>
    <w:rsid w:val="00167B9C"/>
    <w:rsid w:val="0017002C"/>
    <w:rsid w:val="001705A3"/>
    <w:rsid w:val="00172A2A"/>
    <w:rsid w:val="00173425"/>
    <w:rsid w:val="001739F0"/>
    <w:rsid w:val="00175A79"/>
    <w:rsid w:val="0017655D"/>
    <w:rsid w:val="001765C7"/>
    <w:rsid w:val="00177536"/>
    <w:rsid w:val="0017753E"/>
    <w:rsid w:val="0018085B"/>
    <w:rsid w:val="001820CD"/>
    <w:rsid w:val="00183276"/>
    <w:rsid w:val="00183766"/>
    <w:rsid w:val="00183ED1"/>
    <w:rsid w:val="00185795"/>
    <w:rsid w:val="00186177"/>
    <w:rsid w:val="001861F4"/>
    <w:rsid w:val="00186D1D"/>
    <w:rsid w:val="00186E0E"/>
    <w:rsid w:val="00190156"/>
    <w:rsid w:val="001906EE"/>
    <w:rsid w:val="00190FFA"/>
    <w:rsid w:val="001918CF"/>
    <w:rsid w:val="0019232B"/>
    <w:rsid w:val="00194546"/>
    <w:rsid w:val="001948FB"/>
    <w:rsid w:val="00195B2E"/>
    <w:rsid w:val="00196177"/>
    <w:rsid w:val="0019661C"/>
    <w:rsid w:val="001966C5"/>
    <w:rsid w:val="00196764"/>
    <w:rsid w:val="00196E05"/>
    <w:rsid w:val="00197AC3"/>
    <w:rsid w:val="001A0262"/>
    <w:rsid w:val="001A08D0"/>
    <w:rsid w:val="001A0BE7"/>
    <w:rsid w:val="001A17AB"/>
    <w:rsid w:val="001A2E6E"/>
    <w:rsid w:val="001A30F4"/>
    <w:rsid w:val="001A5985"/>
    <w:rsid w:val="001A59DB"/>
    <w:rsid w:val="001A5AAF"/>
    <w:rsid w:val="001A6E6E"/>
    <w:rsid w:val="001A7799"/>
    <w:rsid w:val="001B1DC5"/>
    <w:rsid w:val="001B2084"/>
    <w:rsid w:val="001B22EE"/>
    <w:rsid w:val="001B2B90"/>
    <w:rsid w:val="001B3CF2"/>
    <w:rsid w:val="001B466C"/>
    <w:rsid w:val="001B4B5C"/>
    <w:rsid w:val="001B56ED"/>
    <w:rsid w:val="001B694E"/>
    <w:rsid w:val="001B6F49"/>
    <w:rsid w:val="001B7479"/>
    <w:rsid w:val="001B7C6C"/>
    <w:rsid w:val="001C1ABC"/>
    <w:rsid w:val="001C1EA7"/>
    <w:rsid w:val="001C31E5"/>
    <w:rsid w:val="001C40A0"/>
    <w:rsid w:val="001C41BA"/>
    <w:rsid w:val="001C68EC"/>
    <w:rsid w:val="001C6BCC"/>
    <w:rsid w:val="001C7672"/>
    <w:rsid w:val="001D023F"/>
    <w:rsid w:val="001D0733"/>
    <w:rsid w:val="001D27D5"/>
    <w:rsid w:val="001D2924"/>
    <w:rsid w:val="001D348E"/>
    <w:rsid w:val="001D452D"/>
    <w:rsid w:val="001D557B"/>
    <w:rsid w:val="001D6B2B"/>
    <w:rsid w:val="001D6B66"/>
    <w:rsid w:val="001D6E9B"/>
    <w:rsid w:val="001D7131"/>
    <w:rsid w:val="001D7EBB"/>
    <w:rsid w:val="001E0ADA"/>
    <w:rsid w:val="001E212A"/>
    <w:rsid w:val="001E2AD2"/>
    <w:rsid w:val="001E49E4"/>
    <w:rsid w:val="001E4C81"/>
    <w:rsid w:val="001E6A2B"/>
    <w:rsid w:val="001E7765"/>
    <w:rsid w:val="001F01AE"/>
    <w:rsid w:val="001F07CB"/>
    <w:rsid w:val="001F25CA"/>
    <w:rsid w:val="001F2C7B"/>
    <w:rsid w:val="001F5C81"/>
    <w:rsid w:val="001F6BA8"/>
    <w:rsid w:val="001F6DC9"/>
    <w:rsid w:val="001F7789"/>
    <w:rsid w:val="00200095"/>
    <w:rsid w:val="0020094F"/>
    <w:rsid w:val="00200F2D"/>
    <w:rsid w:val="002010C1"/>
    <w:rsid w:val="002014C0"/>
    <w:rsid w:val="00201B8A"/>
    <w:rsid w:val="00201BE8"/>
    <w:rsid w:val="002020D2"/>
    <w:rsid w:val="00203F9D"/>
    <w:rsid w:val="00204825"/>
    <w:rsid w:val="0021076D"/>
    <w:rsid w:val="00211269"/>
    <w:rsid w:val="0021191C"/>
    <w:rsid w:val="0021608F"/>
    <w:rsid w:val="00217E50"/>
    <w:rsid w:val="00222CC0"/>
    <w:rsid w:val="00222EF9"/>
    <w:rsid w:val="002249D2"/>
    <w:rsid w:val="00224E62"/>
    <w:rsid w:val="00225F62"/>
    <w:rsid w:val="00226025"/>
    <w:rsid w:val="002262C2"/>
    <w:rsid w:val="002275D1"/>
    <w:rsid w:val="002277A8"/>
    <w:rsid w:val="00227D16"/>
    <w:rsid w:val="0023113F"/>
    <w:rsid w:val="00232D93"/>
    <w:rsid w:val="00232E8A"/>
    <w:rsid w:val="00233430"/>
    <w:rsid w:val="00233684"/>
    <w:rsid w:val="00233C74"/>
    <w:rsid w:val="00233FA8"/>
    <w:rsid w:val="0023486A"/>
    <w:rsid w:val="0023493B"/>
    <w:rsid w:val="00235841"/>
    <w:rsid w:val="00236FD9"/>
    <w:rsid w:val="0023728A"/>
    <w:rsid w:val="0023728D"/>
    <w:rsid w:val="00240115"/>
    <w:rsid w:val="00240BC4"/>
    <w:rsid w:val="0024188B"/>
    <w:rsid w:val="0024195A"/>
    <w:rsid w:val="0024245A"/>
    <w:rsid w:val="00242A13"/>
    <w:rsid w:val="00242B71"/>
    <w:rsid w:val="00242B79"/>
    <w:rsid w:val="0024501A"/>
    <w:rsid w:val="00245D37"/>
    <w:rsid w:val="002463DF"/>
    <w:rsid w:val="00246BAF"/>
    <w:rsid w:val="00246CA2"/>
    <w:rsid w:val="0024704E"/>
    <w:rsid w:val="00251709"/>
    <w:rsid w:val="00252CEF"/>
    <w:rsid w:val="002533C3"/>
    <w:rsid w:val="00253DA0"/>
    <w:rsid w:val="00254511"/>
    <w:rsid w:val="002557E7"/>
    <w:rsid w:val="002563F7"/>
    <w:rsid w:val="0025662C"/>
    <w:rsid w:val="0025788E"/>
    <w:rsid w:val="00260F53"/>
    <w:rsid w:val="002619B4"/>
    <w:rsid w:val="00262FBF"/>
    <w:rsid w:val="00263CF2"/>
    <w:rsid w:val="00263D3B"/>
    <w:rsid w:val="00264A43"/>
    <w:rsid w:val="00264DFA"/>
    <w:rsid w:val="002665D9"/>
    <w:rsid w:val="00267941"/>
    <w:rsid w:val="00267C5E"/>
    <w:rsid w:val="0027072A"/>
    <w:rsid w:val="0027129F"/>
    <w:rsid w:val="002715C1"/>
    <w:rsid w:val="00271E59"/>
    <w:rsid w:val="0027262F"/>
    <w:rsid w:val="00272883"/>
    <w:rsid w:val="0027377D"/>
    <w:rsid w:val="00274B05"/>
    <w:rsid w:val="0027503D"/>
    <w:rsid w:val="00275A04"/>
    <w:rsid w:val="002761CE"/>
    <w:rsid w:val="002767C8"/>
    <w:rsid w:val="00276EB0"/>
    <w:rsid w:val="00277622"/>
    <w:rsid w:val="002778A0"/>
    <w:rsid w:val="00277A21"/>
    <w:rsid w:val="00277BC4"/>
    <w:rsid w:val="0028153B"/>
    <w:rsid w:val="0028173E"/>
    <w:rsid w:val="002825D7"/>
    <w:rsid w:val="00283305"/>
    <w:rsid w:val="00285F0E"/>
    <w:rsid w:val="00286324"/>
    <w:rsid w:val="0028640A"/>
    <w:rsid w:val="00287952"/>
    <w:rsid w:val="00290552"/>
    <w:rsid w:val="00290629"/>
    <w:rsid w:val="00290727"/>
    <w:rsid w:val="00290B46"/>
    <w:rsid w:val="00291128"/>
    <w:rsid w:val="00292342"/>
    <w:rsid w:val="00292358"/>
    <w:rsid w:val="00292DA3"/>
    <w:rsid w:val="00293392"/>
    <w:rsid w:val="002950B0"/>
    <w:rsid w:val="002954E8"/>
    <w:rsid w:val="00295BE3"/>
    <w:rsid w:val="00296157"/>
    <w:rsid w:val="00297D57"/>
    <w:rsid w:val="00297E27"/>
    <w:rsid w:val="002A006D"/>
    <w:rsid w:val="002A0269"/>
    <w:rsid w:val="002A049D"/>
    <w:rsid w:val="002A21C5"/>
    <w:rsid w:val="002A25E1"/>
    <w:rsid w:val="002A2709"/>
    <w:rsid w:val="002A28B6"/>
    <w:rsid w:val="002A2BD6"/>
    <w:rsid w:val="002A30F6"/>
    <w:rsid w:val="002A526A"/>
    <w:rsid w:val="002A58AF"/>
    <w:rsid w:val="002A624A"/>
    <w:rsid w:val="002A6D27"/>
    <w:rsid w:val="002B0EFE"/>
    <w:rsid w:val="002B3427"/>
    <w:rsid w:val="002B45DE"/>
    <w:rsid w:val="002B49CE"/>
    <w:rsid w:val="002B49F4"/>
    <w:rsid w:val="002B5795"/>
    <w:rsid w:val="002B59BA"/>
    <w:rsid w:val="002B66F6"/>
    <w:rsid w:val="002B6B2D"/>
    <w:rsid w:val="002C0482"/>
    <w:rsid w:val="002C06A1"/>
    <w:rsid w:val="002C23AA"/>
    <w:rsid w:val="002C26CB"/>
    <w:rsid w:val="002C3580"/>
    <w:rsid w:val="002C3CC9"/>
    <w:rsid w:val="002C3D5C"/>
    <w:rsid w:val="002C488E"/>
    <w:rsid w:val="002C5017"/>
    <w:rsid w:val="002C6F66"/>
    <w:rsid w:val="002D1287"/>
    <w:rsid w:val="002D184B"/>
    <w:rsid w:val="002D1E5D"/>
    <w:rsid w:val="002D32E3"/>
    <w:rsid w:val="002D4B2F"/>
    <w:rsid w:val="002D5AE0"/>
    <w:rsid w:val="002D61EA"/>
    <w:rsid w:val="002D68B9"/>
    <w:rsid w:val="002D75A9"/>
    <w:rsid w:val="002E0327"/>
    <w:rsid w:val="002E24DC"/>
    <w:rsid w:val="002E2744"/>
    <w:rsid w:val="002E28DA"/>
    <w:rsid w:val="002E334E"/>
    <w:rsid w:val="002E3478"/>
    <w:rsid w:val="002E3515"/>
    <w:rsid w:val="002E3D8A"/>
    <w:rsid w:val="002E4795"/>
    <w:rsid w:val="002E622A"/>
    <w:rsid w:val="002E782F"/>
    <w:rsid w:val="002F0261"/>
    <w:rsid w:val="002F1BBB"/>
    <w:rsid w:val="002F2203"/>
    <w:rsid w:val="002F22EC"/>
    <w:rsid w:val="002F2D2D"/>
    <w:rsid w:val="002F3EF3"/>
    <w:rsid w:val="002F5736"/>
    <w:rsid w:val="002F5A93"/>
    <w:rsid w:val="002F6538"/>
    <w:rsid w:val="0030007E"/>
    <w:rsid w:val="00300493"/>
    <w:rsid w:val="00300A50"/>
    <w:rsid w:val="003013B0"/>
    <w:rsid w:val="00304674"/>
    <w:rsid w:val="00304941"/>
    <w:rsid w:val="003106AE"/>
    <w:rsid w:val="003106CA"/>
    <w:rsid w:val="0031152A"/>
    <w:rsid w:val="0031166F"/>
    <w:rsid w:val="00312626"/>
    <w:rsid w:val="00312D51"/>
    <w:rsid w:val="00313F58"/>
    <w:rsid w:val="00317A60"/>
    <w:rsid w:val="00320C15"/>
    <w:rsid w:val="00320FF4"/>
    <w:rsid w:val="00321391"/>
    <w:rsid w:val="0032185D"/>
    <w:rsid w:val="00322022"/>
    <w:rsid w:val="00325AA6"/>
    <w:rsid w:val="00325FFA"/>
    <w:rsid w:val="00326120"/>
    <w:rsid w:val="00326822"/>
    <w:rsid w:val="0033028F"/>
    <w:rsid w:val="00330A9B"/>
    <w:rsid w:val="0033103E"/>
    <w:rsid w:val="003320B2"/>
    <w:rsid w:val="00334905"/>
    <w:rsid w:val="00334E85"/>
    <w:rsid w:val="0033755E"/>
    <w:rsid w:val="00337716"/>
    <w:rsid w:val="00337908"/>
    <w:rsid w:val="0034120B"/>
    <w:rsid w:val="003412BC"/>
    <w:rsid w:val="00341F60"/>
    <w:rsid w:val="0034219F"/>
    <w:rsid w:val="00343C7F"/>
    <w:rsid w:val="00344B5C"/>
    <w:rsid w:val="003451C5"/>
    <w:rsid w:val="003452F1"/>
    <w:rsid w:val="003514FD"/>
    <w:rsid w:val="00351BCB"/>
    <w:rsid w:val="003533F0"/>
    <w:rsid w:val="00353569"/>
    <w:rsid w:val="0035479E"/>
    <w:rsid w:val="003567EB"/>
    <w:rsid w:val="00356919"/>
    <w:rsid w:val="00357D50"/>
    <w:rsid w:val="00357FF8"/>
    <w:rsid w:val="0036048F"/>
    <w:rsid w:val="00361CA2"/>
    <w:rsid w:val="003622F7"/>
    <w:rsid w:val="00362A18"/>
    <w:rsid w:val="0036341B"/>
    <w:rsid w:val="00364792"/>
    <w:rsid w:val="00364A4E"/>
    <w:rsid w:val="00365372"/>
    <w:rsid w:val="003663C4"/>
    <w:rsid w:val="0036655D"/>
    <w:rsid w:val="00366675"/>
    <w:rsid w:val="00366EFB"/>
    <w:rsid w:val="0037012C"/>
    <w:rsid w:val="0037383E"/>
    <w:rsid w:val="00374996"/>
    <w:rsid w:val="0038006E"/>
    <w:rsid w:val="0038068C"/>
    <w:rsid w:val="00380AB2"/>
    <w:rsid w:val="00381F23"/>
    <w:rsid w:val="003827C0"/>
    <w:rsid w:val="003862F0"/>
    <w:rsid w:val="0038732E"/>
    <w:rsid w:val="003908A8"/>
    <w:rsid w:val="0039234A"/>
    <w:rsid w:val="0039243B"/>
    <w:rsid w:val="00393D84"/>
    <w:rsid w:val="00394546"/>
    <w:rsid w:val="0039690D"/>
    <w:rsid w:val="003A04DA"/>
    <w:rsid w:val="003A12C8"/>
    <w:rsid w:val="003A3902"/>
    <w:rsid w:val="003A3CCE"/>
    <w:rsid w:val="003A427E"/>
    <w:rsid w:val="003A47B6"/>
    <w:rsid w:val="003A67F4"/>
    <w:rsid w:val="003A6B47"/>
    <w:rsid w:val="003A6C46"/>
    <w:rsid w:val="003A6CD8"/>
    <w:rsid w:val="003A786B"/>
    <w:rsid w:val="003A7CBF"/>
    <w:rsid w:val="003B039C"/>
    <w:rsid w:val="003B046C"/>
    <w:rsid w:val="003B0ECB"/>
    <w:rsid w:val="003B108F"/>
    <w:rsid w:val="003B13E2"/>
    <w:rsid w:val="003B3CA3"/>
    <w:rsid w:val="003B49DB"/>
    <w:rsid w:val="003B7E79"/>
    <w:rsid w:val="003C0402"/>
    <w:rsid w:val="003C15FB"/>
    <w:rsid w:val="003C1618"/>
    <w:rsid w:val="003C25AA"/>
    <w:rsid w:val="003C582C"/>
    <w:rsid w:val="003C5DDF"/>
    <w:rsid w:val="003C67E8"/>
    <w:rsid w:val="003C6C64"/>
    <w:rsid w:val="003C700C"/>
    <w:rsid w:val="003C7184"/>
    <w:rsid w:val="003C7238"/>
    <w:rsid w:val="003D172A"/>
    <w:rsid w:val="003D24D2"/>
    <w:rsid w:val="003D2B2F"/>
    <w:rsid w:val="003D2D0D"/>
    <w:rsid w:val="003D4160"/>
    <w:rsid w:val="003D4B5F"/>
    <w:rsid w:val="003D5657"/>
    <w:rsid w:val="003D5866"/>
    <w:rsid w:val="003D710E"/>
    <w:rsid w:val="003D794A"/>
    <w:rsid w:val="003E1026"/>
    <w:rsid w:val="003E1623"/>
    <w:rsid w:val="003E1C9A"/>
    <w:rsid w:val="003E2138"/>
    <w:rsid w:val="003E220F"/>
    <w:rsid w:val="003E3267"/>
    <w:rsid w:val="003E39FD"/>
    <w:rsid w:val="003E3CBD"/>
    <w:rsid w:val="003E42C0"/>
    <w:rsid w:val="003E5BE2"/>
    <w:rsid w:val="003E5D19"/>
    <w:rsid w:val="003E6DCF"/>
    <w:rsid w:val="003E6E12"/>
    <w:rsid w:val="003E741B"/>
    <w:rsid w:val="003E748A"/>
    <w:rsid w:val="003E7C21"/>
    <w:rsid w:val="003E7F59"/>
    <w:rsid w:val="003F11B9"/>
    <w:rsid w:val="003F1F2D"/>
    <w:rsid w:val="003F2E8E"/>
    <w:rsid w:val="003F34AB"/>
    <w:rsid w:val="003F3BBE"/>
    <w:rsid w:val="003F4139"/>
    <w:rsid w:val="003F4BB2"/>
    <w:rsid w:val="003F52A0"/>
    <w:rsid w:val="003F56A6"/>
    <w:rsid w:val="003F6902"/>
    <w:rsid w:val="00400594"/>
    <w:rsid w:val="004006B6"/>
    <w:rsid w:val="00400921"/>
    <w:rsid w:val="00400D5B"/>
    <w:rsid w:val="004011B8"/>
    <w:rsid w:val="0040190F"/>
    <w:rsid w:val="00401A2C"/>
    <w:rsid w:val="00404791"/>
    <w:rsid w:val="00404C6F"/>
    <w:rsid w:val="00405281"/>
    <w:rsid w:val="004058CE"/>
    <w:rsid w:val="00405ACB"/>
    <w:rsid w:val="00406CE5"/>
    <w:rsid w:val="00410B40"/>
    <w:rsid w:val="00410CC1"/>
    <w:rsid w:val="00411094"/>
    <w:rsid w:val="00413BD4"/>
    <w:rsid w:val="00414CAF"/>
    <w:rsid w:val="00415249"/>
    <w:rsid w:val="00417260"/>
    <w:rsid w:val="0042043F"/>
    <w:rsid w:val="00421D69"/>
    <w:rsid w:val="00422763"/>
    <w:rsid w:val="00422D9C"/>
    <w:rsid w:val="00423D71"/>
    <w:rsid w:val="00426C60"/>
    <w:rsid w:val="00427769"/>
    <w:rsid w:val="0043125E"/>
    <w:rsid w:val="00431FDD"/>
    <w:rsid w:val="00432299"/>
    <w:rsid w:val="0043347D"/>
    <w:rsid w:val="0043373B"/>
    <w:rsid w:val="004346B8"/>
    <w:rsid w:val="004355A6"/>
    <w:rsid w:val="004357DD"/>
    <w:rsid w:val="00436486"/>
    <w:rsid w:val="00441D2B"/>
    <w:rsid w:val="0044265F"/>
    <w:rsid w:val="00442A5F"/>
    <w:rsid w:val="0044476B"/>
    <w:rsid w:val="00446000"/>
    <w:rsid w:val="004464D8"/>
    <w:rsid w:val="00450128"/>
    <w:rsid w:val="00452531"/>
    <w:rsid w:val="00452741"/>
    <w:rsid w:val="00452C04"/>
    <w:rsid w:val="00453346"/>
    <w:rsid w:val="004539A1"/>
    <w:rsid w:val="00453AAF"/>
    <w:rsid w:val="00454BBB"/>
    <w:rsid w:val="00455C6C"/>
    <w:rsid w:val="00456F0D"/>
    <w:rsid w:val="00460CA5"/>
    <w:rsid w:val="00460F79"/>
    <w:rsid w:val="0046172C"/>
    <w:rsid w:val="00462F49"/>
    <w:rsid w:val="00463C1D"/>
    <w:rsid w:val="00463E7C"/>
    <w:rsid w:val="00463EDA"/>
    <w:rsid w:val="00464906"/>
    <w:rsid w:val="00465DB7"/>
    <w:rsid w:val="00465E52"/>
    <w:rsid w:val="00466680"/>
    <w:rsid w:val="004673CE"/>
    <w:rsid w:val="00467A97"/>
    <w:rsid w:val="00467B4B"/>
    <w:rsid w:val="0047177C"/>
    <w:rsid w:val="0047187F"/>
    <w:rsid w:val="00472572"/>
    <w:rsid w:val="004737CF"/>
    <w:rsid w:val="00473F31"/>
    <w:rsid w:val="00474FE1"/>
    <w:rsid w:val="004757EA"/>
    <w:rsid w:val="004758A9"/>
    <w:rsid w:val="004764F5"/>
    <w:rsid w:val="0047741A"/>
    <w:rsid w:val="00477BBE"/>
    <w:rsid w:val="00477FEA"/>
    <w:rsid w:val="004803F5"/>
    <w:rsid w:val="004817CB"/>
    <w:rsid w:val="00481967"/>
    <w:rsid w:val="00481BC4"/>
    <w:rsid w:val="00482346"/>
    <w:rsid w:val="004823C6"/>
    <w:rsid w:val="00482C01"/>
    <w:rsid w:val="00484A2F"/>
    <w:rsid w:val="00484F78"/>
    <w:rsid w:val="00485607"/>
    <w:rsid w:val="00486CD4"/>
    <w:rsid w:val="0048707F"/>
    <w:rsid w:val="00490611"/>
    <w:rsid w:val="00490AD2"/>
    <w:rsid w:val="00490B63"/>
    <w:rsid w:val="00490C44"/>
    <w:rsid w:val="00491076"/>
    <w:rsid w:val="00491A1A"/>
    <w:rsid w:val="00493A23"/>
    <w:rsid w:val="00493EF3"/>
    <w:rsid w:val="0049407D"/>
    <w:rsid w:val="00494B0C"/>
    <w:rsid w:val="004959D4"/>
    <w:rsid w:val="00495DCD"/>
    <w:rsid w:val="00497782"/>
    <w:rsid w:val="004A1527"/>
    <w:rsid w:val="004A15F5"/>
    <w:rsid w:val="004A17A7"/>
    <w:rsid w:val="004A2BEA"/>
    <w:rsid w:val="004A4A4F"/>
    <w:rsid w:val="004A5861"/>
    <w:rsid w:val="004A6E6A"/>
    <w:rsid w:val="004B0A07"/>
    <w:rsid w:val="004B0DA7"/>
    <w:rsid w:val="004B0FA3"/>
    <w:rsid w:val="004B1EBD"/>
    <w:rsid w:val="004B3514"/>
    <w:rsid w:val="004B4554"/>
    <w:rsid w:val="004B45B4"/>
    <w:rsid w:val="004B68E1"/>
    <w:rsid w:val="004C04F6"/>
    <w:rsid w:val="004C0B18"/>
    <w:rsid w:val="004C142F"/>
    <w:rsid w:val="004C2B1C"/>
    <w:rsid w:val="004C2E0E"/>
    <w:rsid w:val="004C31CC"/>
    <w:rsid w:val="004C3CA6"/>
    <w:rsid w:val="004C436F"/>
    <w:rsid w:val="004C4A4F"/>
    <w:rsid w:val="004C4F11"/>
    <w:rsid w:val="004C503B"/>
    <w:rsid w:val="004C6187"/>
    <w:rsid w:val="004C6F04"/>
    <w:rsid w:val="004C7073"/>
    <w:rsid w:val="004D01B3"/>
    <w:rsid w:val="004D01FA"/>
    <w:rsid w:val="004D2C05"/>
    <w:rsid w:val="004D41D3"/>
    <w:rsid w:val="004D4ADF"/>
    <w:rsid w:val="004E009E"/>
    <w:rsid w:val="004E0C9B"/>
    <w:rsid w:val="004E11CF"/>
    <w:rsid w:val="004E2F44"/>
    <w:rsid w:val="004E5A5D"/>
    <w:rsid w:val="004E613F"/>
    <w:rsid w:val="004E779F"/>
    <w:rsid w:val="004E7923"/>
    <w:rsid w:val="004F018C"/>
    <w:rsid w:val="004F119E"/>
    <w:rsid w:val="004F2B72"/>
    <w:rsid w:val="004F2C37"/>
    <w:rsid w:val="004F38CD"/>
    <w:rsid w:val="004F3B3C"/>
    <w:rsid w:val="004F46CF"/>
    <w:rsid w:val="004F4763"/>
    <w:rsid w:val="004F54ED"/>
    <w:rsid w:val="004F55C8"/>
    <w:rsid w:val="004F7BCB"/>
    <w:rsid w:val="0050367C"/>
    <w:rsid w:val="00503FBF"/>
    <w:rsid w:val="005047EF"/>
    <w:rsid w:val="0050687F"/>
    <w:rsid w:val="00507156"/>
    <w:rsid w:val="00507C53"/>
    <w:rsid w:val="00510289"/>
    <w:rsid w:val="0051083A"/>
    <w:rsid w:val="0051153B"/>
    <w:rsid w:val="005128F5"/>
    <w:rsid w:val="0051337C"/>
    <w:rsid w:val="0051367C"/>
    <w:rsid w:val="00514994"/>
    <w:rsid w:val="00514D4D"/>
    <w:rsid w:val="00515378"/>
    <w:rsid w:val="0051680F"/>
    <w:rsid w:val="00516F36"/>
    <w:rsid w:val="00516FA9"/>
    <w:rsid w:val="00517417"/>
    <w:rsid w:val="005175B0"/>
    <w:rsid w:val="0051782C"/>
    <w:rsid w:val="00517C1E"/>
    <w:rsid w:val="00520028"/>
    <w:rsid w:val="00520708"/>
    <w:rsid w:val="0052160E"/>
    <w:rsid w:val="005228D6"/>
    <w:rsid w:val="00522D1B"/>
    <w:rsid w:val="00522F54"/>
    <w:rsid w:val="00523B89"/>
    <w:rsid w:val="005242DC"/>
    <w:rsid w:val="00525B2C"/>
    <w:rsid w:val="0052767D"/>
    <w:rsid w:val="00527C42"/>
    <w:rsid w:val="00527D55"/>
    <w:rsid w:val="00534195"/>
    <w:rsid w:val="00534866"/>
    <w:rsid w:val="00534B88"/>
    <w:rsid w:val="00536C5E"/>
    <w:rsid w:val="00536D50"/>
    <w:rsid w:val="00540E1D"/>
    <w:rsid w:val="00541F77"/>
    <w:rsid w:val="00542249"/>
    <w:rsid w:val="00542531"/>
    <w:rsid w:val="00542B42"/>
    <w:rsid w:val="00542C42"/>
    <w:rsid w:val="0054330C"/>
    <w:rsid w:val="0054362A"/>
    <w:rsid w:val="0054418F"/>
    <w:rsid w:val="00544AFC"/>
    <w:rsid w:val="00545B48"/>
    <w:rsid w:val="00546301"/>
    <w:rsid w:val="005473F2"/>
    <w:rsid w:val="00550E0C"/>
    <w:rsid w:val="00552BB9"/>
    <w:rsid w:val="00553F04"/>
    <w:rsid w:val="00553FC3"/>
    <w:rsid w:val="0055479A"/>
    <w:rsid w:val="00555217"/>
    <w:rsid w:val="00556315"/>
    <w:rsid w:val="005571CD"/>
    <w:rsid w:val="005573F4"/>
    <w:rsid w:val="00557F4A"/>
    <w:rsid w:val="00561597"/>
    <w:rsid w:val="0056304B"/>
    <w:rsid w:val="0056323F"/>
    <w:rsid w:val="00563F74"/>
    <w:rsid w:val="005647F7"/>
    <w:rsid w:val="00570B06"/>
    <w:rsid w:val="005719A3"/>
    <w:rsid w:val="00572DDE"/>
    <w:rsid w:val="00572DEA"/>
    <w:rsid w:val="0057652F"/>
    <w:rsid w:val="005772B3"/>
    <w:rsid w:val="0057786C"/>
    <w:rsid w:val="005800CC"/>
    <w:rsid w:val="0058013F"/>
    <w:rsid w:val="005803FA"/>
    <w:rsid w:val="00580781"/>
    <w:rsid w:val="005808DE"/>
    <w:rsid w:val="0058131F"/>
    <w:rsid w:val="005815FC"/>
    <w:rsid w:val="00581716"/>
    <w:rsid w:val="00581BA3"/>
    <w:rsid w:val="005838CC"/>
    <w:rsid w:val="00586036"/>
    <w:rsid w:val="00586148"/>
    <w:rsid w:val="00591131"/>
    <w:rsid w:val="005913E0"/>
    <w:rsid w:val="00591D12"/>
    <w:rsid w:val="00593B52"/>
    <w:rsid w:val="005945DD"/>
    <w:rsid w:val="00595F7C"/>
    <w:rsid w:val="00596515"/>
    <w:rsid w:val="00596529"/>
    <w:rsid w:val="005A0BA9"/>
    <w:rsid w:val="005A1408"/>
    <w:rsid w:val="005A2BBB"/>
    <w:rsid w:val="005A35F3"/>
    <w:rsid w:val="005A48B3"/>
    <w:rsid w:val="005A660B"/>
    <w:rsid w:val="005A7245"/>
    <w:rsid w:val="005B06E0"/>
    <w:rsid w:val="005B189E"/>
    <w:rsid w:val="005B1920"/>
    <w:rsid w:val="005B1B5C"/>
    <w:rsid w:val="005B3498"/>
    <w:rsid w:val="005B55E6"/>
    <w:rsid w:val="005B7F58"/>
    <w:rsid w:val="005C00D9"/>
    <w:rsid w:val="005C041D"/>
    <w:rsid w:val="005C26D6"/>
    <w:rsid w:val="005C2856"/>
    <w:rsid w:val="005C3F23"/>
    <w:rsid w:val="005C573E"/>
    <w:rsid w:val="005C5BCC"/>
    <w:rsid w:val="005C5C93"/>
    <w:rsid w:val="005C6DA7"/>
    <w:rsid w:val="005C7ED7"/>
    <w:rsid w:val="005C7F61"/>
    <w:rsid w:val="005D12D6"/>
    <w:rsid w:val="005D1CF3"/>
    <w:rsid w:val="005D303A"/>
    <w:rsid w:val="005D32E4"/>
    <w:rsid w:val="005D50D3"/>
    <w:rsid w:val="005D5E62"/>
    <w:rsid w:val="005D6137"/>
    <w:rsid w:val="005D677C"/>
    <w:rsid w:val="005D7489"/>
    <w:rsid w:val="005E0C0A"/>
    <w:rsid w:val="005E0DA5"/>
    <w:rsid w:val="005E342E"/>
    <w:rsid w:val="005E3B3A"/>
    <w:rsid w:val="005E6E7D"/>
    <w:rsid w:val="005F1F5C"/>
    <w:rsid w:val="005F427B"/>
    <w:rsid w:val="005F4F1A"/>
    <w:rsid w:val="005F4F30"/>
    <w:rsid w:val="005F78AC"/>
    <w:rsid w:val="005F795F"/>
    <w:rsid w:val="006006EE"/>
    <w:rsid w:val="00600740"/>
    <w:rsid w:val="00601B25"/>
    <w:rsid w:val="006022C1"/>
    <w:rsid w:val="0060405D"/>
    <w:rsid w:val="00605C61"/>
    <w:rsid w:val="00606551"/>
    <w:rsid w:val="00607079"/>
    <w:rsid w:val="00607695"/>
    <w:rsid w:val="00607944"/>
    <w:rsid w:val="006105D1"/>
    <w:rsid w:val="00611541"/>
    <w:rsid w:val="00612DA6"/>
    <w:rsid w:val="00613F62"/>
    <w:rsid w:val="00614F37"/>
    <w:rsid w:val="0061565C"/>
    <w:rsid w:val="006158AA"/>
    <w:rsid w:val="00616176"/>
    <w:rsid w:val="006162C5"/>
    <w:rsid w:val="00617469"/>
    <w:rsid w:val="006175FC"/>
    <w:rsid w:val="00617AE8"/>
    <w:rsid w:val="006201E7"/>
    <w:rsid w:val="006213A1"/>
    <w:rsid w:val="00621738"/>
    <w:rsid w:val="00625016"/>
    <w:rsid w:val="0062579C"/>
    <w:rsid w:val="006259D0"/>
    <w:rsid w:val="00626419"/>
    <w:rsid w:val="006269CA"/>
    <w:rsid w:val="00627287"/>
    <w:rsid w:val="006272D8"/>
    <w:rsid w:val="006272DC"/>
    <w:rsid w:val="0062797B"/>
    <w:rsid w:val="00627DAF"/>
    <w:rsid w:val="006302AB"/>
    <w:rsid w:val="00631224"/>
    <w:rsid w:val="00631D74"/>
    <w:rsid w:val="00632D88"/>
    <w:rsid w:val="0063384E"/>
    <w:rsid w:val="006347B4"/>
    <w:rsid w:val="006349EC"/>
    <w:rsid w:val="006350B4"/>
    <w:rsid w:val="00635B3A"/>
    <w:rsid w:val="006374EA"/>
    <w:rsid w:val="00637571"/>
    <w:rsid w:val="006375A5"/>
    <w:rsid w:val="00637823"/>
    <w:rsid w:val="00640E72"/>
    <w:rsid w:val="00641A7F"/>
    <w:rsid w:val="00641FA4"/>
    <w:rsid w:val="0064293E"/>
    <w:rsid w:val="00643514"/>
    <w:rsid w:val="006435F1"/>
    <w:rsid w:val="00645A5A"/>
    <w:rsid w:val="00645EA8"/>
    <w:rsid w:val="00646522"/>
    <w:rsid w:val="00646D6E"/>
    <w:rsid w:val="006472B6"/>
    <w:rsid w:val="0065000D"/>
    <w:rsid w:val="006505F2"/>
    <w:rsid w:val="006508FD"/>
    <w:rsid w:val="00650DF7"/>
    <w:rsid w:val="00651C3B"/>
    <w:rsid w:val="006522C7"/>
    <w:rsid w:val="006524BA"/>
    <w:rsid w:val="0065368E"/>
    <w:rsid w:val="00653B6A"/>
    <w:rsid w:val="00654E54"/>
    <w:rsid w:val="00654E5F"/>
    <w:rsid w:val="00654FC6"/>
    <w:rsid w:val="0065572E"/>
    <w:rsid w:val="00656B53"/>
    <w:rsid w:val="00656D61"/>
    <w:rsid w:val="006573B2"/>
    <w:rsid w:val="00657F9B"/>
    <w:rsid w:val="0066012D"/>
    <w:rsid w:val="00660980"/>
    <w:rsid w:val="00662212"/>
    <w:rsid w:val="00662E78"/>
    <w:rsid w:val="006633CC"/>
    <w:rsid w:val="006641E3"/>
    <w:rsid w:val="0066598E"/>
    <w:rsid w:val="00665F61"/>
    <w:rsid w:val="00666130"/>
    <w:rsid w:val="006667DD"/>
    <w:rsid w:val="00666ED7"/>
    <w:rsid w:val="00667342"/>
    <w:rsid w:val="00667ACC"/>
    <w:rsid w:val="006702FA"/>
    <w:rsid w:val="00670879"/>
    <w:rsid w:val="00671D82"/>
    <w:rsid w:val="00672102"/>
    <w:rsid w:val="006731DB"/>
    <w:rsid w:val="00673608"/>
    <w:rsid w:val="00674148"/>
    <w:rsid w:val="006752C0"/>
    <w:rsid w:val="00676173"/>
    <w:rsid w:val="0067750C"/>
    <w:rsid w:val="00677558"/>
    <w:rsid w:val="006779D5"/>
    <w:rsid w:val="00680378"/>
    <w:rsid w:val="0068056D"/>
    <w:rsid w:val="00682F81"/>
    <w:rsid w:val="0068335B"/>
    <w:rsid w:val="00684665"/>
    <w:rsid w:val="00685289"/>
    <w:rsid w:val="00685DC6"/>
    <w:rsid w:val="00686DCA"/>
    <w:rsid w:val="00687EE5"/>
    <w:rsid w:val="00691BD8"/>
    <w:rsid w:val="00692595"/>
    <w:rsid w:val="00692A3E"/>
    <w:rsid w:val="00694184"/>
    <w:rsid w:val="006947E5"/>
    <w:rsid w:val="00694F66"/>
    <w:rsid w:val="006A0075"/>
    <w:rsid w:val="006A1A8A"/>
    <w:rsid w:val="006A2793"/>
    <w:rsid w:val="006A47F1"/>
    <w:rsid w:val="006A4D8D"/>
    <w:rsid w:val="006A593B"/>
    <w:rsid w:val="006A646E"/>
    <w:rsid w:val="006B157F"/>
    <w:rsid w:val="006B1819"/>
    <w:rsid w:val="006B2B41"/>
    <w:rsid w:val="006B4E86"/>
    <w:rsid w:val="006B71EA"/>
    <w:rsid w:val="006B72E4"/>
    <w:rsid w:val="006B7A8E"/>
    <w:rsid w:val="006B7F0E"/>
    <w:rsid w:val="006C157D"/>
    <w:rsid w:val="006C1892"/>
    <w:rsid w:val="006C1B9A"/>
    <w:rsid w:val="006C225A"/>
    <w:rsid w:val="006C2C44"/>
    <w:rsid w:val="006C2CAE"/>
    <w:rsid w:val="006C5E71"/>
    <w:rsid w:val="006C6A9C"/>
    <w:rsid w:val="006C6E31"/>
    <w:rsid w:val="006C72FC"/>
    <w:rsid w:val="006D0AE2"/>
    <w:rsid w:val="006D1A6E"/>
    <w:rsid w:val="006D1FB1"/>
    <w:rsid w:val="006D3739"/>
    <w:rsid w:val="006D45D8"/>
    <w:rsid w:val="006D5E9E"/>
    <w:rsid w:val="006D684C"/>
    <w:rsid w:val="006D7BD1"/>
    <w:rsid w:val="006E050F"/>
    <w:rsid w:val="006E1DD8"/>
    <w:rsid w:val="006E26CC"/>
    <w:rsid w:val="006E2F05"/>
    <w:rsid w:val="006E3368"/>
    <w:rsid w:val="006E3698"/>
    <w:rsid w:val="006E50B7"/>
    <w:rsid w:val="006E5101"/>
    <w:rsid w:val="006E5E73"/>
    <w:rsid w:val="006E631E"/>
    <w:rsid w:val="006E6587"/>
    <w:rsid w:val="006E6938"/>
    <w:rsid w:val="006E6A33"/>
    <w:rsid w:val="006F0C18"/>
    <w:rsid w:val="006F16DE"/>
    <w:rsid w:val="006F355F"/>
    <w:rsid w:val="006F3FF1"/>
    <w:rsid w:val="006F5F04"/>
    <w:rsid w:val="006F662F"/>
    <w:rsid w:val="006F7F02"/>
    <w:rsid w:val="00700BC3"/>
    <w:rsid w:val="007014DC"/>
    <w:rsid w:val="007019B5"/>
    <w:rsid w:val="0070379D"/>
    <w:rsid w:val="00703CA4"/>
    <w:rsid w:val="00703E1E"/>
    <w:rsid w:val="007041CC"/>
    <w:rsid w:val="00704510"/>
    <w:rsid w:val="00704556"/>
    <w:rsid w:val="007050BB"/>
    <w:rsid w:val="007072AA"/>
    <w:rsid w:val="007078D1"/>
    <w:rsid w:val="007079E0"/>
    <w:rsid w:val="007118BD"/>
    <w:rsid w:val="00711E8C"/>
    <w:rsid w:val="0071293F"/>
    <w:rsid w:val="0071319F"/>
    <w:rsid w:val="00713532"/>
    <w:rsid w:val="0071392E"/>
    <w:rsid w:val="00713C71"/>
    <w:rsid w:val="00715713"/>
    <w:rsid w:val="00717317"/>
    <w:rsid w:val="00717B2F"/>
    <w:rsid w:val="00720460"/>
    <w:rsid w:val="007207AF"/>
    <w:rsid w:val="0072182E"/>
    <w:rsid w:val="00721CFE"/>
    <w:rsid w:val="00722449"/>
    <w:rsid w:val="00723445"/>
    <w:rsid w:val="00723781"/>
    <w:rsid w:val="0072428F"/>
    <w:rsid w:val="00725303"/>
    <w:rsid w:val="00726EE6"/>
    <w:rsid w:val="00731076"/>
    <w:rsid w:val="00731350"/>
    <w:rsid w:val="0073230F"/>
    <w:rsid w:val="0073308D"/>
    <w:rsid w:val="007347E5"/>
    <w:rsid w:val="00734D5C"/>
    <w:rsid w:val="00734F74"/>
    <w:rsid w:val="007359FF"/>
    <w:rsid w:val="00736641"/>
    <w:rsid w:val="00737DDC"/>
    <w:rsid w:val="0074014D"/>
    <w:rsid w:val="00740A92"/>
    <w:rsid w:val="00741667"/>
    <w:rsid w:val="00741ED2"/>
    <w:rsid w:val="00742996"/>
    <w:rsid w:val="0074308D"/>
    <w:rsid w:val="0074351D"/>
    <w:rsid w:val="0074384D"/>
    <w:rsid w:val="00745000"/>
    <w:rsid w:val="00747508"/>
    <w:rsid w:val="00747D5C"/>
    <w:rsid w:val="00747FAD"/>
    <w:rsid w:val="00755B66"/>
    <w:rsid w:val="00756B9D"/>
    <w:rsid w:val="00757956"/>
    <w:rsid w:val="00757A1E"/>
    <w:rsid w:val="00761628"/>
    <w:rsid w:val="007633D0"/>
    <w:rsid w:val="00763984"/>
    <w:rsid w:val="00764535"/>
    <w:rsid w:val="00764921"/>
    <w:rsid w:val="00764C1E"/>
    <w:rsid w:val="00764EDE"/>
    <w:rsid w:val="007656E9"/>
    <w:rsid w:val="00765F04"/>
    <w:rsid w:val="00770078"/>
    <w:rsid w:val="007704D6"/>
    <w:rsid w:val="0077101A"/>
    <w:rsid w:val="00772F58"/>
    <w:rsid w:val="007732AE"/>
    <w:rsid w:val="00774A9F"/>
    <w:rsid w:val="00775635"/>
    <w:rsid w:val="0077577A"/>
    <w:rsid w:val="0077586D"/>
    <w:rsid w:val="00776DDB"/>
    <w:rsid w:val="007779FF"/>
    <w:rsid w:val="00777AEB"/>
    <w:rsid w:val="00777B30"/>
    <w:rsid w:val="00777BF9"/>
    <w:rsid w:val="00777FC2"/>
    <w:rsid w:val="00781269"/>
    <w:rsid w:val="0078328D"/>
    <w:rsid w:val="00786810"/>
    <w:rsid w:val="00791336"/>
    <w:rsid w:val="00791F7B"/>
    <w:rsid w:val="00792B1C"/>
    <w:rsid w:val="00792FF7"/>
    <w:rsid w:val="00793716"/>
    <w:rsid w:val="00793AED"/>
    <w:rsid w:val="00794391"/>
    <w:rsid w:val="007953BD"/>
    <w:rsid w:val="00796384"/>
    <w:rsid w:val="00796895"/>
    <w:rsid w:val="00796BCE"/>
    <w:rsid w:val="007978E5"/>
    <w:rsid w:val="00797A1F"/>
    <w:rsid w:val="00797C07"/>
    <w:rsid w:val="00797EAA"/>
    <w:rsid w:val="007A081B"/>
    <w:rsid w:val="007A4920"/>
    <w:rsid w:val="007A4AD7"/>
    <w:rsid w:val="007A503E"/>
    <w:rsid w:val="007A6195"/>
    <w:rsid w:val="007A78F5"/>
    <w:rsid w:val="007B0703"/>
    <w:rsid w:val="007B09F9"/>
    <w:rsid w:val="007B24B4"/>
    <w:rsid w:val="007B2F4A"/>
    <w:rsid w:val="007B4E55"/>
    <w:rsid w:val="007B6A27"/>
    <w:rsid w:val="007B70C1"/>
    <w:rsid w:val="007B7A47"/>
    <w:rsid w:val="007C0102"/>
    <w:rsid w:val="007C02F0"/>
    <w:rsid w:val="007C094A"/>
    <w:rsid w:val="007C2521"/>
    <w:rsid w:val="007C3F99"/>
    <w:rsid w:val="007C4106"/>
    <w:rsid w:val="007C49C1"/>
    <w:rsid w:val="007C650D"/>
    <w:rsid w:val="007D0395"/>
    <w:rsid w:val="007D03BC"/>
    <w:rsid w:val="007D2BB1"/>
    <w:rsid w:val="007D42B0"/>
    <w:rsid w:val="007D4306"/>
    <w:rsid w:val="007D4C41"/>
    <w:rsid w:val="007D4DB0"/>
    <w:rsid w:val="007D51D7"/>
    <w:rsid w:val="007D527E"/>
    <w:rsid w:val="007D5965"/>
    <w:rsid w:val="007E11F9"/>
    <w:rsid w:val="007E21DC"/>
    <w:rsid w:val="007E236E"/>
    <w:rsid w:val="007E3096"/>
    <w:rsid w:val="007E3A52"/>
    <w:rsid w:val="007E411A"/>
    <w:rsid w:val="007E5671"/>
    <w:rsid w:val="007E640F"/>
    <w:rsid w:val="007E6CC6"/>
    <w:rsid w:val="007F016E"/>
    <w:rsid w:val="007F05F9"/>
    <w:rsid w:val="007F3B74"/>
    <w:rsid w:val="007F3C4A"/>
    <w:rsid w:val="007F4CCD"/>
    <w:rsid w:val="007F4DF2"/>
    <w:rsid w:val="007F569C"/>
    <w:rsid w:val="007F5EBC"/>
    <w:rsid w:val="007F5FA7"/>
    <w:rsid w:val="007F67EC"/>
    <w:rsid w:val="007F6C13"/>
    <w:rsid w:val="007F6C46"/>
    <w:rsid w:val="007F6D4A"/>
    <w:rsid w:val="007F7D5F"/>
    <w:rsid w:val="008011FB"/>
    <w:rsid w:val="00801324"/>
    <w:rsid w:val="008013E0"/>
    <w:rsid w:val="00801B6F"/>
    <w:rsid w:val="00801F0C"/>
    <w:rsid w:val="008021B8"/>
    <w:rsid w:val="008027CD"/>
    <w:rsid w:val="0080662E"/>
    <w:rsid w:val="0080683B"/>
    <w:rsid w:val="00807747"/>
    <w:rsid w:val="00810828"/>
    <w:rsid w:val="008113D0"/>
    <w:rsid w:val="00811A8B"/>
    <w:rsid w:val="008122F6"/>
    <w:rsid w:val="0081252C"/>
    <w:rsid w:val="0081299D"/>
    <w:rsid w:val="00814BE5"/>
    <w:rsid w:val="008174C8"/>
    <w:rsid w:val="00817E20"/>
    <w:rsid w:val="008203E5"/>
    <w:rsid w:val="00820668"/>
    <w:rsid w:val="00820CEF"/>
    <w:rsid w:val="00821F3A"/>
    <w:rsid w:val="00822373"/>
    <w:rsid w:val="00822A1A"/>
    <w:rsid w:val="00823149"/>
    <w:rsid w:val="00824F32"/>
    <w:rsid w:val="008256FB"/>
    <w:rsid w:val="00830548"/>
    <w:rsid w:val="008314D2"/>
    <w:rsid w:val="00836233"/>
    <w:rsid w:val="00836A3C"/>
    <w:rsid w:val="00836FBF"/>
    <w:rsid w:val="00837C5C"/>
    <w:rsid w:val="00840189"/>
    <w:rsid w:val="00842418"/>
    <w:rsid w:val="00843241"/>
    <w:rsid w:val="00844F7D"/>
    <w:rsid w:val="008450A4"/>
    <w:rsid w:val="008466DB"/>
    <w:rsid w:val="008504F7"/>
    <w:rsid w:val="0085101D"/>
    <w:rsid w:val="00851083"/>
    <w:rsid w:val="00851721"/>
    <w:rsid w:val="0085197B"/>
    <w:rsid w:val="00851995"/>
    <w:rsid w:val="00851B4F"/>
    <w:rsid w:val="0085263E"/>
    <w:rsid w:val="008536E8"/>
    <w:rsid w:val="008539B9"/>
    <w:rsid w:val="0085494C"/>
    <w:rsid w:val="0085530C"/>
    <w:rsid w:val="00855810"/>
    <w:rsid w:val="00855D53"/>
    <w:rsid w:val="0085624C"/>
    <w:rsid w:val="0085647F"/>
    <w:rsid w:val="00857A3E"/>
    <w:rsid w:val="008614FF"/>
    <w:rsid w:val="00861A4A"/>
    <w:rsid w:val="00862243"/>
    <w:rsid w:val="0086294E"/>
    <w:rsid w:val="00862F1E"/>
    <w:rsid w:val="00863F16"/>
    <w:rsid w:val="008653E5"/>
    <w:rsid w:val="00866AE5"/>
    <w:rsid w:val="008677C8"/>
    <w:rsid w:val="00867AF4"/>
    <w:rsid w:val="008706D4"/>
    <w:rsid w:val="00871352"/>
    <w:rsid w:val="008716F4"/>
    <w:rsid w:val="00872C1D"/>
    <w:rsid w:val="0087336B"/>
    <w:rsid w:val="00873710"/>
    <w:rsid w:val="00876177"/>
    <w:rsid w:val="00876AD9"/>
    <w:rsid w:val="00877667"/>
    <w:rsid w:val="0088043B"/>
    <w:rsid w:val="00880F51"/>
    <w:rsid w:val="00881670"/>
    <w:rsid w:val="008831F6"/>
    <w:rsid w:val="008834E6"/>
    <w:rsid w:val="00884DFA"/>
    <w:rsid w:val="00885D6B"/>
    <w:rsid w:val="00886C59"/>
    <w:rsid w:val="00887001"/>
    <w:rsid w:val="008879E5"/>
    <w:rsid w:val="0089065E"/>
    <w:rsid w:val="00893899"/>
    <w:rsid w:val="00893957"/>
    <w:rsid w:val="008940F7"/>
    <w:rsid w:val="0089461E"/>
    <w:rsid w:val="00894B63"/>
    <w:rsid w:val="00897A4D"/>
    <w:rsid w:val="00897CA2"/>
    <w:rsid w:val="008A027E"/>
    <w:rsid w:val="008A1928"/>
    <w:rsid w:val="008A1BA1"/>
    <w:rsid w:val="008A367B"/>
    <w:rsid w:val="008A37E9"/>
    <w:rsid w:val="008A3E97"/>
    <w:rsid w:val="008A43B9"/>
    <w:rsid w:val="008A501E"/>
    <w:rsid w:val="008A5088"/>
    <w:rsid w:val="008A6C51"/>
    <w:rsid w:val="008A7732"/>
    <w:rsid w:val="008A7736"/>
    <w:rsid w:val="008B0B11"/>
    <w:rsid w:val="008B2B27"/>
    <w:rsid w:val="008B4233"/>
    <w:rsid w:val="008B50DE"/>
    <w:rsid w:val="008B581D"/>
    <w:rsid w:val="008B59F0"/>
    <w:rsid w:val="008B5F63"/>
    <w:rsid w:val="008B5FF8"/>
    <w:rsid w:val="008B62A5"/>
    <w:rsid w:val="008B7726"/>
    <w:rsid w:val="008B777B"/>
    <w:rsid w:val="008B7E7E"/>
    <w:rsid w:val="008C2C56"/>
    <w:rsid w:val="008C356D"/>
    <w:rsid w:val="008C5ACD"/>
    <w:rsid w:val="008C7349"/>
    <w:rsid w:val="008C7645"/>
    <w:rsid w:val="008D04E9"/>
    <w:rsid w:val="008D0E80"/>
    <w:rsid w:val="008D1240"/>
    <w:rsid w:val="008D156E"/>
    <w:rsid w:val="008D3427"/>
    <w:rsid w:val="008D3840"/>
    <w:rsid w:val="008D399B"/>
    <w:rsid w:val="008D4666"/>
    <w:rsid w:val="008D4975"/>
    <w:rsid w:val="008D4CED"/>
    <w:rsid w:val="008D5783"/>
    <w:rsid w:val="008D71BF"/>
    <w:rsid w:val="008D7850"/>
    <w:rsid w:val="008E0C90"/>
    <w:rsid w:val="008E21E0"/>
    <w:rsid w:val="008E295A"/>
    <w:rsid w:val="008E30D3"/>
    <w:rsid w:val="008E3D62"/>
    <w:rsid w:val="008E3DDC"/>
    <w:rsid w:val="008E4F2A"/>
    <w:rsid w:val="008E597E"/>
    <w:rsid w:val="008E5BDA"/>
    <w:rsid w:val="008E5CDE"/>
    <w:rsid w:val="008F24BB"/>
    <w:rsid w:val="008F2940"/>
    <w:rsid w:val="008F42A9"/>
    <w:rsid w:val="008F4446"/>
    <w:rsid w:val="008F5A75"/>
    <w:rsid w:val="008F6EAD"/>
    <w:rsid w:val="008F73E3"/>
    <w:rsid w:val="009033CE"/>
    <w:rsid w:val="00903954"/>
    <w:rsid w:val="0090511F"/>
    <w:rsid w:val="009060C2"/>
    <w:rsid w:val="009063C3"/>
    <w:rsid w:val="009078EC"/>
    <w:rsid w:val="00910007"/>
    <w:rsid w:val="009102F1"/>
    <w:rsid w:val="00910A16"/>
    <w:rsid w:val="00912C6E"/>
    <w:rsid w:val="009144DD"/>
    <w:rsid w:val="009149DD"/>
    <w:rsid w:val="00915CCB"/>
    <w:rsid w:val="00915D14"/>
    <w:rsid w:val="009168BB"/>
    <w:rsid w:val="00920EBE"/>
    <w:rsid w:val="00921521"/>
    <w:rsid w:val="00923081"/>
    <w:rsid w:val="009231D2"/>
    <w:rsid w:val="0092480D"/>
    <w:rsid w:val="009252A8"/>
    <w:rsid w:val="0092572E"/>
    <w:rsid w:val="00925D75"/>
    <w:rsid w:val="00926458"/>
    <w:rsid w:val="00927A8D"/>
    <w:rsid w:val="00927D68"/>
    <w:rsid w:val="00930860"/>
    <w:rsid w:val="00930DE1"/>
    <w:rsid w:val="00930F4B"/>
    <w:rsid w:val="009313CD"/>
    <w:rsid w:val="00933159"/>
    <w:rsid w:val="009332C6"/>
    <w:rsid w:val="0093498D"/>
    <w:rsid w:val="009406AD"/>
    <w:rsid w:val="00940CEA"/>
    <w:rsid w:val="00941CE1"/>
    <w:rsid w:val="00941F26"/>
    <w:rsid w:val="0094216D"/>
    <w:rsid w:val="009436E3"/>
    <w:rsid w:val="009455B7"/>
    <w:rsid w:val="00946BE0"/>
    <w:rsid w:val="00946D1D"/>
    <w:rsid w:val="00947AEB"/>
    <w:rsid w:val="00947C73"/>
    <w:rsid w:val="00950CFD"/>
    <w:rsid w:val="00951848"/>
    <w:rsid w:val="009525AD"/>
    <w:rsid w:val="009529EB"/>
    <w:rsid w:val="00953237"/>
    <w:rsid w:val="00953DA5"/>
    <w:rsid w:val="00954232"/>
    <w:rsid w:val="0095481B"/>
    <w:rsid w:val="00955E98"/>
    <w:rsid w:val="00956652"/>
    <w:rsid w:val="0095754D"/>
    <w:rsid w:val="009575E3"/>
    <w:rsid w:val="0096083C"/>
    <w:rsid w:val="00961CA3"/>
    <w:rsid w:val="00961DAE"/>
    <w:rsid w:val="009621C3"/>
    <w:rsid w:val="009626D3"/>
    <w:rsid w:val="009634F8"/>
    <w:rsid w:val="00963A07"/>
    <w:rsid w:val="00963AD5"/>
    <w:rsid w:val="009643F0"/>
    <w:rsid w:val="00964C20"/>
    <w:rsid w:val="0096554A"/>
    <w:rsid w:val="00965C25"/>
    <w:rsid w:val="00966119"/>
    <w:rsid w:val="00966AE7"/>
    <w:rsid w:val="00967914"/>
    <w:rsid w:val="00970186"/>
    <w:rsid w:val="00971168"/>
    <w:rsid w:val="00972CC2"/>
    <w:rsid w:val="00973971"/>
    <w:rsid w:val="00976268"/>
    <w:rsid w:val="009768BA"/>
    <w:rsid w:val="009776EC"/>
    <w:rsid w:val="009800BF"/>
    <w:rsid w:val="00980556"/>
    <w:rsid w:val="00980B40"/>
    <w:rsid w:val="00981BC4"/>
    <w:rsid w:val="00981ED5"/>
    <w:rsid w:val="00981F59"/>
    <w:rsid w:val="0098266A"/>
    <w:rsid w:val="00987DF4"/>
    <w:rsid w:val="009908EA"/>
    <w:rsid w:val="00990FFA"/>
    <w:rsid w:val="00991895"/>
    <w:rsid w:val="00991D20"/>
    <w:rsid w:val="00992816"/>
    <w:rsid w:val="00992C30"/>
    <w:rsid w:val="00994708"/>
    <w:rsid w:val="0099494C"/>
    <w:rsid w:val="00994F37"/>
    <w:rsid w:val="00995731"/>
    <w:rsid w:val="00997079"/>
    <w:rsid w:val="00997584"/>
    <w:rsid w:val="009A0A99"/>
    <w:rsid w:val="009A0B47"/>
    <w:rsid w:val="009A0D58"/>
    <w:rsid w:val="009A1522"/>
    <w:rsid w:val="009A3F80"/>
    <w:rsid w:val="009A445B"/>
    <w:rsid w:val="009A44DD"/>
    <w:rsid w:val="009A485F"/>
    <w:rsid w:val="009A59A8"/>
    <w:rsid w:val="009B0B4A"/>
    <w:rsid w:val="009B38D7"/>
    <w:rsid w:val="009B3974"/>
    <w:rsid w:val="009B47F0"/>
    <w:rsid w:val="009B4B6B"/>
    <w:rsid w:val="009B529F"/>
    <w:rsid w:val="009B6E99"/>
    <w:rsid w:val="009B6F7E"/>
    <w:rsid w:val="009B756E"/>
    <w:rsid w:val="009B799E"/>
    <w:rsid w:val="009C0035"/>
    <w:rsid w:val="009C004A"/>
    <w:rsid w:val="009C1538"/>
    <w:rsid w:val="009C38D8"/>
    <w:rsid w:val="009C54AD"/>
    <w:rsid w:val="009C7724"/>
    <w:rsid w:val="009C7C39"/>
    <w:rsid w:val="009D1449"/>
    <w:rsid w:val="009D1D37"/>
    <w:rsid w:val="009D237F"/>
    <w:rsid w:val="009D35D0"/>
    <w:rsid w:val="009D3E8F"/>
    <w:rsid w:val="009D4EAF"/>
    <w:rsid w:val="009D4F38"/>
    <w:rsid w:val="009D57CF"/>
    <w:rsid w:val="009D6171"/>
    <w:rsid w:val="009D6392"/>
    <w:rsid w:val="009D644F"/>
    <w:rsid w:val="009D76C4"/>
    <w:rsid w:val="009D774E"/>
    <w:rsid w:val="009D7DBE"/>
    <w:rsid w:val="009E015D"/>
    <w:rsid w:val="009E026C"/>
    <w:rsid w:val="009E4496"/>
    <w:rsid w:val="009E5802"/>
    <w:rsid w:val="009E5988"/>
    <w:rsid w:val="009E5E79"/>
    <w:rsid w:val="009E5E7C"/>
    <w:rsid w:val="009E6E7E"/>
    <w:rsid w:val="009E75A4"/>
    <w:rsid w:val="009F06D6"/>
    <w:rsid w:val="009F0B5B"/>
    <w:rsid w:val="009F0E1F"/>
    <w:rsid w:val="009F0FE3"/>
    <w:rsid w:val="009F1329"/>
    <w:rsid w:val="009F32FE"/>
    <w:rsid w:val="009F39CD"/>
    <w:rsid w:val="009F3C85"/>
    <w:rsid w:val="009F44DE"/>
    <w:rsid w:val="009F61FA"/>
    <w:rsid w:val="009F736E"/>
    <w:rsid w:val="009F76A5"/>
    <w:rsid w:val="00A00226"/>
    <w:rsid w:val="00A04D42"/>
    <w:rsid w:val="00A04E5F"/>
    <w:rsid w:val="00A05F8B"/>
    <w:rsid w:val="00A0618D"/>
    <w:rsid w:val="00A06C7B"/>
    <w:rsid w:val="00A06CE5"/>
    <w:rsid w:val="00A076F5"/>
    <w:rsid w:val="00A11FD3"/>
    <w:rsid w:val="00A14E0A"/>
    <w:rsid w:val="00A1569C"/>
    <w:rsid w:val="00A15B3A"/>
    <w:rsid w:val="00A1659D"/>
    <w:rsid w:val="00A165D9"/>
    <w:rsid w:val="00A166D2"/>
    <w:rsid w:val="00A16A3A"/>
    <w:rsid w:val="00A17A5B"/>
    <w:rsid w:val="00A17C96"/>
    <w:rsid w:val="00A17F60"/>
    <w:rsid w:val="00A209DF"/>
    <w:rsid w:val="00A21ADF"/>
    <w:rsid w:val="00A21C1D"/>
    <w:rsid w:val="00A229D0"/>
    <w:rsid w:val="00A22D45"/>
    <w:rsid w:val="00A24AF6"/>
    <w:rsid w:val="00A2505C"/>
    <w:rsid w:val="00A25DD3"/>
    <w:rsid w:val="00A26718"/>
    <w:rsid w:val="00A26E38"/>
    <w:rsid w:val="00A275C8"/>
    <w:rsid w:val="00A30E35"/>
    <w:rsid w:val="00A313AB"/>
    <w:rsid w:val="00A3246B"/>
    <w:rsid w:val="00A3253A"/>
    <w:rsid w:val="00A33066"/>
    <w:rsid w:val="00A33B0A"/>
    <w:rsid w:val="00A341E2"/>
    <w:rsid w:val="00A3473F"/>
    <w:rsid w:val="00A35427"/>
    <w:rsid w:val="00A35608"/>
    <w:rsid w:val="00A36198"/>
    <w:rsid w:val="00A366B7"/>
    <w:rsid w:val="00A36C45"/>
    <w:rsid w:val="00A37539"/>
    <w:rsid w:val="00A40D56"/>
    <w:rsid w:val="00A42511"/>
    <w:rsid w:val="00A42D6A"/>
    <w:rsid w:val="00A43927"/>
    <w:rsid w:val="00A43D03"/>
    <w:rsid w:val="00A448FD"/>
    <w:rsid w:val="00A451DF"/>
    <w:rsid w:val="00A4597C"/>
    <w:rsid w:val="00A46385"/>
    <w:rsid w:val="00A471A8"/>
    <w:rsid w:val="00A50029"/>
    <w:rsid w:val="00A50AEE"/>
    <w:rsid w:val="00A51B9D"/>
    <w:rsid w:val="00A51BEB"/>
    <w:rsid w:val="00A51E83"/>
    <w:rsid w:val="00A5204E"/>
    <w:rsid w:val="00A52569"/>
    <w:rsid w:val="00A52B64"/>
    <w:rsid w:val="00A539E6"/>
    <w:rsid w:val="00A55FF2"/>
    <w:rsid w:val="00A60A16"/>
    <w:rsid w:val="00A61B0B"/>
    <w:rsid w:val="00A6249C"/>
    <w:rsid w:val="00A6252F"/>
    <w:rsid w:val="00A6273F"/>
    <w:rsid w:val="00A6287C"/>
    <w:rsid w:val="00A63858"/>
    <w:rsid w:val="00A6483C"/>
    <w:rsid w:val="00A64BD1"/>
    <w:rsid w:val="00A65F00"/>
    <w:rsid w:val="00A661C7"/>
    <w:rsid w:val="00A67637"/>
    <w:rsid w:val="00A67D89"/>
    <w:rsid w:val="00A70D15"/>
    <w:rsid w:val="00A719BD"/>
    <w:rsid w:val="00A726C9"/>
    <w:rsid w:val="00A74319"/>
    <w:rsid w:val="00A74C3F"/>
    <w:rsid w:val="00A757E6"/>
    <w:rsid w:val="00A758CB"/>
    <w:rsid w:val="00A7616B"/>
    <w:rsid w:val="00A76CBF"/>
    <w:rsid w:val="00A76DFC"/>
    <w:rsid w:val="00A8068B"/>
    <w:rsid w:val="00A80BB7"/>
    <w:rsid w:val="00A81702"/>
    <w:rsid w:val="00A81873"/>
    <w:rsid w:val="00A819E6"/>
    <w:rsid w:val="00A82D03"/>
    <w:rsid w:val="00A8309F"/>
    <w:rsid w:val="00A8409D"/>
    <w:rsid w:val="00A853F3"/>
    <w:rsid w:val="00A861ED"/>
    <w:rsid w:val="00A87658"/>
    <w:rsid w:val="00A913EB"/>
    <w:rsid w:val="00A91685"/>
    <w:rsid w:val="00A93196"/>
    <w:rsid w:val="00A93D64"/>
    <w:rsid w:val="00A9412B"/>
    <w:rsid w:val="00A94785"/>
    <w:rsid w:val="00A94D98"/>
    <w:rsid w:val="00A95C1B"/>
    <w:rsid w:val="00A97987"/>
    <w:rsid w:val="00A97B39"/>
    <w:rsid w:val="00AA04FB"/>
    <w:rsid w:val="00AA0BCB"/>
    <w:rsid w:val="00AA1677"/>
    <w:rsid w:val="00AA1CEB"/>
    <w:rsid w:val="00AA38A5"/>
    <w:rsid w:val="00AA443E"/>
    <w:rsid w:val="00AA52FA"/>
    <w:rsid w:val="00AA6949"/>
    <w:rsid w:val="00AA71CD"/>
    <w:rsid w:val="00AA7358"/>
    <w:rsid w:val="00AB0090"/>
    <w:rsid w:val="00AB02DC"/>
    <w:rsid w:val="00AB0CF8"/>
    <w:rsid w:val="00AB10A5"/>
    <w:rsid w:val="00AB13F5"/>
    <w:rsid w:val="00AB154C"/>
    <w:rsid w:val="00AB2100"/>
    <w:rsid w:val="00AB529C"/>
    <w:rsid w:val="00AB71F4"/>
    <w:rsid w:val="00AC130B"/>
    <w:rsid w:val="00AC24EC"/>
    <w:rsid w:val="00AC2C79"/>
    <w:rsid w:val="00AC2FAD"/>
    <w:rsid w:val="00AC3AAB"/>
    <w:rsid w:val="00AC4616"/>
    <w:rsid w:val="00AC50F2"/>
    <w:rsid w:val="00AC5EDA"/>
    <w:rsid w:val="00AC6499"/>
    <w:rsid w:val="00AC6D6E"/>
    <w:rsid w:val="00AC6DD5"/>
    <w:rsid w:val="00AC7D07"/>
    <w:rsid w:val="00AD0D45"/>
    <w:rsid w:val="00AD264C"/>
    <w:rsid w:val="00AD2C84"/>
    <w:rsid w:val="00AD2CC9"/>
    <w:rsid w:val="00AD3E46"/>
    <w:rsid w:val="00AD7010"/>
    <w:rsid w:val="00AD7AAE"/>
    <w:rsid w:val="00AE1873"/>
    <w:rsid w:val="00AE1FAF"/>
    <w:rsid w:val="00AE2860"/>
    <w:rsid w:val="00AE3CF7"/>
    <w:rsid w:val="00AE44F6"/>
    <w:rsid w:val="00AE520E"/>
    <w:rsid w:val="00AE670A"/>
    <w:rsid w:val="00AE717B"/>
    <w:rsid w:val="00AE796C"/>
    <w:rsid w:val="00AF0017"/>
    <w:rsid w:val="00AF12E9"/>
    <w:rsid w:val="00AF2B1F"/>
    <w:rsid w:val="00AF2D55"/>
    <w:rsid w:val="00AF31AA"/>
    <w:rsid w:val="00AF3417"/>
    <w:rsid w:val="00AF56B4"/>
    <w:rsid w:val="00AF6198"/>
    <w:rsid w:val="00AF7359"/>
    <w:rsid w:val="00AF7840"/>
    <w:rsid w:val="00B0119D"/>
    <w:rsid w:val="00B01E6E"/>
    <w:rsid w:val="00B02CBD"/>
    <w:rsid w:val="00B0397F"/>
    <w:rsid w:val="00B062B2"/>
    <w:rsid w:val="00B066BF"/>
    <w:rsid w:val="00B06C95"/>
    <w:rsid w:val="00B06F4D"/>
    <w:rsid w:val="00B10637"/>
    <w:rsid w:val="00B10FCD"/>
    <w:rsid w:val="00B11AE0"/>
    <w:rsid w:val="00B11B89"/>
    <w:rsid w:val="00B11DCA"/>
    <w:rsid w:val="00B13A13"/>
    <w:rsid w:val="00B13BFC"/>
    <w:rsid w:val="00B1419F"/>
    <w:rsid w:val="00B15526"/>
    <w:rsid w:val="00B1644E"/>
    <w:rsid w:val="00B16C4E"/>
    <w:rsid w:val="00B16CCB"/>
    <w:rsid w:val="00B178ED"/>
    <w:rsid w:val="00B179C8"/>
    <w:rsid w:val="00B2035C"/>
    <w:rsid w:val="00B2090B"/>
    <w:rsid w:val="00B20B6E"/>
    <w:rsid w:val="00B20BE7"/>
    <w:rsid w:val="00B21CF1"/>
    <w:rsid w:val="00B23414"/>
    <w:rsid w:val="00B23A45"/>
    <w:rsid w:val="00B240FD"/>
    <w:rsid w:val="00B24302"/>
    <w:rsid w:val="00B25FF4"/>
    <w:rsid w:val="00B27C0A"/>
    <w:rsid w:val="00B31327"/>
    <w:rsid w:val="00B31A6C"/>
    <w:rsid w:val="00B31CCF"/>
    <w:rsid w:val="00B32C50"/>
    <w:rsid w:val="00B36276"/>
    <w:rsid w:val="00B40450"/>
    <w:rsid w:val="00B414A6"/>
    <w:rsid w:val="00B43067"/>
    <w:rsid w:val="00B43CC5"/>
    <w:rsid w:val="00B45643"/>
    <w:rsid w:val="00B47223"/>
    <w:rsid w:val="00B51160"/>
    <w:rsid w:val="00B51F29"/>
    <w:rsid w:val="00B5466D"/>
    <w:rsid w:val="00B554CF"/>
    <w:rsid w:val="00B565B1"/>
    <w:rsid w:val="00B56B0A"/>
    <w:rsid w:val="00B570E9"/>
    <w:rsid w:val="00B602C3"/>
    <w:rsid w:val="00B61F07"/>
    <w:rsid w:val="00B620D3"/>
    <w:rsid w:val="00B63197"/>
    <w:rsid w:val="00B63F56"/>
    <w:rsid w:val="00B64173"/>
    <w:rsid w:val="00B64B57"/>
    <w:rsid w:val="00B64F55"/>
    <w:rsid w:val="00B65D75"/>
    <w:rsid w:val="00B65E7F"/>
    <w:rsid w:val="00B66062"/>
    <w:rsid w:val="00B66189"/>
    <w:rsid w:val="00B66597"/>
    <w:rsid w:val="00B67EE6"/>
    <w:rsid w:val="00B7251D"/>
    <w:rsid w:val="00B72A4D"/>
    <w:rsid w:val="00B72B28"/>
    <w:rsid w:val="00B7305B"/>
    <w:rsid w:val="00B742F4"/>
    <w:rsid w:val="00B746DC"/>
    <w:rsid w:val="00B76111"/>
    <w:rsid w:val="00B7626B"/>
    <w:rsid w:val="00B76FE5"/>
    <w:rsid w:val="00B77B6E"/>
    <w:rsid w:val="00B77C6C"/>
    <w:rsid w:val="00B80FA1"/>
    <w:rsid w:val="00B8109F"/>
    <w:rsid w:val="00B81A58"/>
    <w:rsid w:val="00B83005"/>
    <w:rsid w:val="00B832A5"/>
    <w:rsid w:val="00B838ED"/>
    <w:rsid w:val="00B83C43"/>
    <w:rsid w:val="00B8612D"/>
    <w:rsid w:val="00B877DD"/>
    <w:rsid w:val="00B90478"/>
    <w:rsid w:val="00B9051B"/>
    <w:rsid w:val="00B9051E"/>
    <w:rsid w:val="00B90610"/>
    <w:rsid w:val="00B9090A"/>
    <w:rsid w:val="00B91AC6"/>
    <w:rsid w:val="00B9209C"/>
    <w:rsid w:val="00B934FC"/>
    <w:rsid w:val="00B93E10"/>
    <w:rsid w:val="00B9545A"/>
    <w:rsid w:val="00B96432"/>
    <w:rsid w:val="00B97B15"/>
    <w:rsid w:val="00B97E79"/>
    <w:rsid w:val="00BA06D3"/>
    <w:rsid w:val="00BA0E6B"/>
    <w:rsid w:val="00BA1FEC"/>
    <w:rsid w:val="00BA5849"/>
    <w:rsid w:val="00BA5A64"/>
    <w:rsid w:val="00BA5FA5"/>
    <w:rsid w:val="00BA767E"/>
    <w:rsid w:val="00BB0283"/>
    <w:rsid w:val="00BB0D4B"/>
    <w:rsid w:val="00BB0E31"/>
    <w:rsid w:val="00BB133A"/>
    <w:rsid w:val="00BB167E"/>
    <w:rsid w:val="00BB1EFA"/>
    <w:rsid w:val="00BB4838"/>
    <w:rsid w:val="00BB4CA4"/>
    <w:rsid w:val="00BB5CD6"/>
    <w:rsid w:val="00BB5D52"/>
    <w:rsid w:val="00BB5EB5"/>
    <w:rsid w:val="00BB747D"/>
    <w:rsid w:val="00BC1A68"/>
    <w:rsid w:val="00BC273B"/>
    <w:rsid w:val="00BC2B6E"/>
    <w:rsid w:val="00BC2E13"/>
    <w:rsid w:val="00BC30A1"/>
    <w:rsid w:val="00BC3A13"/>
    <w:rsid w:val="00BC4D9B"/>
    <w:rsid w:val="00BC7530"/>
    <w:rsid w:val="00BC7ED6"/>
    <w:rsid w:val="00BD0DC8"/>
    <w:rsid w:val="00BD1610"/>
    <w:rsid w:val="00BD1EA6"/>
    <w:rsid w:val="00BD35C7"/>
    <w:rsid w:val="00BD4DD2"/>
    <w:rsid w:val="00BD533F"/>
    <w:rsid w:val="00BD5B83"/>
    <w:rsid w:val="00BD6200"/>
    <w:rsid w:val="00BD77BA"/>
    <w:rsid w:val="00BE00A9"/>
    <w:rsid w:val="00BE1040"/>
    <w:rsid w:val="00BE1601"/>
    <w:rsid w:val="00BE1BC7"/>
    <w:rsid w:val="00BE22B6"/>
    <w:rsid w:val="00BE2BC2"/>
    <w:rsid w:val="00BE5CC5"/>
    <w:rsid w:val="00BE7506"/>
    <w:rsid w:val="00BE7952"/>
    <w:rsid w:val="00BF0EE4"/>
    <w:rsid w:val="00BF0F08"/>
    <w:rsid w:val="00BF1218"/>
    <w:rsid w:val="00BF32BB"/>
    <w:rsid w:val="00BF3A1F"/>
    <w:rsid w:val="00BF7911"/>
    <w:rsid w:val="00BF7E43"/>
    <w:rsid w:val="00C00196"/>
    <w:rsid w:val="00C00698"/>
    <w:rsid w:val="00C01D0D"/>
    <w:rsid w:val="00C02CDC"/>
    <w:rsid w:val="00C03918"/>
    <w:rsid w:val="00C03C17"/>
    <w:rsid w:val="00C048F9"/>
    <w:rsid w:val="00C04E1B"/>
    <w:rsid w:val="00C051A6"/>
    <w:rsid w:val="00C056C9"/>
    <w:rsid w:val="00C07741"/>
    <w:rsid w:val="00C07BA3"/>
    <w:rsid w:val="00C119B6"/>
    <w:rsid w:val="00C1507F"/>
    <w:rsid w:val="00C158E0"/>
    <w:rsid w:val="00C15A9C"/>
    <w:rsid w:val="00C16174"/>
    <w:rsid w:val="00C16FF8"/>
    <w:rsid w:val="00C174B9"/>
    <w:rsid w:val="00C176B2"/>
    <w:rsid w:val="00C23F6D"/>
    <w:rsid w:val="00C24712"/>
    <w:rsid w:val="00C24C74"/>
    <w:rsid w:val="00C24E80"/>
    <w:rsid w:val="00C25C24"/>
    <w:rsid w:val="00C26C38"/>
    <w:rsid w:val="00C26D5A"/>
    <w:rsid w:val="00C2790B"/>
    <w:rsid w:val="00C27D9E"/>
    <w:rsid w:val="00C303AB"/>
    <w:rsid w:val="00C307E1"/>
    <w:rsid w:val="00C30BFE"/>
    <w:rsid w:val="00C30CD0"/>
    <w:rsid w:val="00C31299"/>
    <w:rsid w:val="00C320B5"/>
    <w:rsid w:val="00C3745E"/>
    <w:rsid w:val="00C3771B"/>
    <w:rsid w:val="00C40499"/>
    <w:rsid w:val="00C40F36"/>
    <w:rsid w:val="00C41A67"/>
    <w:rsid w:val="00C42DEA"/>
    <w:rsid w:val="00C43E3B"/>
    <w:rsid w:val="00C44364"/>
    <w:rsid w:val="00C50A84"/>
    <w:rsid w:val="00C51C19"/>
    <w:rsid w:val="00C52AC2"/>
    <w:rsid w:val="00C53232"/>
    <w:rsid w:val="00C53E73"/>
    <w:rsid w:val="00C53F69"/>
    <w:rsid w:val="00C60176"/>
    <w:rsid w:val="00C60F92"/>
    <w:rsid w:val="00C61C7B"/>
    <w:rsid w:val="00C66036"/>
    <w:rsid w:val="00C70C7B"/>
    <w:rsid w:val="00C7169D"/>
    <w:rsid w:val="00C7228B"/>
    <w:rsid w:val="00C725D3"/>
    <w:rsid w:val="00C75CEA"/>
    <w:rsid w:val="00C76233"/>
    <w:rsid w:val="00C77106"/>
    <w:rsid w:val="00C80439"/>
    <w:rsid w:val="00C817F2"/>
    <w:rsid w:val="00C82739"/>
    <w:rsid w:val="00C82DA3"/>
    <w:rsid w:val="00C82E8B"/>
    <w:rsid w:val="00C82FA5"/>
    <w:rsid w:val="00C84995"/>
    <w:rsid w:val="00C86B54"/>
    <w:rsid w:val="00C87B99"/>
    <w:rsid w:val="00C90199"/>
    <w:rsid w:val="00C91C88"/>
    <w:rsid w:val="00C91EC7"/>
    <w:rsid w:val="00C92137"/>
    <w:rsid w:val="00C9235F"/>
    <w:rsid w:val="00C935D2"/>
    <w:rsid w:val="00C956E8"/>
    <w:rsid w:val="00C96B1F"/>
    <w:rsid w:val="00C96E54"/>
    <w:rsid w:val="00C96F08"/>
    <w:rsid w:val="00C97DA0"/>
    <w:rsid w:val="00CA0272"/>
    <w:rsid w:val="00CA0AE5"/>
    <w:rsid w:val="00CA1210"/>
    <w:rsid w:val="00CA186F"/>
    <w:rsid w:val="00CA1B04"/>
    <w:rsid w:val="00CA2C76"/>
    <w:rsid w:val="00CA519C"/>
    <w:rsid w:val="00CA536E"/>
    <w:rsid w:val="00CA73DE"/>
    <w:rsid w:val="00CA7831"/>
    <w:rsid w:val="00CA7C99"/>
    <w:rsid w:val="00CB02D6"/>
    <w:rsid w:val="00CB109C"/>
    <w:rsid w:val="00CB1C21"/>
    <w:rsid w:val="00CB287A"/>
    <w:rsid w:val="00CB37F8"/>
    <w:rsid w:val="00CB3F7F"/>
    <w:rsid w:val="00CB4BF9"/>
    <w:rsid w:val="00CB4D95"/>
    <w:rsid w:val="00CB58F9"/>
    <w:rsid w:val="00CB66BC"/>
    <w:rsid w:val="00CB7E4D"/>
    <w:rsid w:val="00CB7ED6"/>
    <w:rsid w:val="00CC0F28"/>
    <w:rsid w:val="00CC1491"/>
    <w:rsid w:val="00CC2611"/>
    <w:rsid w:val="00CC5973"/>
    <w:rsid w:val="00CC6F5C"/>
    <w:rsid w:val="00CC7DEB"/>
    <w:rsid w:val="00CD11F0"/>
    <w:rsid w:val="00CD137B"/>
    <w:rsid w:val="00CD20A4"/>
    <w:rsid w:val="00CD4E40"/>
    <w:rsid w:val="00CD604F"/>
    <w:rsid w:val="00CD7109"/>
    <w:rsid w:val="00CD738B"/>
    <w:rsid w:val="00CE0676"/>
    <w:rsid w:val="00CE1D42"/>
    <w:rsid w:val="00CE253C"/>
    <w:rsid w:val="00CE3B08"/>
    <w:rsid w:val="00CE4491"/>
    <w:rsid w:val="00CE47B2"/>
    <w:rsid w:val="00CE4BBA"/>
    <w:rsid w:val="00CE5EA8"/>
    <w:rsid w:val="00CE6111"/>
    <w:rsid w:val="00CE6485"/>
    <w:rsid w:val="00CE7124"/>
    <w:rsid w:val="00CE7D7B"/>
    <w:rsid w:val="00CF0583"/>
    <w:rsid w:val="00CF0AA5"/>
    <w:rsid w:val="00CF0C56"/>
    <w:rsid w:val="00CF12BD"/>
    <w:rsid w:val="00CF143A"/>
    <w:rsid w:val="00CF15B6"/>
    <w:rsid w:val="00CF1B39"/>
    <w:rsid w:val="00CF24B6"/>
    <w:rsid w:val="00CF29B3"/>
    <w:rsid w:val="00CF3243"/>
    <w:rsid w:val="00CF38B3"/>
    <w:rsid w:val="00CF3A99"/>
    <w:rsid w:val="00CF4A30"/>
    <w:rsid w:val="00CF4B07"/>
    <w:rsid w:val="00CF5361"/>
    <w:rsid w:val="00CF53EE"/>
    <w:rsid w:val="00CF54E1"/>
    <w:rsid w:val="00CF628A"/>
    <w:rsid w:val="00CF674F"/>
    <w:rsid w:val="00CF6942"/>
    <w:rsid w:val="00CF776D"/>
    <w:rsid w:val="00D004D0"/>
    <w:rsid w:val="00D00F41"/>
    <w:rsid w:val="00D01D60"/>
    <w:rsid w:val="00D01FFB"/>
    <w:rsid w:val="00D02A81"/>
    <w:rsid w:val="00D035D2"/>
    <w:rsid w:val="00D036CB"/>
    <w:rsid w:val="00D048E2"/>
    <w:rsid w:val="00D04E90"/>
    <w:rsid w:val="00D05323"/>
    <w:rsid w:val="00D05911"/>
    <w:rsid w:val="00D05EC6"/>
    <w:rsid w:val="00D06887"/>
    <w:rsid w:val="00D06962"/>
    <w:rsid w:val="00D07006"/>
    <w:rsid w:val="00D0720C"/>
    <w:rsid w:val="00D07864"/>
    <w:rsid w:val="00D100A7"/>
    <w:rsid w:val="00D13F11"/>
    <w:rsid w:val="00D1461C"/>
    <w:rsid w:val="00D14AF5"/>
    <w:rsid w:val="00D16EEC"/>
    <w:rsid w:val="00D20362"/>
    <w:rsid w:val="00D21059"/>
    <w:rsid w:val="00D2219C"/>
    <w:rsid w:val="00D22647"/>
    <w:rsid w:val="00D228EB"/>
    <w:rsid w:val="00D22BE8"/>
    <w:rsid w:val="00D22BFB"/>
    <w:rsid w:val="00D23889"/>
    <w:rsid w:val="00D243D4"/>
    <w:rsid w:val="00D2532F"/>
    <w:rsid w:val="00D25851"/>
    <w:rsid w:val="00D274B8"/>
    <w:rsid w:val="00D27C83"/>
    <w:rsid w:val="00D27E2F"/>
    <w:rsid w:val="00D3094F"/>
    <w:rsid w:val="00D31A73"/>
    <w:rsid w:val="00D32947"/>
    <w:rsid w:val="00D33DBE"/>
    <w:rsid w:val="00D35DD8"/>
    <w:rsid w:val="00D3666A"/>
    <w:rsid w:val="00D377CE"/>
    <w:rsid w:val="00D37D29"/>
    <w:rsid w:val="00D41FEB"/>
    <w:rsid w:val="00D439BB"/>
    <w:rsid w:val="00D43C83"/>
    <w:rsid w:val="00D441B0"/>
    <w:rsid w:val="00D4629A"/>
    <w:rsid w:val="00D46E39"/>
    <w:rsid w:val="00D47AA1"/>
    <w:rsid w:val="00D47B00"/>
    <w:rsid w:val="00D50F36"/>
    <w:rsid w:val="00D5127E"/>
    <w:rsid w:val="00D5378A"/>
    <w:rsid w:val="00D53F04"/>
    <w:rsid w:val="00D54862"/>
    <w:rsid w:val="00D55244"/>
    <w:rsid w:val="00D55CCC"/>
    <w:rsid w:val="00D55FF8"/>
    <w:rsid w:val="00D56647"/>
    <w:rsid w:val="00D5775D"/>
    <w:rsid w:val="00D57EA8"/>
    <w:rsid w:val="00D61D19"/>
    <w:rsid w:val="00D6217E"/>
    <w:rsid w:val="00D622ED"/>
    <w:rsid w:val="00D629E0"/>
    <w:rsid w:val="00D62EF1"/>
    <w:rsid w:val="00D632EB"/>
    <w:rsid w:val="00D63835"/>
    <w:rsid w:val="00D64116"/>
    <w:rsid w:val="00D642D1"/>
    <w:rsid w:val="00D6525E"/>
    <w:rsid w:val="00D65B19"/>
    <w:rsid w:val="00D66CE7"/>
    <w:rsid w:val="00D67884"/>
    <w:rsid w:val="00D67BED"/>
    <w:rsid w:val="00D703A3"/>
    <w:rsid w:val="00D736C3"/>
    <w:rsid w:val="00D73771"/>
    <w:rsid w:val="00D743EB"/>
    <w:rsid w:val="00D74C34"/>
    <w:rsid w:val="00D74FFC"/>
    <w:rsid w:val="00D750A9"/>
    <w:rsid w:val="00D754DC"/>
    <w:rsid w:val="00D760A2"/>
    <w:rsid w:val="00D776B7"/>
    <w:rsid w:val="00D814F0"/>
    <w:rsid w:val="00D81B98"/>
    <w:rsid w:val="00D8286A"/>
    <w:rsid w:val="00D82BB0"/>
    <w:rsid w:val="00D83ECE"/>
    <w:rsid w:val="00D83FB0"/>
    <w:rsid w:val="00D846D4"/>
    <w:rsid w:val="00D8661C"/>
    <w:rsid w:val="00D87953"/>
    <w:rsid w:val="00D8799C"/>
    <w:rsid w:val="00D904E5"/>
    <w:rsid w:val="00D90CE0"/>
    <w:rsid w:val="00D90FC8"/>
    <w:rsid w:val="00D9122E"/>
    <w:rsid w:val="00D91300"/>
    <w:rsid w:val="00D91532"/>
    <w:rsid w:val="00D91559"/>
    <w:rsid w:val="00D91610"/>
    <w:rsid w:val="00D9206D"/>
    <w:rsid w:val="00D92A82"/>
    <w:rsid w:val="00D92DE5"/>
    <w:rsid w:val="00D937F2"/>
    <w:rsid w:val="00D939A6"/>
    <w:rsid w:val="00D9505F"/>
    <w:rsid w:val="00D95951"/>
    <w:rsid w:val="00D97801"/>
    <w:rsid w:val="00DA08C7"/>
    <w:rsid w:val="00DA125D"/>
    <w:rsid w:val="00DA3E40"/>
    <w:rsid w:val="00DA40B3"/>
    <w:rsid w:val="00DA4242"/>
    <w:rsid w:val="00DA4443"/>
    <w:rsid w:val="00DA564E"/>
    <w:rsid w:val="00DA5821"/>
    <w:rsid w:val="00DA5C3F"/>
    <w:rsid w:val="00DA6A96"/>
    <w:rsid w:val="00DA720C"/>
    <w:rsid w:val="00DA7312"/>
    <w:rsid w:val="00DA7D7F"/>
    <w:rsid w:val="00DB04DE"/>
    <w:rsid w:val="00DB0E11"/>
    <w:rsid w:val="00DB176A"/>
    <w:rsid w:val="00DB1C05"/>
    <w:rsid w:val="00DB1C69"/>
    <w:rsid w:val="00DB2A33"/>
    <w:rsid w:val="00DB3168"/>
    <w:rsid w:val="00DB39FB"/>
    <w:rsid w:val="00DB76A5"/>
    <w:rsid w:val="00DB79F7"/>
    <w:rsid w:val="00DC05D0"/>
    <w:rsid w:val="00DC0A92"/>
    <w:rsid w:val="00DC1021"/>
    <w:rsid w:val="00DC1767"/>
    <w:rsid w:val="00DC382B"/>
    <w:rsid w:val="00DC3AA4"/>
    <w:rsid w:val="00DC4984"/>
    <w:rsid w:val="00DC4CDA"/>
    <w:rsid w:val="00DC4F75"/>
    <w:rsid w:val="00DC508B"/>
    <w:rsid w:val="00DC61F7"/>
    <w:rsid w:val="00DC67BF"/>
    <w:rsid w:val="00DC6CAD"/>
    <w:rsid w:val="00DD054B"/>
    <w:rsid w:val="00DD0572"/>
    <w:rsid w:val="00DD21C0"/>
    <w:rsid w:val="00DD2C3A"/>
    <w:rsid w:val="00DD39F9"/>
    <w:rsid w:val="00DD3A11"/>
    <w:rsid w:val="00DD3AFE"/>
    <w:rsid w:val="00DD3C56"/>
    <w:rsid w:val="00DD48EB"/>
    <w:rsid w:val="00DD529F"/>
    <w:rsid w:val="00DD549E"/>
    <w:rsid w:val="00DD59EA"/>
    <w:rsid w:val="00DD5AA8"/>
    <w:rsid w:val="00DD5D04"/>
    <w:rsid w:val="00DD66BD"/>
    <w:rsid w:val="00DD6C99"/>
    <w:rsid w:val="00DD76BF"/>
    <w:rsid w:val="00DE3A60"/>
    <w:rsid w:val="00DE3D90"/>
    <w:rsid w:val="00DE4491"/>
    <w:rsid w:val="00DE46B8"/>
    <w:rsid w:val="00DE7678"/>
    <w:rsid w:val="00DF0486"/>
    <w:rsid w:val="00DF0DC6"/>
    <w:rsid w:val="00DF1668"/>
    <w:rsid w:val="00DF18B2"/>
    <w:rsid w:val="00DF341D"/>
    <w:rsid w:val="00DF455F"/>
    <w:rsid w:val="00DF5D0D"/>
    <w:rsid w:val="00DF621A"/>
    <w:rsid w:val="00DF6EA2"/>
    <w:rsid w:val="00DF7CE3"/>
    <w:rsid w:val="00DF7D07"/>
    <w:rsid w:val="00E00374"/>
    <w:rsid w:val="00E009C4"/>
    <w:rsid w:val="00E010E7"/>
    <w:rsid w:val="00E04C01"/>
    <w:rsid w:val="00E054E9"/>
    <w:rsid w:val="00E054ED"/>
    <w:rsid w:val="00E0565B"/>
    <w:rsid w:val="00E07ADF"/>
    <w:rsid w:val="00E1126A"/>
    <w:rsid w:val="00E11FEA"/>
    <w:rsid w:val="00E12DA1"/>
    <w:rsid w:val="00E132B2"/>
    <w:rsid w:val="00E13C1F"/>
    <w:rsid w:val="00E1443A"/>
    <w:rsid w:val="00E14A95"/>
    <w:rsid w:val="00E14D59"/>
    <w:rsid w:val="00E156BE"/>
    <w:rsid w:val="00E1683B"/>
    <w:rsid w:val="00E173C3"/>
    <w:rsid w:val="00E17AF4"/>
    <w:rsid w:val="00E17D68"/>
    <w:rsid w:val="00E2072F"/>
    <w:rsid w:val="00E213BB"/>
    <w:rsid w:val="00E21A58"/>
    <w:rsid w:val="00E21F14"/>
    <w:rsid w:val="00E22077"/>
    <w:rsid w:val="00E221BF"/>
    <w:rsid w:val="00E2265E"/>
    <w:rsid w:val="00E23238"/>
    <w:rsid w:val="00E23D3D"/>
    <w:rsid w:val="00E24508"/>
    <w:rsid w:val="00E25365"/>
    <w:rsid w:val="00E25C8A"/>
    <w:rsid w:val="00E260E2"/>
    <w:rsid w:val="00E27AFD"/>
    <w:rsid w:val="00E307C2"/>
    <w:rsid w:val="00E32081"/>
    <w:rsid w:val="00E321A6"/>
    <w:rsid w:val="00E32475"/>
    <w:rsid w:val="00E33313"/>
    <w:rsid w:val="00E33C5D"/>
    <w:rsid w:val="00E34338"/>
    <w:rsid w:val="00E343D0"/>
    <w:rsid w:val="00E3498B"/>
    <w:rsid w:val="00E34A74"/>
    <w:rsid w:val="00E34CF9"/>
    <w:rsid w:val="00E34FE4"/>
    <w:rsid w:val="00E36A31"/>
    <w:rsid w:val="00E37AA1"/>
    <w:rsid w:val="00E37F32"/>
    <w:rsid w:val="00E408A1"/>
    <w:rsid w:val="00E4098C"/>
    <w:rsid w:val="00E412B8"/>
    <w:rsid w:val="00E43B8C"/>
    <w:rsid w:val="00E44EE7"/>
    <w:rsid w:val="00E461A9"/>
    <w:rsid w:val="00E47304"/>
    <w:rsid w:val="00E47E14"/>
    <w:rsid w:val="00E50E64"/>
    <w:rsid w:val="00E52143"/>
    <w:rsid w:val="00E52BD2"/>
    <w:rsid w:val="00E542A8"/>
    <w:rsid w:val="00E55C43"/>
    <w:rsid w:val="00E55C49"/>
    <w:rsid w:val="00E56D79"/>
    <w:rsid w:val="00E5716D"/>
    <w:rsid w:val="00E57330"/>
    <w:rsid w:val="00E57603"/>
    <w:rsid w:val="00E5768B"/>
    <w:rsid w:val="00E576C2"/>
    <w:rsid w:val="00E57B97"/>
    <w:rsid w:val="00E60358"/>
    <w:rsid w:val="00E605C7"/>
    <w:rsid w:val="00E62406"/>
    <w:rsid w:val="00E639CB"/>
    <w:rsid w:val="00E63B2C"/>
    <w:rsid w:val="00E65F66"/>
    <w:rsid w:val="00E6729A"/>
    <w:rsid w:val="00E67B36"/>
    <w:rsid w:val="00E67E10"/>
    <w:rsid w:val="00E7004A"/>
    <w:rsid w:val="00E7012A"/>
    <w:rsid w:val="00E71127"/>
    <w:rsid w:val="00E712ED"/>
    <w:rsid w:val="00E73370"/>
    <w:rsid w:val="00E73853"/>
    <w:rsid w:val="00E74249"/>
    <w:rsid w:val="00E745F7"/>
    <w:rsid w:val="00E74832"/>
    <w:rsid w:val="00E7528F"/>
    <w:rsid w:val="00E755CC"/>
    <w:rsid w:val="00E76487"/>
    <w:rsid w:val="00E7673D"/>
    <w:rsid w:val="00E77380"/>
    <w:rsid w:val="00E80D93"/>
    <w:rsid w:val="00E81460"/>
    <w:rsid w:val="00E8272C"/>
    <w:rsid w:val="00E82D54"/>
    <w:rsid w:val="00E833B0"/>
    <w:rsid w:val="00E836E6"/>
    <w:rsid w:val="00E849CC"/>
    <w:rsid w:val="00E8702A"/>
    <w:rsid w:val="00E87901"/>
    <w:rsid w:val="00E911B9"/>
    <w:rsid w:val="00E91CDE"/>
    <w:rsid w:val="00E9386A"/>
    <w:rsid w:val="00E93928"/>
    <w:rsid w:val="00E93DAF"/>
    <w:rsid w:val="00E95995"/>
    <w:rsid w:val="00E95C66"/>
    <w:rsid w:val="00E963F6"/>
    <w:rsid w:val="00E966C5"/>
    <w:rsid w:val="00E97215"/>
    <w:rsid w:val="00E97241"/>
    <w:rsid w:val="00EA0068"/>
    <w:rsid w:val="00EA191E"/>
    <w:rsid w:val="00EA1AFB"/>
    <w:rsid w:val="00EA21DC"/>
    <w:rsid w:val="00EA278E"/>
    <w:rsid w:val="00EA3685"/>
    <w:rsid w:val="00EA38E1"/>
    <w:rsid w:val="00EA4302"/>
    <w:rsid w:val="00EA4B6E"/>
    <w:rsid w:val="00EA4EC4"/>
    <w:rsid w:val="00EA5191"/>
    <w:rsid w:val="00EA564D"/>
    <w:rsid w:val="00EA7330"/>
    <w:rsid w:val="00EA7FD7"/>
    <w:rsid w:val="00EB0290"/>
    <w:rsid w:val="00EB040D"/>
    <w:rsid w:val="00EB087B"/>
    <w:rsid w:val="00EB165F"/>
    <w:rsid w:val="00EB2F2C"/>
    <w:rsid w:val="00EB3838"/>
    <w:rsid w:val="00EB6BB8"/>
    <w:rsid w:val="00EB7026"/>
    <w:rsid w:val="00EB7BEA"/>
    <w:rsid w:val="00EB7ED7"/>
    <w:rsid w:val="00EB7F5C"/>
    <w:rsid w:val="00EC0F0D"/>
    <w:rsid w:val="00EC1216"/>
    <w:rsid w:val="00EC1249"/>
    <w:rsid w:val="00EC128F"/>
    <w:rsid w:val="00EC15E6"/>
    <w:rsid w:val="00EC236C"/>
    <w:rsid w:val="00EC2DF2"/>
    <w:rsid w:val="00EC2FE4"/>
    <w:rsid w:val="00EC302E"/>
    <w:rsid w:val="00EC33E9"/>
    <w:rsid w:val="00EC3D69"/>
    <w:rsid w:val="00EC40CE"/>
    <w:rsid w:val="00EC4F63"/>
    <w:rsid w:val="00EC55A3"/>
    <w:rsid w:val="00EC5CBE"/>
    <w:rsid w:val="00EC70B7"/>
    <w:rsid w:val="00EC7C6C"/>
    <w:rsid w:val="00ED0D2A"/>
    <w:rsid w:val="00ED0EA6"/>
    <w:rsid w:val="00ED20EC"/>
    <w:rsid w:val="00ED2E7C"/>
    <w:rsid w:val="00ED3F72"/>
    <w:rsid w:val="00ED4C73"/>
    <w:rsid w:val="00ED53B1"/>
    <w:rsid w:val="00ED5AFA"/>
    <w:rsid w:val="00ED721A"/>
    <w:rsid w:val="00ED7282"/>
    <w:rsid w:val="00EE06DE"/>
    <w:rsid w:val="00EE105E"/>
    <w:rsid w:val="00EE129D"/>
    <w:rsid w:val="00EE32D9"/>
    <w:rsid w:val="00EE3F5E"/>
    <w:rsid w:val="00EE5A68"/>
    <w:rsid w:val="00EE6FF3"/>
    <w:rsid w:val="00EF00C8"/>
    <w:rsid w:val="00EF1994"/>
    <w:rsid w:val="00EF2591"/>
    <w:rsid w:val="00EF2897"/>
    <w:rsid w:val="00EF3116"/>
    <w:rsid w:val="00EF3B8B"/>
    <w:rsid w:val="00EF3F44"/>
    <w:rsid w:val="00EF51C4"/>
    <w:rsid w:val="00EF5807"/>
    <w:rsid w:val="00EF5DEC"/>
    <w:rsid w:val="00EF62A3"/>
    <w:rsid w:val="00EF637A"/>
    <w:rsid w:val="00EF6F1D"/>
    <w:rsid w:val="00EF6F31"/>
    <w:rsid w:val="00EF728C"/>
    <w:rsid w:val="00F00538"/>
    <w:rsid w:val="00F005E5"/>
    <w:rsid w:val="00F03799"/>
    <w:rsid w:val="00F05E34"/>
    <w:rsid w:val="00F06050"/>
    <w:rsid w:val="00F065F8"/>
    <w:rsid w:val="00F06955"/>
    <w:rsid w:val="00F06F8F"/>
    <w:rsid w:val="00F07D1B"/>
    <w:rsid w:val="00F10B1C"/>
    <w:rsid w:val="00F11CAB"/>
    <w:rsid w:val="00F12462"/>
    <w:rsid w:val="00F14142"/>
    <w:rsid w:val="00F1427B"/>
    <w:rsid w:val="00F14B26"/>
    <w:rsid w:val="00F14E6A"/>
    <w:rsid w:val="00F156AB"/>
    <w:rsid w:val="00F164F3"/>
    <w:rsid w:val="00F17034"/>
    <w:rsid w:val="00F21CEC"/>
    <w:rsid w:val="00F21F62"/>
    <w:rsid w:val="00F25649"/>
    <w:rsid w:val="00F259E0"/>
    <w:rsid w:val="00F27C94"/>
    <w:rsid w:val="00F27F12"/>
    <w:rsid w:val="00F302B8"/>
    <w:rsid w:val="00F31293"/>
    <w:rsid w:val="00F31F50"/>
    <w:rsid w:val="00F340E9"/>
    <w:rsid w:val="00F34495"/>
    <w:rsid w:val="00F35CD4"/>
    <w:rsid w:val="00F3656A"/>
    <w:rsid w:val="00F36FD0"/>
    <w:rsid w:val="00F37D11"/>
    <w:rsid w:val="00F4049B"/>
    <w:rsid w:val="00F40A75"/>
    <w:rsid w:val="00F4133A"/>
    <w:rsid w:val="00F423FD"/>
    <w:rsid w:val="00F44C38"/>
    <w:rsid w:val="00F45B9D"/>
    <w:rsid w:val="00F46AB0"/>
    <w:rsid w:val="00F4743B"/>
    <w:rsid w:val="00F476BF"/>
    <w:rsid w:val="00F5014D"/>
    <w:rsid w:val="00F505F3"/>
    <w:rsid w:val="00F51BEC"/>
    <w:rsid w:val="00F532F7"/>
    <w:rsid w:val="00F536FC"/>
    <w:rsid w:val="00F53D9D"/>
    <w:rsid w:val="00F54410"/>
    <w:rsid w:val="00F5444B"/>
    <w:rsid w:val="00F54571"/>
    <w:rsid w:val="00F550A9"/>
    <w:rsid w:val="00F5518E"/>
    <w:rsid w:val="00F56F6E"/>
    <w:rsid w:val="00F5710F"/>
    <w:rsid w:val="00F571E2"/>
    <w:rsid w:val="00F574C6"/>
    <w:rsid w:val="00F57527"/>
    <w:rsid w:val="00F57648"/>
    <w:rsid w:val="00F61285"/>
    <w:rsid w:val="00F61664"/>
    <w:rsid w:val="00F622AA"/>
    <w:rsid w:val="00F625E5"/>
    <w:rsid w:val="00F6316C"/>
    <w:rsid w:val="00F631BC"/>
    <w:rsid w:val="00F66627"/>
    <w:rsid w:val="00F720AE"/>
    <w:rsid w:val="00F734F9"/>
    <w:rsid w:val="00F75A5E"/>
    <w:rsid w:val="00F75F7F"/>
    <w:rsid w:val="00F75FCD"/>
    <w:rsid w:val="00F7639F"/>
    <w:rsid w:val="00F8089D"/>
    <w:rsid w:val="00F81044"/>
    <w:rsid w:val="00F81201"/>
    <w:rsid w:val="00F817F6"/>
    <w:rsid w:val="00F81EE8"/>
    <w:rsid w:val="00F82001"/>
    <w:rsid w:val="00F828E7"/>
    <w:rsid w:val="00F82B18"/>
    <w:rsid w:val="00F8329E"/>
    <w:rsid w:val="00F836F7"/>
    <w:rsid w:val="00F8456D"/>
    <w:rsid w:val="00F849BE"/>
    <w:rsid w:val="00F84EF4"/>
    <w:rsid w:val="00F850A9"/>
    <w:rsid w:val="00F85F0A"/>
    <w:rsid w:val="00F864DD"/>
    <w:rsid w:val="00F86D28"/>
    <w:rsid w:val="00F905DE"/>
    <w:rsid w:val="00F907AB"/>
    <w:rsid w:val="00F90E8B"/>
    <w:rsid w:val="00F91B7C"/>
    <w:rsid w:val="00F92029"/>
    <w:rsid w:val="00F93AC2"/>
    <w:rsid w:val="00F93F3C"/>
    <w:rsid w:val="00F948D8"/>
    <w:rsid w:val="00F95062"/>
    <w:rsid w:val="00F95443"/>
    <w:rsid w:val="00F97769"/>
    <w:rsid w:val="00FA2240"/>
    <w:rsid w:val="00FA4D14"/>
    <w:rsid w:val="00FA519A"/>
    <w:rsid w:val="00FA5775"/>
    <w:rsid w:val="00FA5D26"/>
    <w:rsid w:val="00FB1002"/>
    <w:rsid w:val="00FB12ED"/>
    <w:rsid w:val="00FB13CE"/>
    <w:rsid w:val="00FB1BB7"/>
    <w:rsid w:val="00FB4D4A"/>
    <w:rsid w:val="00FB51A9"/>
    <w:rsid w:val="00FB7380"/>
    <w:rsid w:val="00FB7FA1"/>
    <w:rsid w:val="00FC062D"/>
    <w:rsid w:val="00FC366B"/>
    <w:rsid w:val="00FC43D0"/>
    <w:rsid w:val="00FC4726"/>
    <w:rsid w:val="00FC4930"/>
    <w:rsid w:val="00FC54A1"/>
    <w:rsid w:val="00FC6C94"/>
    <w:rsid w:val="00FD1930"/>
    <w:rsid w:val="00FD27C2"/>
    <w:rsid w:val="00FD3D41"/>
    <w:rsid w:val="00FD5B13"/>
    <w:rsid w:val="00FD6496"/>
    <w:rsid w:val="00FD6BAE"/>
    <w:rsid w:val="00FD75B5"/>
    <w:rsid w:val="00FE1CC6"/>
    <w:rsid w:val="00FE220A"/>
    <w:rsid w:val="00FE294A"/>
    <w:rsid w:val="00FE33B2"/>
    <w:rsid w:val="00FE4CEE"/>
    <w:rsid w:val="00FE62BC"/>
    <w:rsid w:val="00FF01D2"/>
    <w:rsid w:val="00FF067E"/>
    <w:rsid w:val="00FF0BF8"/>
    <w:rsid w:val="00FF0CCC"/>
    <w:rsid w:val="00FF0D0F"/>
    <w:rsid w:val="00FF1D72"/>
    <w:rsid w:val="00FF230B"/>
    <w:rsid w:val="00FF250C"/>
    <w:rsid w:val="00FF3662"/>
    <w:rsid w:val="00FF51B2"/>
    <w:rsid w:val="00FF5502"/>
    <w:rsid w:val="00FF5937"/>
    <w:rsid w:val="00FF5C77"/>
    <w:rsid w:val="00FF6EC3"/>
    <w:rsid w:val="00FF7AB0"/>
    <w:rsid w:val="373D5636"/>
    <w:rsid w:val="46572C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6"/>
    <w:qFormat/>
    <w:uiPriority w:val="0"/>
    <w:pPr>
      <w:keepNext/>
      <w:keepLines/>
      <w:widowControl/>
      <w:spacing w:before="480"/>
      <w:jc w:val="left"/>
      <w:outlineLvl w:val="0"/>
    </w:pPr>
    <w:rPr>
      <w:rFonts w:ascii="Calibri" w:hAnsi="Calibri" w:eastAsia="Times New Roman"/>
      <w:b/>
      <w:bCs/>
      <w:color w:val="345A8A"/>
      <w:kern w:val="0"/>
      <w:sz w:val="32"/>
      <w:szCs w:val="32"/>
      <w:lang w:eastAsia="en-US"/>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4">
    <w:name w:val="annotation text"/>
    <w:basedOn w:val="1"/>
    <w:semiHidden/>
    <w:uiPriority w:val="0"/>
    <w:pPr>
      <w:jc w:val="left"/>
    </w:pPr>
  </w:style>
  <w:style w:type="paragraph" w:styleId="5">
    <w:name w:val="Body Text"/>
    <w:basedOn w:val="1"/>
    <w:uiPriority w:val="0"/>
    <w:rPr>
      <w:sz w:val="28"/>
    </w:rPr>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link w:val="23"/>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1">
    <w:name w:val="annotation subject"/>
    <w:basedOn w:val="4"/>
    <w:next w:val="4"/>
    <w:semiHidden/>
    <w:uiPriority w:val="0"/>
    <w:rPr>
      <w:b/>
      <w:bCs/>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styleId="16">
    <w:name w:val="Hyperlink"/>
    <w:uiPriority w:val="0"/>
    <w:rPr>
      <w:color w:val="0000FF"/>
      <w:u w:val="single"/>
    </w:rPr>
  </w:style>
  <w:style w:type="character" w:styleId="17">
    <w:name w:val="annotation reference"/>
    <w:semiHidden/>
    <w:uiPriority w:val="0"/>
    <w:rPr>
      <w:sz w:val="21"/>
      <w:szCs w:val="21"/>
    </w:rPr>
  </w:style>
  <w:style w:type="paragraph" w:customStyle="1" w:styleId="18">
    <w:name w:val="List Paragraph"/>
    <w:basedOn w:val="1"/>
    <w:qFormat/>
    <w:uiPriority w:val="0"/>
    <w:pPr>
      <w:widowControl/>
      <w:spacing w:after="200"/>
      <w:ind w:left="720"/>
      <w:contextualSpacing/>
      <w:jc w:val="left"/>
    </w:pPr>
    <w:rPr>
      <w:rFonts w:ascii="Cambria" w:hAnsi="Cambria"/>
      <w:kern w:val="0"/>
      <w:sz w:val="24"/>
      <w:lang w:eastAsia="en-US"/>
    </w:rPr>
  </w:style>
  <w:style w:type="paragraph" w:customStyle="1" w:styleId="19">
    <w:name w:val=" Char"/>
    <w:basedOn w:val="1"/>
    <w:uiPriority w:val="0"/>
    <w:pPr>
      <w:jc w:val="left"/>
    </w:pPr>
    <w:rPr>
      <w:szCs w:val="20"/>
    </w:rPr>
  </w:style>
  <w:style w:type="character" w:customStyle="1" w:styleId="20">
    <w:name w:val="Char Char1"/>
    <w:locked/>
    <w:uiPriority w:val="0"/>
    <w:rPr>
      <w:rFonts w:eastAsia="宋体"/>
      <w:b/>
      <w:bCs/>
      <w:kern w:val="44"/>
      <w:sz w:val="44"/>
      <w:szCs w:val="44"/>
      <w:lang w:val="en-US" w:eastAsia="zh-CN" w:bidi="ar-SA"/>
    </w:rPr>
  </w:style>
  <w:style w:type="character" w:customStyle="1" w:styleId="21">
    <w:name w:val="dct-tt"/>
    <w:uiPriority w:val="0"/>
    <w:rPr>
      <w:rFonts w:hint="default" w:ascii="Arial" w:hAnsi="Arial" w:cs="Arial"/>
    </w:rPr>
  </w:style>
  <w:style w:type="character" w:customStyle="1" w:styleId="22">
    <w:name w:val="wbtr_mn1"/>
    <w:uiPriority w:val="0"/>
    <w:rPr>
      <w:rFonts w:hint="default" w:ascii="Arial" w:hAnsi="Arial" w:cs="Arial"/>
      <w:sz w:val="24"/>
      <w:szCs w:val="24"/>
    </w:rPr>
  </w:style>
  <w:style w:type="character" w:customStyle="1" w:styleId="23">
    <w:name w:val="页脚 Char"/>
    <w:link w:val="8"/>
    <w:uiPriority w:val="0"/>
    <w:rPr>
      <w:rFonts w:eastAsia="宋体"/>
      <w:kern w:val="2"/>
      <w:sz w:val="18"/>
      <w:szCs w:val="18"/>
      <w:lang w:val="en-US" w:eastAsia="zh-CN" w:bidi="ar-SA"/>
    </w:rPr>
  </w:style>
  <w:style w:type="character" w:customStyle="1" w:styleId="24">
    <w:name w:val="articlebody3"/>
    <w:uiPriority w:val="0"/>
    <w:rPr>
      <w:sz w:val="21"/>
      <w:szCs w:val="21"/>
    </w:rPr>
  </w:style>
  <w:style w:type="character" w:customStyle="1" w:styleId="25">
    <w:name w:val="a14px"/>
    <w:basedOn w:val="14"/>
    <w:uiPriority w:val="0"/>
  </w:style>
  <w:style w:type="character" w:customStyle="1" w:styleId="26">
    <w:name w:val="标题 1 Char"/>
    <w:link w:val="2"/>
    <w:uiPriority w:val="0"/>
    <w:rPr>
      <w:rFonts w:ascii="Calibri" w:hAnsi="Calibri"/>
      <w:b/>
      <w:bCs/>
      <w:color w:val="345A8A"/>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948</Words>
  <Characters>5409</Characters>
  <Lines>45</Lines>
  <Paragraphs>12</Paragraphs>
  <TotalTime>2</TotalTime>
  <ScaleCrop>false</ScaleCrop>
  <LinksUpToDate>false</LinksUpToDate>
  <CharactersWithSpaces>6345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2018-11-14T01:18:00Z</dcterms:created>
  <dc:creator>wjc</dc:creator>
  <cp:lastModifiedBy>79253</cp:lastModifiedBy>
  <cp:lastPrinted>2011-06-23T03:36:00Z</cp:lastPrinted>
  <dcterms:modified xsi:type="dcterms:W3CDTF">2021-09-28T05:49:57Z</dcterms:modified>
  <dc:title>关于下发《方大集团二○○九年六月份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