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宋体" w:eastAsia="楷体"/>
          <w:color w:val="000000"/>
          <w:sz w:val="24"/>
        </w:rPr>
      </w:pPr>
      <w:bookmarkStart w:id="0" w:name="_GoBack"/>
      <w:bookmarkEnd w:id="0"/>
      <w:r>
        <w:rPr>
          <w:rFonts w:hint="eastAsia" w:ascii="SimHei" w:hAnsi="SimHei" w:eastAsia="黑体"/>
          <w:color w:val="000000"/>
          <w:sz w:val="36"/>
        </w:rPr>
        <w:t>企业奖金管理制度</w:t>
      </w:r>
    </w:p>
    <w:p>
      <w:pPr>
        <w:pStyle w:val="2"/>
        <w:spacing w:before="0" w:after="0" w:line="360" w:lineRule="auto"/>
        <w:ind w:firstLine="424" w:firstLineChars="151"/>
        <w:rPr>
          <w:rFonts w:ascii="楷体" w:hAnsi="宋体" w:eastAsia="楷体"/>
          <w:color w:val="000000"/>
          <w:sz w:val="24"/>
          <w:szCs w:val="21"/>
        </w:rPr>
      </w:pPr>
      <w:r>
        <w:rPr>
          <w:rFonts w:hint="eastAsia" w:ascii="SimHei" w:hAnsi="SimHei" w:eastAsia="黑体"/>
          <w:color w:val="000000"/>
          <w:sz w:val="28"/>
          <w:szCs w:val="21"/>
        </w:rPr>
        <w:t>一、</w:t>
      </w:r>
      <w:r>
        <w:rPr>
          <w:rFonts w:ascii="SimHei" w:hAnsi="SimHei" w:eastAsia="黑体"/>
          <w:color w:val="000000"/>
          <w:sz w:val="28"/>
          <w:szCs w:val="21"/>
        </w:rPr>
        <w:t>总则</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第一条</w:t>
      </w:r>
      <w:r>
        <w:rPr>
          <w:rFonts w:hint="eastAsia" w:ascii="SimHei" w:hAnsi="SimHei" w:eastAsia="黑体"/>
          <w:color w:val="000000"/>
          <w:sz w:val="24"/>
          <w:szCs w:val="21"/>
        </w:rPr>
        <w:t xml:space="preserve">  </w:t>
      </w:r>
      <w:r>
        <w:rPr>
          <w:rFonts w:ascii="SimHei" w:hAnsi="SimHei" w:eastAsia="黑体"/>
          <w:color w:val="000000"/>
          <w:sz w:val="24"/>
          <w:szCs w:val="21"/>
        </w:rPr>
        <w:t>目的</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为加强各部门达成本年度预定经营目标，并充分掌握各职层所分担的勤务责任，以达到本年度的营业利润为目的，特颁布各部门别奖金核发办法。</w:t>
      </w:r>
    </w:p>
    <w:p>
      <w:pPr>
        <w:pStyle w:val="10"/>
        <w:spacing w:line="360" w:lineRule="auto"/>
        <w:ind w:firstLine="480" w:firstLineChars="200"/>
        <w:jc w:val="both"/>
        <w:rPr>
          <w:rFonts w:hint="eastAsia" w:ascii="楷体" w:hAnsi="宋体" w:eastAsia="楷体"/>
          <w:color w:val="000000"/>
          <w:sz w:val="24"/>
          <w:szCs w:val="21"/>
        </w:rPr>
      </w:pPr>
      <w:r>
        <w:rPr>
          <w:rFonts w:ascii="SimHei" w:hAnsi="SimHei" w:eastAsia="黑体"/>
          <w:color w:val="000000"/>
          <w:sz w:val="24"/>
          <w:szCs w:val="21"/>
        </w:rPr>
        <w:t>第二条</w:t>
      </w:r>
      <w:r>
        <w:rPr>
          <w:rFonts w:hint="eastAsia" w:ascii="SimHei" w:hAnsi="SimHei" w:eastAsia="黑体"/>
          <w:color w:val="000000"/>
          <w:sz w:val="24"/>
          <w:szCs w:val="21"/>
        </w:rPr>
        <w:t xml:space="preserve">  </w:t>
      </w:r>
      <w:r>
        <w:rPr>
          <w:rFonts w:ascii="SimHei" w:hAnsi="SimHei" w:eastAsia="黑体"/>
          <w:color w:val="000000"/>
          <w:sz w:val="24"/>
          <w:szCs w:val="21"/>
        </w:rPr>
        <w:t>适用</w:t>
      </w:r>
      <w:r>
        <w:rPr>
          <w:rFonts w:hint="eastAsia" w:ascii="SimHei" w:hAnsi="SimHei" w:eastAsia="黑体"/>
          <w:color w:val="000000"/>
          <w:sz w:val="24"/>
          <w:szCs w:val="21"/>
        </w:rPr>
        <w:t>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(一)生产部门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(二)营业部门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(三)开发部门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(四)管理部门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第三条</w:t>
      </w:r>
      <w:r>
        <w:rPr>
          <w:rFonts w:hint="eastAsia" w:ascii="SimHei" w:hAnsi="SimHei" w:eastAsia="黑体"/>
          <w:color w:val="000000"/>
          <w:sz w:val="24"/>
          <w:szCs w:val="21"/>
        </w:rPr>
        <w:t xml:space="preserve">  </w:t>
      </w:r>
      <w:r>
        <w:rPr>
          <w:rFonts w:ascii="SimHei" w:hAnsi="SimHei" w:eastAsia="黑体"/>
          <w:color w:val="000000"/>
          <w:sz w:val="24"/>
          <w:szCs w:val="21"/>
        </w:rPr>
        <w:t>计算期间</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各部门考核计算期间乃依照会计年度1月1日起至12月31日为止，并于每年年初计算前年度各部门考绩成绩，并依其考绩分数支付奖金。</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第四条</w:t>
      </w:r>
      <w:r>
        <w:rPr>
          <w:rFonts w:hint="eastAsia" w:ascii="SimHei" w:hAnsi="SimHei" w:eastAsia="黑体"/>
          <w:color w:val="000000"/>
          <w:sz w:val="24"/>
          <w:szCs w:val="21"/>
        </w:rPr>
        <w:t xml:space="preserve">  </w:t>
      </w:r>
      <w:r>
        <w:rPr>
          <w:rFonts w:ascii="SimHei" w:hAnsi="SimHei" w:eastAsia="黑体"/>
          <w:color w:val="000000"/>
          <w:sz w:val="24"/>
          <w:szCs w:val="21"/>
        </w:rPr>
        <w:t>奖金支付方式</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各部门奖金支付，按每年分两次发放；原则上于每年月及月支付。其计算期间如下：</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(一)上期(月)奖金：从</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日起至</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日止，并于月份与薪资合并发放。</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(二)下期(月)奖金：从</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日起至</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日止，并于月份与农历春节奖金合并发放。</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第五条</w:t>
      </w:r>
      <w:r>
        <w:rPr>
          <w:rFonts w:hint="eastAsia" w:ascii="SimHei" w:hAnsi="SimHei" w:eastAsia="黑体"/>
          <w:color w:val="000000"/>
          <w:sz w:val="24"/>
          <w:szCs w:val="21"/>
        </w:rPr>
        <w:t xml:space="preserve">  </w:t>
      </w:r>
      <w:r>
        <w:rPr>
          <w:rFonts w:ascii="SimHei" w:hAnsi="SimHei" w:eastAsia="黑体"/>
          <w:color w:val="000000"/>
          <w:sz w:val="24"/>
          <w:szCs w:val="21"/>
        </w:rPr>
        <w:t>计算单位</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奖金计算时以元为单位，若计算时有元以下的尾数产生时，一律以四舍五入计算至元为计算单位。</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第六条</w:t>
      </w:r>
      <w:r>
        <w:rPr>
          <w:rFonts w:hint="eastAsia" w:ascii="SimHei" w:hAnsi="SimHei" w:eastAsia="黑体"/>
          <w:color w:val="000000"/>
          <w:sz w:val="24"/>
          <w:szCs w:val="21"/>
        </w:rPr>
        <w:t xml:space="preserve">  </w:t>
      </w:r>
      <w:r>
        <w:rPr>
          <w:rFonts w:ascii="SimHei" w:hAnsi="SimHei" w:eastAsia="黑体"/>
          <w:color w:val="000000"/>
          <w:sz w:val="24"/>
          <w:szCs w:val="21"/>
        </w:rPr>
        <w:t>离职或遭解雇时的处理</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员工基于私人理由，而向公司申请离职时或受惩戒解雇时的奖金，一律拒绝支付。</w:t>
      </w:r>
    </w:p>
    <w:p>
      <w:pPr>
        <w:pStyle w:val="2"/>
        <w:spacing w:before="0" w:after="0" w:line="360" w:lineRule="auto"/>
        <w:ind w:firstLine="424" w:firstLineChars="151"/>
        <w:rPr>
          <w:rFonts w:ascii="楷体" w:hAnsi="宋体" w:eastAsia="楷体"/>
          <w:color w:val="000000"/>
          <w:sz w:val="24"/>
          <w:szCs w:val="21"/>
        </w:rPr>
      </w:pPr>
      <w:r>
        <w:rPr>
          <w:rFonts w:hint="eastAsia" w:ascii="SimHei" w:hAnsi="SimHei" w:eastAsia="黑体"/>
          <w:color w:val="000000"/>
          <w:sz w:val="28"/>
          <w:szCs w:val="21"/>
        </w:rPr>
        <w:t>二、</w:t>
      </w:r>
      <w:r>
        <w:rPr>
          <w:rFonts w:ascii="SimHei" w:hAnsi="SimHei" w:eastAsia="黑体"/>
          <w:color w:val="000000"/>
          <w:sz w:val="28"/>
          <w:szCs w:val="21"/>
        </w:rPr>
        <w:t>考绩评定方式</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第七条</w:t>
      </w:r>
      <w:r>
        <w:rPr>
          <w:rFonts w:hint="eastAsia" w:ascii="SimHei" w:hAnsi="SimHei" w:eastAsia="黑体"/>
          <w:color w:val="000000"/>
          <w:sz w:val="24"/>
          <w:szCs w:val="21"/>
        </w:rPr>
        <w:t xml:space="preserve">  </w:t>
      </w:r>
      <w:r>
        <w:rPr>
          <w:rFonts w:ascii="SimHei" w:hAnsi="SimHei" w:eastAsia="黑体"/>
          <w:color w:val="000000"/>
          <w:sz w:val="24"/>
          <w:szCs w:val="21"/>
        </w:rPr>
        <w:t>考绩评定表</w:t>
      </w:r>
    </w:p>
    <w:p>
      <w:pPr>
        <w:pStyle w:val="10"/>
        <w:spacing w:line="360" w:lineRule="auto"/>
        <w:ind w:firstLine="480" w:firstLineChars="200"/>
        <w:jc w:val="both"/>
        <w:rPr>
          <w:rFonts w:hint="eastAsia" w:ascii="楷体" w:hAnsi="宋体" w:eastAsia="楷体"/>
          <w:color w:val="000000"/>
          <w:sz w:val="24"/>
          <w:szCs w:val="21"/>
        </w:rPr>
      </w:pPr>
      <w:r>
        <w:rPr>
          <w:rFonts w:ascii="SimHei" w:hAnsi="SimHei" w:eastAsia="黑体"/>
          <w:color w:val="000000"/>
          <w:sz w:val="24"/>
          <w:szCs w:val="21"/>
        </w:rPr>
        <w:t>各部门考绩评核项目及评分比率如</w:t>
      </w:r>
      <w:r>
        <w:rPr>
          <w:rFonts w:hint="eastAsia" w:ascii="SimHei" w:hAnsi="SimHei" w:eastAsia="黑体"/>
          <w:color w:val="000000"/>
          <w:sz w:val="24"/>
          <w:szCs w:val="21"/>
        </w:rPr>
        <w:t>下</w:t>
      </w:r>
      <w:r>
        <w:rPr>
          <w:rFonts w:ascii="SimHei" w:hAnsi="SimHei" w:eastAsia="黑体"/>
          <w:color w:val="000000"/>
          <w:sz w:val="24"/>
          <w:szCs w:val="21"/>
        </w:rPr>
        <w:t>表-</w:t>
      </w:r>
      <w:r>
        <w:rPr>
          <w:rFonts w:hint="eastAsia" w:ascii="SimHei" w:hAnsi="SimHei" w:eastAsia="黑体"/>
          <w:color w:val="000000"/>
          <w:sz w:val="24"/>
          <w:szCs w:val="21"/>
        </w:rPr>
        <w:t>1</w:t>
      </w:r>
    </w:p>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表-1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2843"/>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考核项目</w:t>
            </w:r>
          </w:p>
        </w:tc>
        <w:tc>
          <w:tcPr>
            <w:tcW w:w="2843"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得分</w:t>
            </w:r>
          </w:p>
        </w:tc>
        <w:tc>
          <w:tcPr>
            <w:tcW w:w="2645"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附注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1.基准率</w:t>
            </w:r>
          </w:p>
        </w:tc>
        <w:tc>
          <w:tcPr>
            <w:tcW w:w="2843" w:type="dxa"/>
            <w:noWrap w:val="0"/>
            <w:vAlign w:val="top"/>
          </w:tcPr>
          <w:p>
            <w:pPr>
              <w:pStyle w:val="10"/>
              <w:spacing w:line="360" w:lineRule="auto"/>
              <w:jc w:val="center"/>
              <w:rPr>
                <w:rFonts w:hint="eastAsia" w:ascii="楷体" w:hAnsi="宋体" w:eastAsia="楷体"/>
                <w:color w:val="000000"/>
                <w:sz w:val="24"/>
                <w:szCs w:val="21"/>
              </w:rPr>
            </w:pPr>
          </w:p>
        </w:tc>
        <w:tc>
          <w:tcPr>
            <w:tcW w:w="2645"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2.销售目标达成率</w:t>
            </w:r>
          </w:p>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3．销售增长率</w:t>
            </w:r>
          </w:p>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4．投资报酬率</w:t>
            </w:r>
          </w:p>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5．附加价值提拔率</w:t>
            </w:r>
          </w:p>
        </w:tc>
        <w:tc>
          <w:tcPr>
            <w:tcW w:w="2843" w:type="dxa"/>
            <w:noWrap w:val="0"/>
            <w:vAlign w:val="top"/>
          </w:tcPr>
          <w:p>
            <w:pPr>
              <w:pStyle w:val="10"/>
              <w:spacing w:line="360" w:lineRule="auto"/>
              <w:jc w:val="center"/>
              <w:rPr>
                <w:rFonts w:hint="eastAsia" w:ascii="楷体" w:hAnsi="宋体" w:eastAsia="楷体"/>
                <w:color w:val="000000"/>
                <w:sz w:val="24"/>
                <w:szCs w:val="21"/>
              </w:rPr>
            </w:pPr>
          </w:p>
        </w:tc>
        <w:tc>
          <w:tcPr>
            <w:tcW w:w="2645"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2-5项需由各部门共同努力，才能达成的项目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6．业绩率</w:t>
            </w:r>
          </w:p>
        </w:tc>
        <w:tc>
          <w:tcPr>
            <w:tcW w:w="2843" w:type="dxa"/>
            <w:noWrap w:val="0"/>
            <w:vAlign w:val="top"/>
          </w:tcPr>
          <w:p>
            <w:pPr>
              <w:pStyle w:val="10"/>
              <w:spacing w:line="360" w:lineRule="auto"/>
              <w:jc w:val="center"/>
              <w:rPr>
                <w:rFonts w:hint="eastAsia" w:ascii="楷体" w:hAnsi="宋体" w:eastAsia="楷体"/>
                <w:color w:val="000000"/>
                <w:sz w:val="24"/>
                <w:szCs w:val="21"/>
              </w:rPr>
            </w:pPr>
          </w:p>
        </w:tc>
        <w:tc>
          <w:tcPr>
            <w:tcW w:w="2645"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由各部门独立控制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合计</w:t>
            </w:r>
          </w:p>
        </w:tc>
        <w:tc>
          <w:tcPr>
            <w:tcW w:w="2843" w:type="dxa"/>
            <w:noWrap w:val="0"/>
            <w:vAlign w:val="top"/>
          </w:tcPr>
          <w:p>
            <w:pPr>
              <w:pStyle w:val="10"/>
              <w:spacing w:line="360" w:lineRule="auto"/>
              <w:jc w:val="center"/>
              <w:rPr>
                <w:rFonts w:hint="eastAsia" w:ascii="楷体" w:hAnsi="宋体" w:eastAsia="楷体"/>
                <w:color w:val="000000"/>
                <w:sz w:val="24"/>
                <w:szCs w:val="21"/>
              </w:rPr>
            </w:pPr>
          </w:p>
        </w:tc>
        <w:tc>
          <w:tcPr>
            <w:tcW w:w="2645" w:type="dxa"/>
            <w:noWrap w:val="0"/>
            <w:vAlign w:val="top"/>
          </w:tcPr>
          <w:p>
            <w:pPr>
              <w:pStyle w:val="10"/>
              <w:spacing w:line="360" w:lineRule="auto"/>
              <w:jc w:val="center"/>
              <w:rPr>
                <w:rFonts w:ascii="楷体" w:hAnsi="宋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43" w:type="dxa"/>
            <w:noWrap w:val="0"/>
            <w:vAlign w:val="top"/>
          </w:tcPr>
          <w:p>
            <w:pPr>
              <w:pStyle w:val="10"/>
              <w:spacing w:line="360" w:lineRule="auto"/>
              <w:jc w:val="both"/>
              <w:rPr>
                <w:rFonts w:hint="eastAsia" w:ascii="楷体" w:hAnsi="宋体" w:eastAsia="楷体"/>
                <w:color w:val="000000"/>
                <w:sz w:val="24"/>
                <w:szCs w:val="21"/>
              </w:rPr>
            </w:pPr>
            <w:r>
              <w:rPr>
                <w:rFonts w:hint="eastAsia" w:ascii="SimHei" w:hAnsi="SimHei" w:eastAsia="黑体"/>
                <w:color w:val="000000"/>
                <w:sz w:val="24"/>
                <w:szCs w:val="21"/>
              </w:rPr>
              <w:t>7．预留调整</w:t>
            </w:r>
          </w:p>
        </w:tc>
        <w:tc>
          <w:tcPr>
            <w:tcW w:w="2843" w:type="dxa"/>
            <w:noWrap w:val="0"/>
            <w:vAlign w:val="top"/>
          </w:tcPr>
          <w:p>
            <w:pPr>
              <w:pStyle w:val="10"/>
              <w:spacing w:line="360" w:lineRule="auto"/>
              <w:jc w:val="center"/>
              <w:rPr>
                <w:rFonts w:hint="eastAsia" w:ascii="楷体" w:hAnsi="宋体" w:eastAsia="楷体"/>
                <w:color w:val="000000"/>
                <w:sz w:val="24"/>
                <w:szCs w:val="21"/>
              </w:rPr>
            </w:pPr>
          </w:p>
        </w:tc>
        <w:tc>
          <w:tcPr>
            <w:tcW w:w="2645" w:type="dxa"/>
            <w:noWrap w:val="0"/>
            <w:vAlign w:val="top"/>
          </w:tcPr>
          <w:p>
            <w:pPr>
              <w:pStyle w:val="10"/>
              <w:spacing w:line="360" w:lineRule="auto"/>
              <w:jc w:val="center"/>
              <w:rPr>
                <w:rFonts w:ascii="楷体" w:hAnsi="宋体" w:eastAsia="楷体"/>
                <w:color w:val="000000"/>
                <w:sz w:val="24"/>
                <w:szCs w:val="21"/>
              </w:rPr>
            </w:pPr>
          </w:p>
        </w:tc>
      </w:tr>
    </w:tbl>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第八条</w:t>
      </w:r>
      <w:r>
        <w:rPr>
          <w:rFonts w:hint="eastAsia" w:ascii="SimHei" w:hAnsi="SimHei" w:eastAsia="黑体"/>
          <w:color w:val="000000"/>
          <w:sz w:val="24"/>
          <w:szCs w:val="21"/>
        </w:rPr>
        <w:t xml:space="preserve">  </w:t>
      </w:r>
      <w:r>
        <w:rPr>
          <w:rFonts w:ascii="SimHei" w:hAnsi="SimHei" w:eastAsia="黑体"/>
          <w:color w:val="000000"/>
          <w:sz w:val="24"/>
          <w:szCs w:val="21"/>
        </w:rPr>
        <w:t>基准率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各部门考绩分数如享有分的基准率，其主要目的乃在于保障员工不论身置任何职务或任何部门，皆可享有全体同仁共同努力的成果，并能与公司的发展，作为共同努力。</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第九条</w:t>
      </w:r>
      <w:r>
        <w:rPr>
          <w:rFonts w:hint="eastAsia" w:ascii="SimHei" w:hAnsi="SimHei" w:eastAsia="黑体"/>
          <w:color w:val="000000"/>
          <w:sz w:val="24"/>
          <w:szCs w:val="21"/>
        </w:rPr>
        <w:t xml:space="preserve">  </w:t>
      </w:r>
      <w:r>
        <w:rPr>
          <w:rFonts w:ascii="SimHei" w:hAnsi="SimHei" w:eastAsia="黑体"/>
          <w:color w:val="000000"/>
          <w:sz w:val="24"/>
          <w:szCs w:val="21"/>
        </w:rPr>
        <w:t>销售目标达成率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(一)营业部门：依据各营业部门销售净所得与预定销售目标相除后所得的成绩，再与对各生产单位预定生产销售目标所达成比率，按下列方式进行评核：</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1.销售目标达成率×％＝A</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2.对生产部门所承诺的生产销售目标达成率×％＝B</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3.A＋B＝营业部门销售目标达成率分数</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(二)生产部门：除考虑营业部门所允诺的生产销售目标外，各生产部门间的附加价值亦须一并考虑，其评核规定如下：</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1.有附加价值的评核规定包括下列两项：</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(1)当期附加价值净值÷外购附加价的成本×％＝附加价值利益</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(2)附加价值利益÷附加价值预定目标×加权平均数＝附加价值达成率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2.无附加价值者，则依照各营业部门预定销售比例计算。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(三)其他，各部门考绩计算则依照营业部门的评核考绩计算。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第十条</w:t>
      </w:r>
      <w:r>
        <w:rPr>
          <w:rFonts w:hint="eastAsia" w:ascii="SimHei" w:hAnsi="SimHei" w:eastAsia="黑体"/>
          <w:color w:val="000000"/>
          <w:sz w:val="24"/>
          <w:szCs w:val="21"/>
        </w:rPr>
        <w:t xml:space="preserve">  </w:t>
      </w:r>
      <w:r>
        <w:rPr>
          <w:rFonts w:ascii="SimHei" w:hAnsi="SimHei" w:eastAsia="黑体"/>
          <w:color w:val="000000"/>
          <w:sz w:val="24"/>
          <w:szCs w:val="21"/>
        </w:rPr>
        <w:t>销售增长率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(一)营业部门：各部门销售增长比例，则应就当期实际销售额与目标销售额相比较后所得即为销售增长率，其评核规定如下：</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1.销售增长率的考核分数＝分(考核基准)×达成率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2.达成率＝A＋B</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(1)A＝1＋(实际值－目标值)</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(2)B＝该部门占公司实际销售比例×部门实际增长率全公司实际增长率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(3)公司实际增长率若低于％时，则最低评核标准仍以％计算。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3.当该期的预定目标值呈负成长时，则不论该项评核分数如何皆不予以计算。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(二)生产部门：依照与营业部门预定的销售目标评核，但生产部门若有附加价值产生时，则加算附加价值的评核。</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(三)其他各部门考绩的计算，则依照营业部门的评核标准计算。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第十一条</w:t>
      </w:r>
      <w:r>
        <w:rPr>
          <w:rFonts w:hint="eastAsia" w:ascii="SimHei" w:hAnsi="SimHei" w:eastAsia="黑体"/>
          <w:color w:val="000000"/>
          <w:sz w:val="24"/>
          <w:szCs w:val="21"/>
        </w:rPr>
        <w:t xml:space="preserve">  </w:t>
      </w:r>
      <w:r>
        <w:rPr>
          <w:rFonts w:ascii="SimHei" w:hAnsi="SimHei" w:eastAsia="黑体"/>
          <w:color w:val="000000"/>
          <w:sz w:val="24"/>
          <w:szCs w:val="21"/>
        </w:rPr>
        <w:t>投资报酬率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公司视前年度营业成长比例由董事会议通过后，所制定各部门年度损益目标及投资报酬率，其标准如下：</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(一)评分基准</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投资报酬率×考核分数标准＝投资报酬率评定分数</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(二)营业部门投资报酬率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税前纯利使用资产＝营业部门投资报酬率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(三)管理部门</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全公司年度税前纯益总资产＝管理部门投资报酬率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(四)其他各部门的投资报酬率则由经营企划部门评核后，设定各部门目标达成标准后，呈报总经理评定后实施。</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第十二条</w:t>
      </w:r>
      <w:r>
        <w:rPr>
          <w:rFonts w:hint="eastAsia" w:ascii="SimHei" w:hAnsi="SimHei" w:eastAsia="黑体"/>
          <w:color w:val="000000"/>
          <w:sz w:val="24"/>
          <w:szCs w:val="21"/>
        </w:rPr>
        <w:t xml:space="preserve">  </w:t>
      </w:r>
      <w:r>
        <w:rPr>
          <w:rFonts w:ascii="SimHei" w:hAnsi="SimHei" w:eastAsia="黑体"/>
          <w:color w:val="000000"/>
          <w:sz w:val="24"/>
          <w:szCs w:val="21"/>
        </w:rPr>
        <w:t>附加价值提取率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本公司所支付的奖金乃由附加价值利益中，提出％～％的净所得(须扣除该项的管销费用及销货成本)作为奖金的分配额，其评定方式如下：</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(一)当期附加价值实际产生及销售额＞预定目标时，则依照原订的考核分数分计算。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(二)当期附加价值实际产生及销售额＜预定目标时，则依照原订的基准分数×达成率。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(三)经营企划部门在计算出各部门目标值后，呈报总经理评定后实施。</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第十三条</w:t>
      </w:r>
      <w:r>
        <w:rPr>
          <w:rFonts w:hint="eastAsia" w:ascii="SimHei" w:hAnsi="SimHei" w:eastAsia="黑体"/>
          <w:color w:val="000000"/>
          <w:sz w:val="24"/>
          <w:szCs w:val="21"/>
        </w:rPr>
        <w:t xml:space="preserve">  </w:t>
      </w:r>
      <w:r>
        <w:rPr>
          <w:rFonts w:ascii="SimHei" w:hAnsi="SimHei" w:eastAsia="黑体"/>
          <w:color w:val="000000"/>
          <w:sz w:val="24"/>
          <w:szCs w:val="21"/>
        </w:rPr>
        <w:t>业绩率</w:t>
      </w:r>
    </w:p>
    <w:p>
      <w:pPr>
        <w:pStyle w:val="10"/>
        <w:spacing w:line="360" w:lineRule="auto"/>
        <w:ind w:firstLine="480" w:firstLineChars="200"/>
        <w:jc w:val="both"/>
        <w:rPr>
          <w:rFonts w:hint="eastAsia" w:ascii="楷体" w:hAnsi="宋体" w:eastAsia="楷体"/>
          <w:color w:val="000000"/>
          <w:sz w:val="24"/>
          <w:szCs w:val="21"/>
        </w:rPr>
      </w:pPr>
      <w:r>
        <w:rPr>
          <w:rFonts w:ascii="SimHei" w:hAnsi="SimHei" w:eastAsia="黑体"/>
          <w:color w:val="000000"/>
          <w:sz w:val="24"/>
          <w:szCs w:val="21"/>
        </w:rPr>
        <w:t>各部门的经营可由经营企划部门视各部门所负责的职务分别设定目标及评核项目，以作为该项达成率的考绩分数，则为各部门对公司的贡献程度(业绩率)，其评核标准如表</w:t>
      </w:r>
      <w:r>
        <w:rPr>
          <w:rFonts w:hint="eastAsia" w:ascii="SimHei" w:hAnsi="SimHei" w:eastAsia="黑体"/>
          <w:color w:val="000000"/>
          <w:sz w:val="24"/>
          <w:szCs w:val="21"/>
        </w:rPr>
        <w:t>-</w:t>
      </w:r>
      <w:r>
        <w:rPr>
          <w:rFonts w:ascii="SimHei" w:hAnsi="SimHei" w:eastAsia="黑体"/>
          <w:color w:val="000000"/>
          <w:sz w:val="24"/>
          <w:szCs w:val="21"/>
        </w:rPr>
        <w:t>2，</w:t>
      </w:r>
      <w:r>
        <w:rPr>
          <w:rFonts w:hint="eastAsia" w:ascii="SimHei" w:hAnsi="SimHei" w:eastAsia="黑体"/>
          <w:color w:val="000000"/>
          <w:sz w:val="24"/>
          <w:szCs w:val="21"/>
        </w:rPr>
        <w:t>表-</w:t>
      </w:r>
      <w:r>
        <w:rPr>
          <w:rFonts w:ascii="SimHei" w:hAnsi="SimHei" w:eastAsia="黑体"/>
          <w:color w:val="000000"/>
          <w:sz w:val="24"/>
          <w:szCs w:val="21"/>
        </w:rPr>
        <w:t>3，</w:t>
      </w:r>
      <w:r>
        <w:rPr>
          <w:rFonts w:hint="eastAsia" w:ascii="SimHei" w:hAnsi="SimHei" w:eastAsia="黑体"/>
          <w:color w:val="000000"/>
          <w:sz w:val="24"/>
          <w:szCs w:val="21"/>
        </w:rPr>
        <w:t>表-</w:t>
      </w:r>
      <w:r>
        <w:rPr>
          <w:rFonts w:ascii="SimHei" w:hAnsi="SimHei" w:eastAsia="黑体"/>
          <w:color w:val="000000"/>
          <w:sz w:val="24"/>
          <w:szCs w:val="21"/>
        </w:rPr>
        <w:t>4</w:t>
      </w:r>
      <w:r>
        <w:rPr>
          <w:rFonts w:hint="eastAsia" w:ascii="SimHei" w:hAnsi="SimHei" w:eastAsia="黑体"/>
          <w:color w:val="000000"/>
          <w:sz w:val="24"/>
          <w:szCs w:val="21"/>
        </w:rPr>
        <w:t>。</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(一)营业部门业绩率</w:t>
      </w:r>
    </w:p>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表-2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1051"/>
        <w:gridCol w:w="1138"/>
        <w:gridCol w:w="1138"/>
        <w:gridCol w:w="113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397"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考核项目</w:t>
            </w:r>
          </w:p>
        </w:tc>
        <w:tc>
          <w:tcPr>
            <w:tcW w:w="1051"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A部门</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B部门</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C部门</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D部门</w:t>
            </w:r>
          </w:p>
        </w:tc>
        <w:tc>
          <w:tcPr>
            <w:tcW w:w="1139"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E部门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397" w:type="dxa"/>
            <w:noWrap w:val="0"/>
            <w:vAlign w:val="top"/>
          </w:tcPr>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平均薪资销售额</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营销费用比率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奖金运用成本控制</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应收账款比率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应收票据比率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促销商品达成率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市场占有率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呆账损失比率</w:t>
            </w:r>
          </w:p>
          <w:p>
            <w:pPr>
              <w:pStyle w:val="10"/>
              <w:numPr>
                <w:ilvl w:val="0"/>
                <w:numId w:val="1"/>
              </w:numPr>
              <w:tabs>
                <w:tab w:val="left" w:pos="-121"/>
                <w:tab w:val="left" w:pos="407"/>
                <w:tab w:val="left" w:pos="446"/>
                <w:tab w:val="clear" w:pos="360"/>
                <w:tab w:val="clear" w:pos="916"/>
                <w:tab w:val="clear" w:pos="1832"/>
              </w:tabs>
              <w:spacing w:line="360" w:lineRule="auto"/>
              <w:ind w:left="21" w:firstLine="0"/>
              <w:jc w:val="both"/>
              <w:rPr>
                <w:rFonts w:hint="eastAsia" w:ascii="楷体" w:hAnsi="宋体" w:eastAsia="楷体"/>
                <w:color w:val="000000"/>
                <w:sz w:val="24"/>
                <w:szCs w:val="21"/>
              </w:rPr>
            </w:pPr>
            <w:r>
              <w:rPr>
                <w:rFonts w:hint="eastAsia" w:ascii="SimHei" w:hAnsi="SimHei" w:eastAsia="黑体"/>
                <w:color w:val="000000"/>
                <w:sz w:val="24"/>
                <w:szCs w:val="21"/>
              </w:rPr>
              <w:t>存货控制比率</w:t>
            </w:r>
          </w:p>
        </w:tc>
        <w:tc>
          <w:tcPr>
            <w:tcW w:w="1051" w:type="dxa"/>
            <w:noWrap w:val="0"/>
            <w:vAlign w:val="center"/>
          </w:tcPr>
          <w:p>
            <w:pPr>
              <w:pStyle w:val="10"/>
              <w:spacing w:line="360" w:lineRule="auto"/>
              <w:jc w:val="center"/>
              <w:rPr>
                <w:rFonts w:hint="eastAsia" w:ascii="楷体" w:hAnsi="宋体" w:eastAsia="楷体"/>
                <w:color w:val="000000"/>
                <w:sz w:val="24"/>
                <w:szCs w:val="21"/>
              </w:rPr>
            </w:pPr>
          </w:p>
        </w:tc>
        <w:tc>
          <w:tcPr>
            <w:tcW w:w="1138" w:type="dxa"/>
            <w:noWrap w:val="0"/>
            <w:vAlign w:val="center"/>
          </w:tcPr>
          <w:p>
            <w:pPr>
              <w:pStyle w:val="10"/>
              <w:spacing w:line="360" w:lineRule="auto"/>
              <w:jc w:val="center"/>
              <w:rPr>
                <w:rFonts w:hint="eastAsia" w:ascii="楷体" w:hAnsi="宋体" w:eastAsia="楷体"/>
                <w:color w:val="000000"/>
                <w:sz w:val="24"/>
                <w:szCs w:val="21"/>
              </w:rPr>
            </w:pPr>
          </w:p>
        </w:tc>
        <w:tc>
          <w:tcPr>
            <w:tcW w:w="1138" w:type="dxa"/>
            <w:noWrap w:val="0"/>
            <w:vAlign w:val="center"/>
          </w:tcPr>
          <w:p>
            <w:pPr>
              <w:pStyle w:val="10"/>
              <w:spacing w:line="360" w:lineRule="auto"/>
              <w:jc w:val="center"/>
              <w:rPr>
                <w:rFonts w:hint="eastAsia" w:ascii="楷体" w:hAnsi="宋体" w:eastAsia="楷体"/>
                <w:color w:val="000000"/>
                <w:sz w:val="24"/>
                <w:szCs w:val="21"/>
              </w:rPr>
            </w:pPr>
          </w:p>
        </w:tc>
        <w:tc>
          <w:tcPr>
            <w:tcW w:w="1138" w:type="dxa"/>
            <w:noWrap w:val="0"/>
            <w:vAlign w:val="center"/>
          </w:tcPr>
          <w:p>
            <w:pPr>
              <w:pStyle w:val="10"/>
              <w:spacing w:line="360" w:lineRule="auto"/>
              <w:jc w:val="center"/>
              <w:rPr>
                <w:rFonts w:hint="eastAsia" w:ascii="楷体" w:hAnsi="宋体" w:eastAsia="楷体"/>
                <w:color w:val="000000"/>
                <w:sz w:val="24"/>
                <w:szCs w:val="21"/>
              </w:rPr>
            </w:pPr>
          </w:p>
        </w:tc>
        <w:tc>
          <w:tcPr>
            <w:tcW w:w="1139" w:type="dxa"/>
            <w:noWrap w:val="0"/>
            <w:vAlign w:val="center"/>
          </w:tcPr>
          <w:p>
            <w:pPr>
              <w:pStyle w:val="10"/>
              <w:spacing w:line="360" w:lineRule="auto"/>
              <w:jc w:val="center"/>
              <w:rPr>
                <w:rFonts w:hint="eastAsia" w:ascii="楷体" w:hAnsi="宋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397"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合计</w:t>
            </w:r>
          </w:p>
        </w:tc>
        <w:tc>
          <w:tcPr>
            <w:tcW w:w="1051"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8"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9" w:type="dxa"/>
            <w:noWrap w:val="0"/>
            <w:vAlign w:val="center"/>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r>
    </w:tbl>
    <w:p>
      <w:pPr>
        <w:pStyle w:val="10"/>
        <w:spacing w:line="360" w:lineRule="auto"/>
        <w:ind w:firstLine="480" w:firstLineChars="200"/>
        <w:jc w:val="both"/>
        <w:rPr>
          <w:rFonts w:hint="eastAsia" w:ascii="楷体" w:hAnsi="宋体" w:eastAsia="楷体"/>
          <w:color w:val="000000"/>
          <w:sz w:val="24"/>
          <w:szCs w:val="21"/>
        </w:rPr>
      </w:pPr>
      <w:r>
        <w:rPr>
          <w:rFonts w:ascii="SimHei" w:hAnsi="SimHei" w:eastAsia="黑体"/>
          <w:color w:val="000000"/>
          <w:sz w:val="24"/>
          <w:szCs w:val="21"/>
        </w:rPr>
        <w:t>(二)生产部门业绩率</w:t>
      </w:r>
    </w:p>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表-3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992"/>
        <w:gridCol w:w="1055"/>
        <w:gridCol w:w="1138"/>
        <w:gridCol w:w="113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539"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考核项目</w:t>
            </w:r>
          </w:p>
        </w:tc>
        <w:tc>
          <w:tcPr>
            <w:tcW w:w="992" w:type="dxa"/>
            <w:noWrap w:val="0"/>
            <w:vAlign w:val="top"/>
          </w:tcPr>
          <w:p>
            <w:pPr>
              <w:pStyle w:val="10"/>
              <w:spacing w:line="360" w:lineRule="auto"/>
              <w:jc w:val="center"/>
              <w:rPr>
                <w:rFonts w:hint="eastAsia" w:ascii="楷体" w:hAnsi="宋体" w:eastAsia="楷体"/>
                <w:color w:val="000000"/>
                <w:sz w:val="24"/>
                <w:szCs w:val="21"/>
              </w:rPr>
            </w:pPr>
            <w:r>
              <w:rPr>
                <w:rFonts w:ascii="SimHei" w:hAnsi="SimHei" w:eastAsia="黑体"/>
                <w:color w:val="000000"/>
                <w:sz w:val="24"/>
                <w:szCs w:val="21"/>
              </w:rPr>
              <w:t>A</w:t>
            </w:r>
            <w:r>
              <w:rPr>
                <w:rFonts w:hint="eastAsia" w:ascii="SimHei" w:hAnsi="SimHei" w:eastAsia="黑体"/>
                <w:color w:val="000000"/>
                <w:sz w:val="24"/>
                <w:szCs w:val="21"/>
              </w:rPr>
              <w:t>厂</w:t>
            </w:r>
          </w:p>
        </w:tc>
        <w:tc>
          <w:tcPr>
            <w:tcW w:w="1055" w:type="dxa"/>
            <w:noWrap w:val="0"/>
            <w:vAlign w:val="top"/>
          </w:tcPr>
          <w:p>
            <w:pPr>
              <w:pStyle w:val="10"/>
              <w:spacing w:line="360" w:lineRule="auto"/>
              <w:jc w:val="center"/>
              <w:rPr>
                <w:rFonts w:hint="eastAsia" w:ascii="楷体" w:hAnsi="宋体" w:eastAsia="楷体"/>
                <w:color w:val="000000"/>
                <w:sz w:val="24"/>
                <w:szCs w:val="21"/>
              </w:rPr>
            </w:pPr>
            <w:r>
              <w:rPr>
                <w:rFonts w:ascii="SimHei" w:hAnsi="SimHei" w:eastAsia="黑体"/>
                <w:color w:val="000000"/>
                <w:sz w:val="24"/>
                <w:szCs w:val="21"/>
              </w:rPr>
              <w:t>B</w:t>
            </w:r>
            <w:r>
              <w:rPr>
                <w:rFonts w:hint="eastAsia" w:ascii="SimHei" w:hAnsi="SimHei" w:eastAsia="黑体"/>
                <w:color w:val="000000"/>
                <w:sz w:val="24"/>
                <w:szCs w:val="21"/>
              </w:rPr>
              <w:t>厂</w:t>
            </w:r>
          </w:p>
        </w:tc>
        <w:tc>
          <w:tcPr>
            <w:tcW w:w="1138" w:type="dxa"/>
            <w:noWrap w:val="0"/>
            <w:vAlign w:val="top"/>
          </w:tcPr>
          <w:p>
            <w:pPr>
              <w:pStyle w:val="10"/>
              <w:spacing w:line="360" w:lineRule="auto"/>
              <w:jc w:val="center"/>
              <w:rPr>
                <w:rFonts w:hint="eastAsia" w:ascii="楷体" w:hAnsi="宋体" w:eastAsia="楷体"/>
                <w:color w:val="000000"/>
                <w:sz w:val="24"/>
                <w:szCs w:val="21"/>
              </w:rPr>
            </w:pPr>
            <w:r>
              <w:rPr>
                <w:rFonts w:ascii="SimHei" w:hAnsi="SimHei" w:eastAsia="黑体"/>
                <w:color w:val="000000"/>
                <w:sz w:val="24"/>
                <w:szCs w:val="21"/>
              </w:rPr>
              <w:t>C</w:t>
            </w:r>
            <w:r>
              <w:rPr>
                <w:rFonts w:hint="eastAsia" w:ascii="SimHei" w:hAnsi="SimHei" w:eastAsia="黑体"/>
                <w:color w:val="000000"/>
                <w:sz w:val="24"/>
                <w:szCs w:val="21"/>
              </w:rPr>
              <w:t>厂</w:t>
            </w:r>
          </w:p>
        </w:tc>
        <w:tc>
          <w:tcPr>
            <w:tcW w:w="1138" w:type="dxa"/>
            <w:noWrap w:val="0"/>
            <w:vAlign w:val="top"/>
          </w:tcPr>
          <w:p>
            <w:pPr>
              <w:pStyle w:val="10"/>
              <w:spacing w:line="360" w:lineRule="auto"/>
              <w:jc w:val="center"/>
              <w:rPr>
                <w:rFonts w:hint="eastAsia" w:ascii="楷体" w:hAnsi="宋体" w:eastAsia="楷体"/>
                <w:color w:val="000000"/>
                <w:sz w:val="24"/>
                <w:szCs w:val="21"/>
              </w:rPr>
            </w:pPr>
            <w:r>
              <w:rPr>
                <w:rFonts w:ascii="SimHei" w:hAnsi="SimHei" w:eastAsia="黑体"/>
                <w:color w:val="000000"/>
                <w:sz w:val="24"/>
                <w:szCs w:val="21"/>
              </w:rPr>
              <w:t>D</w:t>
            </w:r>
            <w:r>
              <w:rPr>
                <w:rFonts w:hint="eastAsia" w:ascii="SimHei" w:hAnsi="SimHei" w:eastAsia="黑体"/>
                <w:color w:val="000000"/>
                <w:sz w:val="24"/>
                <w:szCs w:val="21"/>
              </w:rPr>
              <w:t>厂</w:t>
            </w:r>
          </w:p>
        </w:tc>
        <w:tc>
          <w:tcPr>
            <w:tcW w:w="1139" w:type="dxa"/>
            <w:noWrap w:val="0"/>
            <w:vAlign w:val="top"/>
          </w:tcPr>
          <w:p>
            <w:pPr>
              <w:pStyle w:val="10"/>
              <w:spacing w:line="360" w:lineRule="auto"/>
              <w:jc w:val="center"/>
              <w:rPr>
                <w:rFonts w:hint="eastAsia" w:ascii="楷体" w:hAnsi="宋体" w:eastAsia="楷体"/>
                <w:color w:val="000000"/>
                <w:sz w:val="24"/>
                <w:szCs w:val="21"/>
              </w:rPr>
            </w:pPr>
            <w:r>
              <w:rPr>
                <w:rFonts w:ascii="SimHei" w:hAnsi="SimHei" w:eastAsia="黑体"/>
                <w:color w:val="000000"/>
                <w:sz w:val="24"/>
                <w:szCs w:val="21"/>
              </w:rPr>
              <w:t>E</w:t>
            </w:r>
            <w:r>
              <w:rPr>
                <w:rFonts w:hint="eastAsia" w:ascii="SimHei" w:hAnsi="SimHei" w:eastAsia="黑体"/>
                <w:color w:val="000000"/>
                <w:sz w:val="24"/>
                <w:szCs w:val="21"/>
              </w:rPr>
              <w:t>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539" w:type="dxa"/>
            <w:noWrap w:val="0"/>
            <w:vAlign w:val="top"/>
          </w:tcPr>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平均薪资生产量</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不良品成本率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不良品回收率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成本降低达成率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新产品开发达成率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经营资金成本控制</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生产效率达成率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物料控制达成率</w:t>
            </w:r>
          </w:p>
          <w:p>
            <w:pPr>
              <w:pStyle w:val="10"/>
              <w:numPr>
                <w:ilvl w:val="0"/>
                <w:numId w:val="2"/>
              </w:numPr>
              <w:tabs>
                <w:tab w:val="left" w:pos="21"/>
                <w:tab w:val="left" w:pos="265"/>
                <w:tab w:val="clear" w:pos="360"/>
                <w:tab w:val="clear" w:pos="916"/>
              </w:tabs>
              <w:spacing w:line="360" w:lineRule="auto"/>
              <w:ind w:left="0" w:firstLine="0"/>
              <w:jc w:val="both"/>
              <w:rPr>
                <w:rFonts w:hint="eastAsia" w:ascii="楷体" w:hAnsi="宋体" w:eastAsia="楷体"/>
                <w:color w:val="000000"/>
                <w:sz w:val="24"/>
                <w:szCs w:val="21"/>
              </w:rPr>
            </w:pPr>
            <w:r>
              <w:rPr>
                <w:rFonts w:hint="eastAsia" w:ascii="SimHei" w:hAnsi="SimHei" w:eastAsia="黑体"/>
                <w:color w:val="000000"/>
                <w:sz w:val="24"/>
                <w:szCs w:val="21"/>
              </w:rPr>
              <w:t>提案建议达成率</w:t>
            </w:r>
          </w:p>
        </w:tc>
        <w:tc>
          <w:tcPr>
            <w:tcW w:w="992" w:type="dxa"/>
            <w:noWrap w:val="0"/>
            <w:vAlign w:val="top"/>
          </w:tcPr>
          <w:p>
            <w:pPr>
              <w:pStyle w:val="10"/>
              <w:spacing w:line="360" w:lineRule="auto"/>
              <w:jc w:val="center"/>
              <w:rPr>
                <w:rFonts w:hint="eastAsia" w:ascii="楷体" w:hAnsi="宋体" w:eastAsia="楷体"/>
                <w:color w:val="000000"/>
                <w:sz w:val="24"/>
                <w:szCs w:val="21"/>
              </w:rPr>
            </w:pPr>
          </w:p>
        </w:tc>
        <w:tc>
          <w:tcPr>
            <w:tcW w:w="1055" w:type="dxa"/>
            <w:noWrap w:val="0"/>
            <w:vAlign w:val="top"/>
          </w:tcPr>
          <w:p>
            <w:pPr>
              <w:pStyle w:val="10"/>
              <w:spacing w:line="360" w:lineRule="auto"/>
              <w:jc w:val="center"/>
              <w:rPr>
                <w:rFonts w:hint="eastAsia" w:ascii="楷体" w:hAnsi="宋体" w:eastAsia="楷体"/>
                <w:color w:val="000000"/>
                <w:sz w:val="24"/>
                <w:szCs w:val="21"/>
              </w:rPr>
            </w:pPr>
          </w:p>
        </w:tc>
        <w:tc>
          <w:tcPr>
            <w:tcW w:w="1138" w:type="dxa"/>
            <w:noWrap w:val="0"/>
            <w:vAlign w:val="top"/>
          </w:tcPr>
          <w:p>
            <w:pPr>
              <w:pStyle w:val="10"/>
              <w:spacing w:line="360" w:lineRule="auto"/>
              <w:jc w:val="center"/>
              <w:rPr>
                <w:rFonts w:hint="eastAsia" w:ascii="楷体" w:hAnsi="宋体" w:eastAsia="楷体"/>
                <w:color w:val="000000"/>
                <w:sz w:val="24"/>
                <w:szCs w:val="21"/>
              </w:rPr>
            </w:pPr>
          </w:p>
        </w:tc>
        <w:tc>
          <w:tcPr>
            <w:tcW w:w="1138" w:type="dxa"/>
            <w:noWrap w:val="0"/>
            <w:vAlign w:val="top"/>
          </w:tcPr>
          <w:p>
            <w:pPr>
              <w:pStyle w:val="10"/>
              <w:spacing w:line="360" w:lineRule="auto"/>
              <w:jc w:val="center"/>
              <w:rPr>
                <w:rFonts w:hint="eastAsia" w:ascii="楷体" w:hAnsi="宋体" w:eastAsia="楷体"/>
                <w:color w:val="000000"/>
                <w:sz w:val="24"/>
                <w:szCs w:val="21"/>
              </w:rPr>
            </w:pPr>
          </w:p>
        </w:tc>
        <w:tc>
          <w:tcPr>
            <w:tcW w:w="1139" w:type="dxa"/>
            <w:noWrap w:val="0"/>
            <w:vAlign w:val="top"/>
          </w:tcPr>
          <w:p>
            <w:pPr>
              <w:pStyle w:val="10"/>
              <w:spacing w:line="360" w:lineRule="auto"/>
              <w:jc w:val="center"/>
              <w:rPr>
                <w:rFonts w:hint="eastAsia" w:ascii="楷体" w:hAnsi="宋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539"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合计</w:t>
            </w:r>
          </w:p>
        </w:tc>
        <w:tc>
          <w:tcPr>
            <w:tcW w:w="992"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055"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8"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8"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c>
          <w:tcPr>
            <w:tcW w:w="1139"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100</w:t>
            </w:r>
          </w:p>
        </w:tc>
      </w:tr>
    </w:tbl>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(三)开发部门业绩率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1.开发目标达成率：包括新产品研究、开发、质量、规格、性能及成本等开发项目的目标达成率，在经由商品科评核后，以业绩率的百分比计算。</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2.开发计划达成率</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(1)开发计划应于每半年检视一次，计划进度经核定通过后，应作定期性业务分析及评核。</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(2)计算期间遭命令终止研究时，仍应视开发前实际达成率评核。</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(3)原计划案的外的企划若因执行上较他案达成困难者，可视其达成难易度评核后，乘以为实际评估分数。</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(4)开发计划达成率占业绩率的％。</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3.经费控制</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开发部门所需的经费预算，可按年度编列的预算进行经费控制，并对该期间经费控制比率予以评核。经费控制占业绩率的20％。</w:t>
      </w:r>
    </w:p>
    <w:p>
      <w:pPr>
        <w:pStyle w:val="10"/>
        <w:spacing w:line="360" w:lineRule="auto"/>
        <w:ind w:firstLine="480" w:firstLineChars="200"/>
        <w:jc w:val="both"/>
        <w:rPr>
          <w:rFonts w:hint="eastAsia" w:ascii="楷体" w:hAnsi="宋体" w:eastAsia="楷体"/>
          <w:color w:val="000000"/>
          <w:sz w:val="24"/>
          <w:szCs w:val="21"/>
        </w:rPr>
      </w:pPr>
      <w:r>
        <w:rPr>
          <w:rFonts w:ascii="SimHei" w:hAnsi="SimHei" w:eastAsia="黑体"/>
          <w:color w:val="000000"/>
          <w:sz w:val="24"/>
          <w:szCs w:val="21"/>
        </w:rPr>
        <w:t>(四)管理部门业绩率：</w:t>
      </w:r>
    </w:p>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表-4</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980"/>
        <w:gridCol w:w="1004"/>
        <w:gridCol w:w="1520"/>
        <w:gridCol w:w="1004"/>
        <w:gridCol w:w="117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9"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评核项目</w:t>
            </w:r>
          </w:p>
        </w:tc>
        <w:tc>
          <w:tcPr>
            <w:tcW w:w="980"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人事部</w:t>
            </w:r>
          </w:p>
        </w:tc>
        <w:tc>
          <w:tcPr>
            <w:tcW w:w="1004"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总务科</w:t>
            </w:r>
          </w:p>
        </w:tc>
        <w:tc>
          <w:tcPr>
            <w:tcW w:w="1520"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质量管理科</w:t>
            </w:r>
          </w:p>
        </w:tc>
        <w:tc>
          <w:tcPr>
            <w:tcW w:w="1004"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商品科</w:t>
            </w:r>
          </w:p>
        </w:tc>
        <w:tc>
          <w:tcPr>
            <w:tcW w:w="1176"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稽核科</w:t>
            </w:r>
          </w:p>
        </w:tc>
        <w:tc>
          <w:tcPr>
            <w:tcW w:w="1176" w:type="dxa"/>
            <w:noWrap w:val="0"/>
            <w:vAlign w:val="top"/>
          </w:tcPr>
          <w:p>
            <w:pPr>
              <w:pStyle w:val="10"/>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幕僚室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9" w:type="dxa"/>
            <w:noWrap w:val="0"/>
            <w:vAlign w:val="top"/>
          </w:tcPr>
          <w:p>
            <w:pPr>
              <w:pStyle w:val="10"/>
              <w:numPr>
                <w:ilvl w:val="0"/>
                <w:numId w:val="3"/>
              </w:numPr>
              <w:tabs>
                <w:tab w:val="left" w:pos="1"/>
                <w:tab w:val="left" w:pos="245"/>
                <w:tab w:val="clear" w:pos="360"/>
                <w:tab w:val="clear" w:pos="916"/>
              </w:tabs>
              <w:spacing w:line="360" w:lineRule="auto"/>
              <w:ind w:left="1" w:firstLine="0"/>
              <w:jc w:val="center"/>
              <w:rPr>
                <w:rFonts w:hint="eastAsia" w:ascii="楷体" w:hAnsi="宋体" w:eastAsia="楷体"/>
                <w:color w:val="000000"/>
                <w:sz w:val="24"/>
                <w:szCs w:val="21"/>
              </w:rPr>
            </w:pPr>
            <w:r>
              <w:rPr>
                <w:rFonts w:hint="eastAsia" w:ascii="SimHei" w:hAnsi="SimHei" w:eastAsia="黑体"/>
                <w:color w:val="000000"/>
                <w:sz w:val="24"/>
                <w:szCs w:val="21"/>
              </w:rPr>
              <w:t>专案进度</w:t>
            </w:r>
          </w:p>
          <w:p>
            <w:pPr>
              <w:pStyle w:val="10"/>
              <w:numPr>
                <w:ilvl w:val="0"/>
                <w:numId w:val="3"/>
              </w:numPr>
              <w:tabs>
                <w:tab w:val="left" w:pos="1"/>
                <w:tab w:val="left" w:pos="245"/>
                <w:tab w:val="clear" w:pos="360"/>
                <w:tab w:val="clear" w:pos="916"/>
              </w:tabs>
              <w:spacing w:line="360" w:lineRule="auto"/>
              <w:ind w:left="1" w:firstLine="0"/>
              <w:jc w:val="center"/>
              <w:rPr>
                <w:rFonts w:hint="eastAsia" w:ascii="楷体" w:hAnsi="宋体" w:eastAsia="楷体"/>
                <w:color w:val="000000"/>
                <w:sz w:val="24"/>
                <w:szCs w:val="21"/>
              </w:rPr>
            </w:pPr>
            <w:r>
              <w:rPr>
                <w:rFonts w:hint="eastAsia" w:ascii="SimHei" w:hAnsi="SimHei" w:eastAsia="黑体"/>
                <w:color w:val="000000"/>
                <w:sz w:val="24"/>
                <w:szCs w:val="21"/>
              </w:rPr>
              <w:t>费用控制</w:t>
            </w:r>
          </w:p>
          <w:p>
            <w:pPr>
              <w:pStyle w:val="10"/>
              <w:numPr>
                <w:ilvl w:val="0"/>
                <w:numId w:val="3"/>
              </w:numPr>
              <w:tabs>
                <w:tab w:val="left" w:pos="1"/>
                <w:tab w:val="left" w:pos="245"/>
                <w:tab w:val="clear" w:pos="360"/>
                <w:tab w:val="clear" w:pos="916"/>
              </w:tabs>
              <w:spacing w:line="360" w:lineRule="auto"/>
              <w:ind w:left="1" w:firstLine="0"/>
              <w:jc w:val="center"/>
              <w:rPr>
                <w:rFonts w:hint="eastAsia" w:ascii="楷体" w:hAnsi="宋体" w:eastAsia="楷体"/>
                <w:color w:val="000000"/>
                <w:sz w:val="24"/>
                <w:szCs w:val="21"/>
              </w:rPr>
            </w:pPr>
            <w:r>
              <w:rPr>
                <w:rFonts w:hint="eastAsia" w:ascii="SimHei" w:hAnsi="SimHei" w:eastAsia="黑体"/>
                <w:color w:val="000000"/>
                <w:sz w:val="24"/>
                <w:szCs w:val="21"/>
              </w:rPr>
              <w:t>专案提议</w:t>
            </w:r>
          </w:p>
          <w:p>
            <w:pPr>
              <w:pStyle w:val="10"/>
              <w:numPr>
                <w:ilvl w:val="0"/>
                <w:numId w:val="3"/>
              </w:numPr>
              <w:tabs>
                <w:tab w:val="left" w:pos="1"/>
                <w:tab w:val="left" w:pos="245"/>
                <w:tab w:val="clear" w:pos="360"/>
                <w:tab w:val="clear" w:pos="916"/>
              </w:tabs>
              <w:spacing w:line="360" w:lineRule="auto"/>
              <w:ind w:left="1" w:firstLine="0"/>
              <w:jc w:val="center"/>
              <w:rPr>
                <w:rFonts w:hint="eastAsia" w:ascii="楷体" w:hAnsi="宋体" w:eastAsia="楷体"/>
                <w:color w:val="000000"/>
                <w:sz w:val="24"/>
                <w:szCs w:val="21"/>
              </w:rPr>
            </w:pPr>
            <w:r>
              <w:rPr>
                <w:rFonts w:hint="eastAsia" w:ascii="SimHei" w:hAnsi="SimHei" w:eastAsia="黑体"/>
                <w:color w:val="000000"/>
                <w:sz w:val="24"/>
                <w:szCs w:val="21"/>
              </w:rPr>
              <w:t>奖金控制</w:t>
            </w:r>
          </w:p>
          <w:p>
            <w:pPr>
              <w:pStyle w:val="10"/>
              <w:numPr>
                <w:ilvl w:val="0"/>
                <w:numId w:val="3"/>
              </w:numPr>
              <w:tabs>
                <w:tab w:val="left" w:pos="1"/>
                <w:tab w:val="left" w:pos="245"/>
                <w:tab w:val="clear" w:pos="360"/>
                <w:tab w:val="clear" w:pos="916"/>
              </w:tabs>
              <w:spacing w:line="360" w:lineRule="auto"/>
              <w:ind w:left="1" w:firstLine="0"/>
              <w:jc w:val="center"/>
              <w:rPr>
                <w:rFonts w:hint="eastAsia" w:ascii="楷体" w:hAnsi="宋体" w:eastAsia="楷体"/>
                <w:color w:val="000000"/>
                <w:sz w:val="24"/>
                <w:szCs w:val="21"/>
              </w:rPr>
            </w:pPr>
            <w:r>
              <w:rPr>
                <w:rFonts w:hint="eastAsia" w:ascii="SimHei" w:hAnsi="SimHei" w:eastAsia="黑体"/>
                <w:color w:val="000000"/>
                <w:sz w:val="24"/>
                <w:szCs w:val="21"/>
              </w:rPr>
              <w:t>目标达成</w:t>
            </w:r>
          </w:p>
          <w:p>
            <w:pPr>
              <w:pStyle w:val="10"/>
              <w:tabs>
                <w:tab w:val="left" w:pos="245"/>
              </w:tabs>
              <w:spacing w:line="360" w:lineRule="auto"/>
              <w:jc w:val="center"/>
              <w:rPr>
                <w:rFonts w:hint="eastAsia" w:ascii="楷体" w:hAnsi="宋体" w:eastAsia="楷体"/>
                <w:color w:val="000000"/>
                <w:sz w:val="24"/>
                <w:szCs w:val="21"/>
              </w:rPr>
            </w:pPr>
            <w:r>
              <w:rPr>
                <w:rFonts w:hint="eastAsia" w:ascii="SimHei" w:hAnsi="SimHei" w:eastAsia="黑体"/>
                <w:color w:val="000000"/>
                <w:sz w:val="24"/>
                <w:szCs w:val="21"/>
              </w:rPr>
              <w:t>合计</w:t>
            </w:r>
          </w:p>
        </w:tc>
        <w:tc>
          <w:tcPr>
            <w:tcW w:w="980" w:type="dxa"/>
            <w:noWrap w:val="0"/>
            <w:vAlign w:val="top"/>
          </w:tcPr>
          <w:p>
            <w:pPr>
              <w:pStyle w:val="10"/>
              <w:spacing w:line="360" w:lineRule="auto"/>
              <w:jc w:val="center"/>
              <w:rPr>
                <w:rFonts w:hint="eastAsia" w:ascii="楷体" w:hAnsi="宋体" w:eastAsia="楷体"/>
                <w:color w:val="000000"/>
                <w:sz w:val="24"/>
                <w:szCs w:val="21"/>
              </w:rPr>
            </w:pPr>
          </w:p>
        </w:tc>
        <w:tc>
          <w:tcPr>
            <w:tcW w:w="1004" w:type="dxa"/>
            <w:noWrap w:val="0"/>
            <w:vAlign w:val="top"/>
          </w:tcPr>
          <w:p>
            <w:pPr>
              <w:pStyle w:val="10"/>
              <w:spacing w:line="360" w:lineRule="auto"/>
              <w:jc w:val="center"/>
              <w:rPr>
                <w:rFonts w:hint="eastAsia" w:ascii="楷体" w:hAnsi="宋体" w:eastAsia="楷体"/>
                <w:color w:val="000000"/>
                <w:sz w:val="24"/>
                <w:szCs w:val="21"/>
              </w:rPr>
            </w:pPr>
          </w:p>
        </w:tc>
        <w:tc>
          <w:tcPr>
            <w:tcW w:w="1520" w:type="dxa"/>
            <w:noWrap w:val="0"/>
            <w:vAlign w:val="top"/>
          </w:tcPr>
          <w:p>
            <w:pPr>
              <w:pStyle w:val="10"/>
              <w:spacing w:line="360" w:lineRule="auto"/>
              <w:jc w:val="center"/>
              <w:rPr>
                <w:rFonts w:hint="eastAsia" w:ascii="楷体" w:hAnsi="宋体" w:eastAsia="楷体"/>
                <w:color w:val="000000"/>
                <w:sz w:val="24"/>
                <w:szCs w:val="21"/>
              </w:rPr>
            </w:pPr>
          </w:p>
        </w:tc>
        <w:tc>
          <w:tcPr>
            <w:tcW w:w="1004" w:type="dxa"/>
            <w:noWrap w:val="0"/>
            <w:vAlign w:val="top"/>
          </w:tcPr>
          <w:p>
            <w:pPr>
              <w:pStyle w:val="10"/>
              <w:spacing w:line="360" w:lineRule="auto"/>
              <w:jc w:val="center"/>
              <w:rPr>
                <w:rFonts w:hint="eastAsia" w:ascii="楷体" w:hAnsi="宋体" w:eastAsia="楷体"/>
                <w:color w:val="000000"/>
                <w:sz w:val="24"/>
                <w:szCs w:val="21"/>
              </w:rPr>
            </w:pPr>
          </w:p>
        </w:tc>
        <w:tc>
          <w:tcPr>
            <w:tcW w:w="1176" w:type="dxa"/>
            <w:noWrap w:val="0"/>
            <w:vAlign w:val="top"/>
          </w:tcPr>
          <w:p>
            <w:pPr>
              <w:pStyle w:val="10"/>
              <w:spacing w:line="360" w:lineRule="auto"/>
              <w:jc w:val="center"/>
              <w:rPr>
                <w:rFonts w:hint="eastAsia" w:ascii="楷体" w:hAnsi="宋体" w:eastAsia="楷体"/>
                <w:color w:val="000000"/>
                <w:sz w:val="24"/>
                <w:szCs w:val="21"/>
              </w:rPr>
            </w:pPr>
          </w:p>
        </w:tc>
        <w:tc>
          <w:tcPr>
            <w:tcW w:w="1176" w:type="dxa"/>
            <w:noWrap w:val="0"/>
            <w:vAlign w:val="top"/>
          </w:tcPr>
          <w:p>
            <w:pPr>
              <w:pStyle w:val="10"/>
              <w:spacing w:line="360" w:lineRule="auto"/>
              <w:jc w:val="center"/>
              <w:rPr>
                <w:rFonts w:hint="eastAsia" w:ascii="楷体" w:hAnsi="宋体" w:eastAsia="楷体"/>
                <w:color w:val="000000"/>
                <w:sz w:val="24"/>
                <w:szCs w:val="21"/>
              </w:rPr>
            </w:pPr>
          </w:p>
        </w:tc>
      </w:tr>
    </w:tbl>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第十四条</w:t>
      </w:r>
      <w:r>
        <w:rPr>
          <w:rFonts w:hint="eastAsia" w:ascii="SimHei" w:hAnsi="SimHei" w:eastAsia="黑体"/>
          <w:color w:val="000000"/>
          <w:sz w:val="24"/>
          <w:szCs w:val="21"/>
        </w:rPr>
        <w:t xml:space="preserve">  </w:t>
      </w:r>
      <w:r>
        <w:rPr>
          <w:rFonts w:ascii="SimHei" w:hAnsi="SimHei" w:eastAsia="黑体"/>
          <w:color w:val="000000"/>
          <w:sz w:val="24"/>
          <w:szCs w:val="21"/>
        </w:rPr>
        <w:t>预留调整</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该项评估系保留给最高主管针对市场变动及社会经济结构变化时，对各部门职务责任度及管理控制等因素，予以裁定评核。其评核标准则视其需要程度给予分的考绩评比。</w:t>
      </w:r>
    </w:p>
    <w:p>
      <w:pPr>
        <w:pStyle w:val="2"/>
        <w:spacing w:before="0" w:after="0" w:line="360" w:lineRule="auto"/>
        <w:ind w:firstLine="424" w:firstLineChars="151"/>
        <w:rPr>
          <w:rFonts w:ascii="楷体" w:hAnsi="宋体" w:eastAsia="楷体"/>
          <w:color w:val="000000"/>
          <w:sz w:val="24"/>
          <w:szCs w:val="21"/>
        </w:rPr>
      </w:pPr>
      <w:r>
        <w:rPr>
          <w:rFonts w:hint="eastAsia" w:ascii="SimHei" w:hAnsi="SimHei" w:eastAsia="黑体"/>
          <w:color w:val="000000"/>
          <w:sz w:val="28"/>
          <w:szCs w:val="21"/>
        </w:rPr>
        <w:t>三、</w:t>
      </w:r>
      <w:r>
        <w:rPr>
          <w:rFonts w:ascii="SimHei" w:hAnsi="SimHei" w:eastAsia="黑体"/>
          <w:color w:val="000000"/>
          <w:sz w:val="28"/>
          <w:szCs w:val="21"/>
        </w:rPr>
        <w:t>附则</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第十五条</w:t>
      </w:r>
      <w:r>
        <w:rPr>
          <w:rFonts w:hint="eastAsia" w:ascii="SimHei" w:hAnsi="SimHei" w:eastAsia="黑体"/>
          <w:color w:val="000000"/>
          <w:sz w:val="24"/>
          <w:szCs w:val="21"/>
        </w:rPr>
        <w:t xml:space="preserve">  </w:t>
      </w:r>
      <w:r>
        <w:rPr>
          <w:rFonts w:ascii="SimHei" w:hAnsi="SimHei" w:eastAsia="黑体"/>
          <w:color w:val="000000"/>
          <w:sz w:val="24"/>
          <w:szCs w:val="21"/>
        </w:rPr>
        <w:t>修订</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各部门对于本规则有任何疑义产生时，则由各部门主管汇整后，呈报人事科代为释疑义；尚若有修订的必要时，则应由人事科提列改善建议方案后，呈报总经理评核。</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第十六条</w:t>
      </w:r>
      <w:r>
        <w:rPr>
          <w:rFonts w:hint="eastAsia" w:ascii="SimHei" w:hAnsi="SimHei" w:eastAsia="黑体"/>
          <w:color w:val="000000"/>
          <w:sz w:val="24"/>
          <w:szCs w:val="21"/>
        </w:rPr>
        <w:t xml:space="preserve">  </w:t>
      </w:r>
      <w:r>
        <w:rPr>
          <w:rFonts w:ascii="SimHei" w:hAnsi="SimHei" w:eastAsia="黑体"/>
          <w:color w:val="000000"/>
          <w:sz w:val="24"/>
          <w:szCs w:val="21"/>
        </w:rPr>
        <w:t>施行</w:t>
      </w:r>
    </w:p>
    <w:p>
      <w:pPr>
        <w:pStyle w:val="10"/>
        <w:spacing w:line="360" w:lineRule="auto"/>
        <w:ind w:firstLine="480" w:firstLineChars="200"/>
        <w:jc w:val="both"/>
        <w:rPr>
          <w:rFonts w:ascii="楷体" w:hAnsi="宋体" w:eastAsia="楷体"/>
          <w:color w:val="000000"/>
          <w:sz w:val="24"/>
          <w:szCs w:val="21"/>
        </w:rPr>
      </w:pPr>
      <w:r>
        <w:rPr>
          <w:rFonts w:ascii="SimHei" w:hAnsi="SimHei" w:eastAsia="黑体"/>
          <w:color w:val="000000"/>
          <w:sz w:val="24"/>
          <w:szCs w:val="21"/>
        </w:rPr>
        <w:t>本规则自</w:t>
      </w:r>
      <w:r>
        <w:rPr>
          <w:rFonts w:hint="eastAsia" w:ascii="SimHei" w:hAnsi="SimHei" w:eastAsia="黑体"/>
          <w:color w:val="000000"/>
          <w:sz w:val="24"/>
          <w:szCs w:val="21"/>
        </w:rPr>
        <w:t xml:space="preserve">    </w:t>
      </w:r>
      <w:r>
        <w:rPr>
          <w:rFonts w:ascii="SimHei" w:hAnsi="SimHei" w:eastAsia="黑体"/>
          <w:color w:val="000000"/>
          <w:sz w:val="24"/>
          <w:szCs w:val="21"/>
        </w:rPr>
        <w:t>年</w:t>
      </w:r>
      <w:r>
        <w:rPr>
          <w:rFonts w:hint="eastAsia" w:ascii="SimHei" w:hAnsi="SimHei" w:eastAsia="黑体"/>
          <w:color w:val="000000"/>
          <w:sz w:val="24"/>
          <w:szCs w:val="21"/>
        </w:rPr>
        <w:t xml:space="preserve">    </w:t>
      </w:r>
      <w:r>
        <w:rPr>
          <w:rFonts w:ascii="SimHei" w:hAnsi="SimHei" w:eastAsia="黑体"/>
          <w:color w:val="000000"/>
          <w:sz w:val="24"/>
          <w:szCs w:val="21"/>
        </w:rPr>
        <w:t>月</w:t>
      </w:r>
      <w:r>
        <w:rPr>
          <w:rFonts w:hint="eastAsia" w:ascii="SimHei" w:hAnsi="SimHei" w:eastAsia="黑体"/>
          <w:color w:val="000000"/>
          <w:sz w:val="24"/>
          <w:szCs w:val="21"/>
        </w:rPr>
        <w:t xml:space="preserve">    </w:t>
      </w:r>
      <w:r>
        <w:rPr>
          <w:rFonts w:ascii="SimHei" w:hAnsi="SimHei" w:eastAsia="黑体"/>
          <w:color w:val="000000"/>
          <w:sz w:val="24"/>
          <w:szCs w:val="21"/>
        </w:rPr>
        <w:t>日起实施。</w:t>
      </w:r>
    </w:p>
    <w:sectPr>
      <w:footerReference r:id="rId3" w:type="even"/>
      <w:pgSz w:w="11906" w:h="16838"/>
      <w:pgMar w:top="850"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2478"/>
    <w:multiLevelType w:val="multilevel"/>
    <w:tmpl w:val="10D6247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032F6C"/>
    <w:multiLevelType w:val="multilevel"/>
    <w:tmpl w:val="6B032F6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1F817DB"/>
    <w:multiLevelType w:val="multilevel"/>
    <w:tmpl w:val="71F817D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35"/>
    <w:rsid w:val="002F687E"/>
    <w:rsid w:val="00342B62"/>
    <w:rsid w:val="004E1E10"/>
    <w:rsid w:val="007E3E6B"/>
    <w:rsid w:val="00871035"/>
    <w:rsid w:val="00B106CF"/>
    <w:rsid w:val="00B36896"/>
    <w:rsid w:val="00B5766A"/>
    <w:rsid w:val="00B75F29"/>
    <w:rsid w:val="00C3781F"/>
    <w:rsid w:val="00C40044"/>
    <w:rsid w:val="00ED13C6"/>
    <w:rsid w:val="11187B99"/>
    <w:rsid w:val="759041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90"/>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qFormat/>
    <w:uiPriority w:val="0"/>
    <w:pPr>
      <w:widowControl/>
      <w:spacing w:before="100" w:beforeAutospacing="1" w:after="100" w:afterAutospacing="1"/>
      <w:jc w:val="left"/>
      <w:outlineLvl w:val="3"/>
    </w:pPr>
    <w:rPr>
      <w:rFonts w:hint="eastAsia" w:ascii="宋体" w:hAnsi="宋体"/>
      <w:b/>
      <w:bCs/>
      <w:kern w:val="0"/>
      <w:sz w:val="24"/>
    </w:rPr>
  </w:style>
  <w:style w:type="character" w:default="1" w:styleId="14">
    <w:name w:val="Default Paragraph Font"/>
    <w:semiHidden/>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5">
    <w:name w:val="Normal Indent"/>
    <w:basedOn w:val="1"/>
    <w:semiHidden/>
    <w:uiPriority w:val="0"/>
    <w:pPr>
      <w:ind w:firstLine="420"/>
    </w:pPr>
    <w:rPr>
      <w:szCs w:val="20"/>
    </w:rPr>
  </w:style>
  <w:style w:type="paragraph" w:styleId="6">
    <w:name w:val="Body Text Indent"/>
    <w:basedOn w:val="1"/>
    <w:semiHidden/>
    <w:uiPriority w:val="0"/>
    <w:pPr>
      <w:ind w:left="416"/>
    </w:pPr>
    <w:rPr>
      <w:rFonts w:ascii="宋体" w:hAnsi="宋体"/>
      <w:szCs w:val="20"/>
    </w:rPr>
  </w:style>
  <w:style w:type="paragraph" w:styleId="7">
    <w:name w:val="Date"/>
    <w:basedOn w:val="1"/>
    <w:next w:val="1"/>
    <w:semiHidden/>
    <w:uiPriority w:val="0"/>
    <w:pPr>
      <w:ind w:left="100" w:leftChars="2500"/>
    </w:pPr>
  </w:style>
  <w:style w:type="paragraph" w:styleId="8">
    <w:name w:val="footer"/>
    <w:basedOn w:val="1"/>
    <w:semiHidden/>
    <w:uiPriority w:val="0"/>
    <w:pPr>
      <w:tabs>
        <w:tab w:val="center" w:pos="4153"/>
        <w:tab w:val="right" w:pos="8306"/>
      </w:tabs>
      <w:snapToGrid w:val="0"/>
      <w:jc w:val="left"/>
    </w:pPr>
    <w:rPr>
      <w:sz w:val="18"/>
      <w:szCs w:val="18"/>
    </w:rPr>
  </w:style>
  <w:style w:type="paragraph" w:styleId="9">
    <w:name w:val="header"/>
    <w:basedOn w:val="1"/>
    <w:semiHidden/>
    <w:uiPriority w:val="0"/>
    <w:pPr>
      <w:tabs>
        <w:tab w:val="center" w:pos="4153"/>
        <w:tab w:val="right" w:pos="8306"/>
      </w:tabs>
      <w:snapToGrid w:val="0"/>
      <w:jc w:val="center"/>
    </w:pPr>
    <w:rPr>
      <w:sz w:val="18"/>
      <w:szCs w:val="18"/>
    </w:rPr>
  </w:style>
  <w:style w:type="paragraph" w:styleId="10">
    <w:name w:val="HTML Preformatted"/>
    <w:basedOn w:val="1"/>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11">
    <w:name w:val="Normal (Web)"/>
    <w:basedOn w:val="1"/>
    <w:semiHidden/>
    <w:uiPriority w:val="0"/>
    <w:pPr>
      <w:widowControl/>
      <w:spacing w:before="100" w:beforeAutospacing="1" w:after="100" w:afterAutospacing="1"/>
      <w:jc w:val="left"/>
    </w:pPr>
    <w:rPr>
      <w:rFonts w:ascii="宋体" w:hAnsi="宋体"/>
      <w:kern w:val="0"/>
      <w:sz w:val="24"/>
    </w:rPr>
  </w:style>
  <w:style w:type="paragraph" w:styleId="12">
    <w:name w:val="Title"/>
    <w:basedOn w:val="1"/>
    <w:next w:val="1"/>
    <w:link w:val="89"/>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15">
    <w:name w:val="Strong"/>
    <w:basedOn w:val="14"/>
    <w:qFormat/>
    <w:uiPriority w:val="0"/>
    <w:rPr>
      <w:b/>
      <w:bCs/>
    </w:rPr>
  </w:style>
  <w:style w:type="character" w:styleId="16">
    <w:name w:val="page number"/>
    <w:basedOn w:val="14"/>
    <w:unhideWhenUsed/>
    <w:uiPriority w:val="99"/>
  </w:style>
  <w:style w:type="character" w:styleId="17">
    <w:name w:val="FollowedHyperlink"/>
    <w:basedOn w:val="14"/>
    <w:semiHidden/>
    <w:uiPriority w:val="0"/>
    <w:rPr>
      <w:color w:val="800080"/>
      <w:u w:val="single"/>
    </w:rPr>
  </w:style>
  <w:style w:type="character" w:styleId="18">
    <w:name w:val="Hyperlink"/>
    <w:basedOn w:val="14"/>
    <w:semiHidden/>
    <w:uiPriority w:val="0"/>
    <w:rPr>
      <w:color w:val="0000FF"/>
      <w:u w:val="single"/>
    </w:rPr>
  </w:style>
  <w:style w:type="paragraph" w:customStyle="1" w:styleId="19">
    <w:name w:val="font12"/>
    <w:basedOn w:val="1"/>
    <w:uiPriority w:val="0"/>
    <w:pPr>
      <w:widowControl/>
      <w:spacing w:before="100" w:beforeAutospacing="1" w:after="100" w:afterAutospacing="1"/>
      <w:jc w:val="left"/>
    </w:pPr>
    <w:rPr>
      <w:rFonts w:hint="eastAsia" w:ascii="宋体" w:hAnsi="宋体"/>
      <w:b/>
      <w:bCs/>
      <w:kern w:val="0"/>
      <w:szCs w:val="21"/>
      <w:u w:val="single"/>
    </w:rPr>
  </w:style>
  <w:style w:type="paragraph" w:customStyle="1" w:styleId="20">
    <w:name w:val="xl55"/>
    <w:basedOn w:val="1"/>
    <w:uiPriority w:val="0"/>
    <w:pPr>
      <w:widowControl/>
      <w:pBdr>
        <w:top w:val="single" w:color="auto" w:sz="4" w:space="0"/>
        <w:left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21">
    <w:name w:val="font8"/>
    <w:basedOn w:val="1"/>
    <w:uiPriority w:val="0"/>
    <w:pPr>
      <w:widowControl/>
      <w:spacing w:before="100" w:beforeAutospacing="1" w:after="100" w:afterAutospacing="1"/>
      <w:jc w:val="left"/>
    </w:pPr>
    <w:rPr>
      <w:rFonts w:hint="eastAsia" w:ascii="宋体" w:hAnsi="宋体"/>
      <w:kern w:val="0"/>
      <w:szCs w:val="21"/>
    </w:rPr>
  </w:style>
  <w:style w:type="paragraph" w:customStyle="1" w:styleId="22">
    <w:name w:val="xl51"/>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23">
    <w:name w:val="line18"/>
    <w:basedOn w:val="1"/>
    <w:uiPriority w:val="0"/>
    <w:pPr>
      <w:widowControl/>
      <w:spacing w:before="100" w:beforeAutospacing="1" w:after="100" w:afterAutospacing="1" w:line="270" w:lineRule="atLeast"/>
      <w:jc w:val="left"/>
    </w:pPr>
    <w:rPr>
      <w:rFonts w:ascii="_x000B__x000C_" w:hAnsi="_x000B__x000C_"/>
      <w:color w:val="333333"/>
      <w:kern w:val="0"/>
      <w:sz w:val="18"/>
      <w:szCs w:val="18"/>
    </w:rPr>
  </w:style>
  <w:style w:type="paragraph" w:customStyle="1" w:styleId="24">
    <w:name w:val="xl47"/>
    <w:basedOn w:val="1"/>
    <w:uiPriority w:val="0"/>
    <w:pPr>
      <w:widowControl/>
      <w:spacing w:before="100" w:beforeAutospacing="1" w:after="100" w:afterAutospacing="1"/>
      <w:jc w:val="center"/>
      <w:textAlignment w:val="center"/>
    </w:pPr>
    <w:rPr>
      <w:rFonts w:ascii="宋体" w:hAnsi="宋体"/>
      <w:b/>
      <w:bCs/>
      <w:kern w:val="0"/>
      <w:szCs w:val="21"/>
    </w:rPr>
  </w:style>
  <w:style w:type="paragraph" w:customStyle="1" w:styleId="25">
    <w:name w:val="xl43"/>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26">
    <w:name w:val="xl39"/>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27">
    <w:name w:val="xl35"/>
    <w:basedOn w:val="1"/>
    <w:uiPriority w:val="0"/>
    <w:pPr>
      <w:widowControl/>
      <w:pBdr>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28">
    <w:name w:val="xl3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29">
    <w:name w:val="xl27"/>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0">
    <w:name w:val="xl24"/>
    <w:basedOn w:val="1"/>
    <w:uiPriority w:val="0"/>
    <w:pPr>
      <w:widowControl/>
      <w:spacing w:before="100" w:beforeAutospacing="1" w:after="100" w:afterAutospacing="1"/>
      <w:jc w:val="center"/>
    </w:pPr>
    <w:rPr>
      <w:rFonts w:ascii="宋体" w:hAnsi="宋体"/>
      <w:b/>
      <w:bCs/>
      <w:kern w:val="0"/>
      <w:sz w:val="32"/>
      <w:szCs w:val="32"/>
    </w:rPr>
  </w:style>
  <w:style w:type="paragraph" w:customStyle="1" w:styleId="31">
    <w:name w:val="xl56"/>
    <w:basedOn w:val="1"/>
    <w:uiPriority w:val="0"/>
    <w:pPr>
      <w:widowControl/>
      <w:pBdr>
        <w:top w:val="single" w:color="auto" w:sz="4"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32">
    <w:name w:val="Plain Text"/>
    <w:basedOn w:val="1"/>
    <w:uiPriority w:val="0"/>
    <w:pPr>
      <w:adjustRightInd w:val="0"/>
      <w:textAlignment w:val="baseline"/>
    </w:pPr>
    <w:rPr>
      <w:rFonts w:ascii="宋体" w:hAnsi="Courier New"/>
      <w:szCs w:val="20"/>
    </w:rPr>
  </w:style>
  <w:style w:type="paragraph" w:customStyle="1" w:styleId="33">
    <w:name w:val="font9"/>
    <w:basedOn w:val="1"/>
    <w:uiPriority w:val="0"/>
    <w:pPr>
      <w:widowControl/>
      <w:spacing w:before="100" w:beforeAutospacing="1" w:after="100" w:afterAutospacing="1"/>
      <w:jc w:val="left"/>
    </w:pPr>
    <w:rPr>
      <w:rFonts w:hint="eastAsia" w:ascii="宋体" w:hAnsi="宋体"/>
      <w:b/>
      <w:bCs/>
      <w:kern w:val="0"/>
      <w:szCs w:val="21"/>
    </w:rPr>
  </w:style>
  <w:style w:type="paragraph" w:customStyle="1" w:styleId="34">
    <w:name w:val="xl52"/>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35">
    <w:name w:val="font5"/>
    <w:basedOn w:val="1"/>
    <w:uiPriority w:val="0"/>
    <w:pPr>
      <w:widowControl/>
      <w:spacing w:before="100" w:beforeAutospacing="1" w:after="100" w:afterAutospacing="1"/>
      <w:jc w:val="left"/>
    </w:pPr>
    <w:rPr>
      <w:rFonts w:hint="eastAsia" w:ascii="宋体" w:hAnsi="宋体"/>
      <w:b/>
      <w:bCs/>
      <w:kern w:val="0"/>
      <w:sz w:val="32"/>
      <w:szCs w:val="32"/>
    </w:rPr>
  </w:style>
  <w:style w:type="paragraph" w:customStyle="1" w:styleId="36">
    <w:name w:val="xl48"/>
    <w:basedOn w:val="1"/>
    <w:uiPriority w:val="0"/>
    <w:pPr>
      <w:widowControl/>
      <w:spacing w:before="100" w:beforeAutospacing="1" w:after="100" w:afterAutospacing="1"/>
      <w:jc w:val="center"/>
      <w:textAlignment w:val="center"/>
    </w:pPr>
    <w:rPr>
      <w:b/>
      <w:bCs/>
      <w:kern w:val="0"/>
      <w:szCs w:val="21"/>
    </w:rPr>
  </w:style>
  <w:style w:type="paragraph" w:customStyle="1" w:styleId="37">
    <w:name w:val="xl44"/>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38">
    <w:name w:val="xl40"/>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9">
    <w:name w:val="xl36"/>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0">
    <w:name w:val="xl32"/>
    <w:basedOn w:val="1"/>
    <w:uiPriority w:val="0"/>
    <w:pPr>
      <w:widowControl/>
      <w:pBdr>
        <w:top w:val="single" w:color="auto" w:sz="4" w:space="0"/>
        <w:left w:val="single" w:color="auto" w:sz="4" w:space="0"/>
        <w:bottom w:val="single" w:color="auto" w:sz="8"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41">
    <w:name w:val="xl28"/>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42">
    <w:name w:val="xl25"/>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3">
    <w:name w:val="xl57"/>
    <w:basedOn w:val="1"/>
    <w:uiPriority w:val="0"/>
    <w:pPr>
      <w:widowControl/>
      <w:pBdr>
        <w:top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44">
    <w:name w:val="font10"/>
    <w:basedOn w:val="1"/>
    <w:uiPriority w:val="0"/>
    <w:pPr>
      <w:widowControl/>
      <w:spacing w:before="100" w:beforeAutospacing="1" w:after="100" w:afterAutospacing="1"/>
      <w:jc w:val="left"/>
    </w:pPr>
    <w:rPr>
      <w:kern w:val="0"/>
      <w:szCs w:val="21"/>
    </w:rPr>
  </w:style>
  <w:style w:type="paragraph" w:customStyle="1" w:styleId="45">
    <w:name w:val="xl53"/>
    <w:basedOn w:val="1"/>
    <w:uiPriority w:val="0"/>
    <w:pPr>
      <w:widowControl/>
      <w:pBdr>
        <w:top w:val="double" w:color="auto" w:sz="6" w:space="0"/>
        <w:bottom w:val="single" w:color="auto" w:sz="4" w:space="0"/>
      </w:pBdr>
      <w:spacing w:before="100" w:beforeAutospacing="1" w:after="100" w:afterAutospacing="1"/>
      <w:jc w:val="left"/>
      <w:textAlignment w:val="center"/>
    </w:pPr>
    <w:rPr>
      <w:rFonts w:ascii="宋体" w:hAnsi="宋体"/>
      <w:b/>
      <w:bCs/>
      <w:kern w:val="0"/>
      <w:szCs w:val="21"/>
      <w:u w:val="single"/>
    </w:rPr>
  </w:style>
  <w:style w:type="paragraph" w:customStyle="1" w:styleId="46">
    <w:name w:val="font6"/>
    <w:basedOn w:val="1"/>
    <w:uiPriority w:val="0"/>
    <w:pPr>
      <w:widowControl/>
      <w:spacing w:before="100" w:beforeAutospacing="1" w:after="100" w:afterAutospacing="1"/>
      <w:jc w:val="left"/>
    </w:pPr>
    <w:rPr>
      <w:b/>
      <w:bCs/>
      <w:kern w:val="0"/>
      <w:sz w:val="32"/>
      <w:szCs w:val="32"/>
    </w:rPr>
  </w:style>
  <w:style w:type="paragraph" w:customStyle="1" w:styleId="47">
    <w:name w:val="xl49"/>
    <w:basedOn w:val="1"/>
    <w:uiPriority w:val="0"/>
    <w:pPr>
      <w:widowControl/>
      <w:spacing w:before="100" w:beforeAutospacing="1" w:after="100" w:afterAutospacing="1"/>
      <w:jc w:val="center"/>
      <w:textAlignment w:val="center"/>
    </w:pPr>
    <w:rPr>
      <w:kern w:val="0"/>
      <w:szCs w:val="21"/>
    </w:rPr>
  </w:style>
  <w:style w:type="paragraph" w:customStyle="1" w:styleId="48">
    <w:name w:val="xl45"/>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center"/>
      <w:textAlignment w:val="center"/>
    </w:pPr>
    <w:rPr>
      <w:kern w:val="0"/>
      <w:szCs w:val="21"/>
    </w:rPr>
  </w:style>
  <w:style w:type="paragraph" w:customStyle="1" w:styleId="49">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Cs w:val="21"/>
    </w:rPr>
  </w:style>
  <w:style w:type="paragraph" w:customStyle="1" w:styleId="50">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1">
    <w:name w:val="xl33"/>
    <w:basedOn w:val="1"/>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52">
    <w:name w:val="xl29"/>
    <w:basedOn w:val="1"/>
    <w:uiPriority w:val="0"/>
    <w:pPr>
      <w:widowControl/>
      <w:pBdr>
        <w:top w:val="single" w:color="auto" w:sz="4" w:space="0"/>
        <w:left w:val="double" w:color="auto" w:sz="6"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3">
    <w:name w:val="xl26"/>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54">
    <w:name w:val="xl58"/>
    <w:basedOn w:val="1"/>
    <w:uiPriority w:val="0"/>
    <w:pPr>
      <w:widowControl/>
      <w:pBdr>
        <w:top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55">
    <w:name w:val="font11"/>
    <w:basedOn w:val="1"/>
    <w:uiPriority w:val="0"/>
    <w:pPr>
      <w:widowControl/>
      <w:spacing w:before="100" w:beforeAutospacing="1" w:after="100" w:afterAutospacing="1"/>
      <w:jc w:val="left"/>
    </w:pPr>
    <w:rPr>
      <w:b/>
      <w:bCs/>
      <w:kern w:val="0"/>
      <w:szCs w:val="21"/>
    </w:rPr>
  </w:style>
  <w:style w:type="paragraph" w:customStyle="1" w:styleId="56">
    <w:name w:val="xl54"/>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rFonts w:ascii="宋体" w:hAnsi="宋体"/>
      <w:b/>
      <w:bCs/>
      <w:kern w:val="0"/>
      <w:szCs w:val="21"/>
      <w:u w:val="single"/>
    </w:rPr>
  </w:style>
  <w:style w:type="paragraph" w:customStyle="1" w:styleId="57">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58">
    <w:name w:val="xl50"/>
    <w:basedOn w:val="1"/>
    <w:uiPriority w:val="0"/>
    <w:pPr>
      <w:widowControl/>
      <w:pBdr>
        <w:top w:val="double" w:color="auto" w:sz="6" w:space="0"/>
        <w:bottom w:val="double" w:color="auto" w:sz="6" w:space="0"/>
      </w:pBdr>
      <w:spacing w:before="100" w:beforeAutospacing="1" w:after="100" w:afterAutospacing="1"/>
      <w:jc w:val="center"/>
      <w:textAlignment w:val="center"/>
    </w:pPr>
    <w:rPr>
      <w:kern w:val="0"/>
      <w:szCs w:val="21"/>
    </w:rPr>
  </w:style>
  <w:style w:type="paragraph" w:customStyle="1" w:styleId="59">
    <w:name w:val="xl46"/>
    <w:basedOn w:val="1"/>
    <w:uiPriority w:val="0"/>
    <w:pPr>
      <w:widowControl/>
      <w:pBdr>
        <w:lef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60">
    <w:name w:val="xl42"/>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61">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62">
    <w:name w:val="xl3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63">
    <w:name w:val="xl3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64">
    <w:name w:val="xl6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5">
    <w:name w:val="xl59"/>
    <w:basedOn w:val="1"/>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66">
    <w:name w:val="xl60"/>
    <w:basedOn w:val="1"/>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67">
    <w:name w:val="xl61"/>
    <w:basedOn w:val="1"/>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b/>
      <w:bCs/>
      <w:kern w:val="0"/>
      <w:szCs w:val="21"/>
    </w:rPr>
  </w:style>
  <w:style w:type="paragraph" w:customStyle="1" w:styleId="68">
    <w:name w:val="xl62"/>
    <w:basedOn w:val="1"/>
    <w:uiPriority w:val="0"/>
    <w:pPr>
      <w:widowControl/>
      <w:pBdr>
        <w:top w:val="single" w:color="auto" w:sz="4" w:space="0"/>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9">
    <w:name w:val="xl64"/>
    <w:basedOn w:val="1"/>
    <w:uiPriority w:val="0"/>
    <w:pPr>
      <w:widowControl/>
      <w:pBdr>
        <w:top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70">
    <w:name w:val="xl65"/>
    <w:basedOn w:val="1"/>
    <w:uiPriority w:val="0"/>
    <w:pPr>
      <w:widowControl/>
      <w:pBdr>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71">
    <w:name w:val="xl66"/>
    <w:basedOn w:val="1"/>
    <w:uiPriority w:val="0"/>
    <w:pPr>
      <w:widowControl/>
      <w:pBdr>
        <w:left w:val="double" w:color="auto" w:sz="6"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72">
    <w:name w:val="xl67"/>
    <w:basedOn w:val="1"/>
    <w:uiPriority w:val="0"/>
    <w:pPr>
      <w:widowControl/>
      <w:pBdr>
        <w:top w:val="single" w:color="auto" w:sz="4"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73">
    <w:name w:val="xl68"/>
    <w:basedOn w:val="1"/>
    <w:uiPriority w:val="0"/>
    <w:pPr>
      <w:widowControl/>
      <w:pBdr>
        <w:top w:val="single" w:color="auto" w:sz="4" w:space="0"/>
        <w:bottom w:val="double" w:color="auto" w:sz="6"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74">
    <w:name w:val="xl69"/>
    <w:basedOn w:val="1"/>
    <w:uiPriority w:val="0"/>
    <w:pPr>
      <w:widowControl/>
      <w:spacing w:before="100" w:beforeAutospacing="1" w:after="100" w:afterAutospacing="1"/>
      <w:jc w:val="center"/>
      <w:textAlignment w:val="center"/>
    </w:pPr>
    <w:rPr>
      <w:rFonts w:ascii="宋体" w:hAnsi="宋体"/>
      <w:kern w:val="0"/>
      <w:szCs w:val="21"/>
    </w:rPr>
  </w:style>
  <w:style w:type="paragraph" w:customStyle="1" w:styleId="75">
    <w:name w:val="xl70"/>
    <w:basedOn w:val="1"/>
    <w:uiPriority w:val="0"/>
    <w:pPr>
      <w:widowControl/>
      <w:pBdr>
        <w:bottom w:val="double" w:color="auto" w:sz="6" w:space="0"/>
      </w:pBdr>
      <w:spacing w:before="100" w:beforeAutospacing="1" w:after="100" w:afterAutospacing="1"/>
      <w:jc w:val="center"/>
      <w:textAlignment w:val="center"/>
    </w:pPr>
    <w:rPr>
      <w:rFonts w:ascii="宋体" w:hAnsi="宋体"/>
      <w:b/>
      <w:bCs/>
      <w:kern w:val="0"/>
      <w:sz w:val="28"/>
      <w:szCs w:val="28"/>
    </w:rPr>
  </w:style>
  <w:style w:type="paragraph" w:customStyle="1" w:styleId="76">
    <w:name w:val="xl71"/>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7">
    <w:name w:val="xl72"/>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8">
    <w:name w:val="xl73"/>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Cs w:val="21"/>
    </w:rPr>
  </w:style>
  <w:style w:type="paragraph" w:customStyle="1" w:styleId="79">
    <w:name w:val="xl74"/>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top"/>
    </w:pPr>
    <w:rPr>
      <w:rFonts w:ascii="宋体" w:hAnsi="宋体"/>
      <w:b/>
      <w:bCs/>
      <w:kern w:val="0"/>
      <w:szCs w:val="21"/>
    </w:rPr>
  </w:style>
  <w:style w:type="paragraph" w:customStyle="1" w:styleId="80">
    <w:name w:val="xl75"/>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8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83">
    <w:name w:val="xl78"/>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84">
    <w:name w:val="xl79"/>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5">
    <w:name w:val="xl80"/>
    <w:basedOn w:val="1"/>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6">
    <w:name w:val="xl81"/>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87">
    <w:name w:val="xl82"/>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88">
    <w:name w:val="xl83"/>
    <w:basedOn w:val="1"/>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top"/>
    </w:pPr>
    <w:rPr>
      <w:rFonts w:ascii="宋体" w:hAnsi="宋体"/>
      <w:kern w:val="0"/>
      <w:szCs w:val="21"/>
    </w:rPr>
  </w:style>
  <w:style w:type="character" w:customStyle="1" w:styleId="89">
    <w:name w:val="标题 Char"/>
    <w:basedOn w:val="14"/>
    <w:link w:val="12"/>
    <w:uiPriority w:val="0"/>
    <w:rPr>
      <w:rFonts w:ascii="Cambria" w:hAnsi="Cambria"/>
      <w:b/>
      <w:bCs/>
      <w:sz w:val="32"/>
      <w:szCs w:val="32"/>
    </w:rPr>
  </w:style>
  <w:style w:type="character" w:customStyle="1" w:styleId="90">
    <w:name w:val="标题 1 Char"/>
    <w:basedOn w:val="14"/>
    <w:link w:val="2"/>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MON1~1.000\LOCALS~1\Temp\Rar$DI00.083\h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hr</Template>
  <Company>Gloucester Waalker</Company>
  <Pages>5</Pages>
  <Words>398</Words>
  <Characters>2270</Characters>
  <Lines>18</Lines>
  <Paragraphs>5</Paragraphs>
  <TotalTime>0</TotalTime>
  <ScaleCrop>false</ScaleCrop>
  <LinksUpToDate>false</LinksUpToDate>
  <CharactersWithSpaces>2663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2019-04-08T10:19:00Z</dcterms:created>
  <dc:creator>simon</dc:creator>
  <cp:lastModifiedBy>Administrator</cp:lastModifiedBy>
  <dcterms:modified xsi:type="dcterms:W3CDTF">2019-10-18T02:37:34Z</dcterms:modified>
  <dc:title>关于中国人力资源网介绍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