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tabs>
          <w:tab w:val="left" w:pos="993"/>
        </w:tabs>
        <w:kinsoku/>
        <w:wordWrap/>
        <w:overflowPunct/>
        <w:topLinePunct w:val="0"/>
        <w:autoSpaceDE/>
        <w:autoSpaceDN/>
        <w:bidi w:val="0"/>
        <w:adjustRightInd w:val="0"/>
        <w:snapToGrid/>
        <w:spacing w:before="313" w:beforeLines="100" w:after="312" w:afterLines="100" w:line="360" w:lineRule="auto"/>
        <w:textAlignment w:val="baseline"/>
        <w:rPr>
          <w:rFonts w:ascii="楷体" w:hAnsi="楷体" w:eastAsia="楷体"/>
          <w:bCs w:val="0"/>
          <w:color w:val="000000"/>
          <w:sz w:val="24"/>
        </w:rPr>
      </w:pPr>
      <w:r>
        <w:rPr>
          <w:rFonts w:hint="eastAsia" w:ascii="SimHei" w:hAnsi="SimHei" w:eastAsia="黑体"/>
          <w:color w:val="000000"/>
          <w:sz w:val="36"/>
        </w:rPr>
        <w:t>公司</w:t>
      </w:r>
      <w:r>
        <w:rPr>
          <w:rFonts w:ascii="SimHei" w:hAnsi="SimHei" w:eastAsia="黑体"/>
          <w:color w:val="000000"/>
          <w:sz w:val="36"/>
        </w:rPr>
        <w:t>津贴及</w:t>
      </w:r>
      <w:bookmarkStart w:id="0" w:name="_GoBack"/>
      <w:bookmarkEnd w:id="0"/>
      <w:r>
        <w:rPr>
          <w:rFonts w:ascii="SimHei" w:hAnsi="SimHei" w:eastAsia="黑体"/>
          <w:color w:val="000000"/>
          <w:sz w:val="36"/>
        </w:rPr>
        <w:t>奖金制度</w:t>
      </w:r>
    </w:p>
    <w:p>
      <w:pPr>
        <w:pStyle w:val="2"/>
        <w:tabs>
          <w:tab w:val="left" w:pos="993"/>
        </w:tabs>
        <w:spacing w:before="0" w:after="0" w:line="360" w:lineRule="auto"/>
        <w:ind w:firstLine="424" w:firstLineChars="151"/>
        <w:rPr>
          <w:rFonts w:ascii="楷体" w:hAnsi="宋体" w:eastAsia="楷体"/>
          <w:color w:val="000000"/>
          <w:sz w:val="28"/>
          <w:szCs w:val="21"/>
        </w:rPr>
      </w:pPr>
      <w:r>
        <w:rPr>
          <w:rFonts w:ascii="SimHei" w:hAnsi="SimHei" w:eastAsia="黑体"/>
          <w:color w:val="000000"/>
          <w:sz w:val="28"/>
          <w:szCs w:val="21"/>
        </w:rPr>
        <w:t>一、公司津贴制度</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□住宅津贴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第一条</w:t>
      </w:r>
      <w:r>
        <w:rPr>
          <w:rFonts w:hint="eastAsia" w:ascii="SimHei" w:hAnsi="SimHei" w:eastAsia="黑体"/>
          <w:color w:val="000000"/>
          <w:sz w:val="24"/>
          <w:szCs w:val="21"/>
        </w:rPr>
        <w:t xml:space="preserve">  </w:t>
      </w:r>
      <w:r>
        <w:rPr>
          <w:rFonts w:ascii="SimHei" w:hAnsi="SimHei" w:eastAsia="黑体"/>
          <w:color w:val="000000"/>
          <w:sz w:val="24"/>
          <w:szCs w:val="21"/>
        </w:rPr>
        <w:t>领取资格</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在公司住宅、宿舍及其他公司设施以外居住的公司职工，自_______年_______月起，按下列标准领取住宅津贴。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第二条</w:t>
      </w:r>
      <w:r>
        <w:rPr>
          <w:rFonts w:hint="eastAsia" w:ascii="SimHei" w:hAnsi="SimHei" w:eastAsia="黑体"/>
          <w:color w:val="000000"/>
          <w:sz w:val="24"/>
          <w:szCs w:val="21"/>
        </w:rPr>
        <w:t xml:space="preserve">  </w:t>
      </w:r>
      <w:r>
        <w:rPr>
          <w:rFonts w:ascii="SimHei" w:hAnsi="SimHei" w:eastAsia="黑体"/>
          <w:color w:val="000000"/>
          <w:sz w:val="24"/>
          <w:szCs w:val="21"/>
        </w:rPr>
        <w:t>津贴额</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住宅津贴按下列分类分别确定其津贴额。</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(一)本人是户主</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1.有抚养家属，共同居住</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(1)租借房屋每月津贴_______元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(2)自有房屋每月津贴_______元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2.无抚养家属(单身)</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(1)租借房屋每月津贴_______元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(2)自有房屋每月津贴_______元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(二)本人不是户主</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1.所抚养家属为户主时</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(1)租借房屋每月津贴_______元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(2)自有房屋每月津贴_______元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2.所抚养家属不是户主时</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(1)租借房屋每月津贴_______元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(2)自有房屋每月津贴_______元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3.无抚养家属时</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(1)租借房屋每月津贴_______元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(2)自有房屋每月津贴_______元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(三)购、建私房津贴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1.本人是户主</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(1)有抚养家属者以_______元为限</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(2)无抚养家属者以_______元为限</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2.本人不是户主</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(1)有抚养家属者以_______元为限</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(2)无抚养家属者以_______元为限</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第三条</w:t>
      </w:r>
      <w:r>
        <w:rPr>
          <w:rFonts w:hint="eastAsia" w:ascii="SimHei" w:hAnsi="SimHei" w:eastAsia="黑体"/>
          <w:color w:val="000000"/>
          <w:sz w:val="24"/>
          <w:szCs w:val="21"/>
        </w:rPr>
        <w:t xml:space="preserve">  </w:t>
      </w:r>
      <w:r>
        <w:rPr>
          <w:rFonts w:ascii="SimHei" w:hAnsi="SimHei" w:eastAsia="黑体"/>
          <w:color w:val="000000"/>
          <w:sz w:val="24"/>
          <w:szCs w:val="21"/>
        </w:rPr>
        <w:t>住宅津贴的发放和停止</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住宅津贴从职工成为领取住宅津贴的对象当月开始发放，在职工不符合领取条件时停止发放。</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第四条</w:t>
      </w:r>
      <w:r>
        <w:rPr>
          <w:rFonts w:hint="eastAsia" w:ascii="SimHei" w:hAnsi="SimHei" w:eastAsia="黑体"/>
          <w:color w:val="000000"/>
          <w:sz w:val="24"/>
          <w:szCs w:val="21"/>
        </w:rPr>
        <w:t xml:space="preserve">  </w:t>
      </w:r>
      <w:r>
        <w:rPr>
          <w:rFonts w:ascii="SimHei" w:hAnsi="SimHei" w:eastAsia="黑体"/>
          <w:color w:val="000000"/>
          <w:sz w:val="24"/>
          <w:szCs w:val="21"/>
        </w:rPr>
        <w:t>领取手续</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希望领取住宅津贴的职工，事先必须将“家属关系证明书”及有关住房情况的材料提交给本单位领导，请他们代转交给总务处。</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第五条</w:t>
      </w:r>
      <w:r>
        <w:rPr>
          <w:rFonts w:hint="eastAsia" w:ascii="SimHei" w:hAnsi="SimHei" w:eastAsia="黑体"/>
          <w:color w:val="000000"/>
          <w:sz w:val="24"/>
          <w:szCs w:val="21"/>
        </w:rPr>
        <w:t xml:space="preserve">  </w:t>
      </w:r>
      <w:r>
        <w:rPr>
          <w:rFonts w:ascii="SimHei" w:hAnsi="SimHei" w:eastAsia="黑体"/>
          <w:color w:val="000000"/>
          <w:sz w:val="24"/>
          <w:szCs w:val="21"/>
        </w:rPr>
        <w:t>确认</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根据第四条中记载的提交材料，本单位负责人及总务处负责人需要确认该职工领取住宅津贴的资格及住宅津贴的金额，填写住宅津贴确认表。</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第六条</w:t>
      </w:r>
      <w:r>
        <w:rPr>
          <w:rFonts w:hint="eastAsia" w:ascii="SimHei" w:hAnsi="SimHei" w:eastAsia="黑体"/>
          <w:color w:val="000000"/>
          <w:sz w:val="24"/>
          <w:szCs w:val="21"/>
        </w:rPr>
        <w:t xml:space="preserve">  </w:t>
      </w:r>
      <w:r>
        <w:rPr>
          <w:rFonts w:ascii="SimHei" w:hAnsi="SimHei" w:eastAsia="黑体"/>
          <w:color w:val="000000"/>
          <w:sz w:val="24"/>
          <w:szCs w:val="21"/>
        </w:rPr>
        <w:t>确认过程中的有关调查</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公司在审核职工提交的有关资料时，根据需要，可要求职工进一步提交有关辅助资料(如租房契约、交房租收据等)，对事实进行确认性调查。</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第七条</w:t>
      </w:r>
      <w:r>
        <w:rPr>
          <w:rFonts w:hint="eastAsia" w:ascii="SimHei" w:hAnsi="SimHei" w:eastAsia="黑体"/>
          <w:color w:val="000000"/>
          <w:sz w:val="24"/>
          <w:szCs w:val="21"/>
        </w:rPr>
        <w:t xml:space="preserve">  </w:t>
      </w:r>
      <w:r>
        <w:rPr>
          <w:rFonts w:ascii="SimHei" w:hAnsi="SimHei" w:eastAsia="黑体"/>
          <w:color w:val="000000"/>
          <w:sz w:val="24"/>
          <w:szCs w:val="21"/>
        </w:rPr>
        <w:t>领取条件发生变动时的手续</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当住宅津贴的领取条件发生变动时，本人必须及时向本单位领导提交有关材料，并请他们代转交给总务处。</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□特别工作津贴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第八条</w:t>
      </w:r>
      <w:r>
        <w:rPr>
          <w:rFonts w:hint="eastAsia" w:ascii="SimHei" w:hAnsi="SimHei" w:eastAsia="黑体"/>
          <w:color w:val="000000"/>
          <w:sz w:val="24"/>
          <w:szCs w:val="21"/>
        </w:rPr>
        <w:t xml:space="preserve">  </w:t>
      </w:r>
      <w:r>
        <w:rPr>
          <w:rFonts w:ascii="SimHei" w:hAnsi="SimHei" w:eastAsia="黑体"/>
          <w:color w:val="000000"/>
          <w:sz w:val="24"/>
          <w:szCs w:val="21"/>
        </w:rPr>
        <w:t>领取资格</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对于从事化学制品的生产和试验研究者，按下列标准支付特别工作津贴。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第九条</w:t>
      </w:r>
      <w:r>
        <w:rPr>
          <w:rFonts w:hint="eastAsia" w:ascii="SimHei" w:hAnsi="SimHei" w:eastAsia="黑体"/>
          <w:color w:val="000000"/>
          <w:sz w:val="24"/>
          <w:szCs w:val="21"/>
        </w:rPr>
        <w:t xml:space="preserve">  </w:t>
      </w:r>
      <w:r>
        <w:rPr>
          <w:rFonts w:ascii="SimHei" w:hAnsi="SimHei" w:eastAsia="黑体"/>
          <w:color w:val="000000"/>
          <w:sz w:val="24"/>
          <w:szCs w:val="21"/>
        </w:rPr>
        <w:t>专职从事化学制品生产者</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对于专职从事化学制品生产的人员，每月发给特别工作津贴</w:t>
      </w:r>
      <w:r>
        <w:rPr>
          <w:rFonts w:hint="eastAsia" w:ascii="SimHei" w:hAnsi="SimHei" w:eastAsia="黑体"/>
          <w:color w:val="000000"/>
          <w:sz w:val="24"/>
          <w:szCs w:val="21"/>
        </w:rPr>
        <w:t>__</w:t>
      </w:r>
      <w:r>
        <w:rPr>
          <w:rFonts w:ascii="SimHei" w:hAnsi="SimHei" w:eastAsia="黑体"/>
          <w:color w:val="000000"/>
          <w:sz w:val="24"/>
          <w:szCs w:val="21"/>
        </w:rPr>
        <w:t>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第十条</w:t>
      </w:r>
      <w:r>
        <w:rPr>
          <w:rFonts w:hint="eastAsia" w:ascii="SimHei" w:hAnsi="SimHei" w:eastAsia="黑体"/>
          <w:color w:val="000000"/>
          <w:sz w:val="24"/>
          <w:szCs w:val="21"/>
        </w:rPr>
        <w:t xml:space="preserve">  </w:t>
      </w:r>
      <w:r>
        <w:rPr>
          <w:rFonts w:ascii="SimHei" w:hAnsi="SimHei" w:eastAsia="黑体"/>
          <w:color w:val="000000"/>
          <w:sz w:val="24"/>
          <w:szCs w:val="21"/>
        </w:rPr>
        <w:t>兼职从事化学制品生产者</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上一条专职从事化学制品生产以外者，按下列标准支付特别工作津贴：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(一)试验研究部门或协助生产化学制品的人员，其从事化学制品生产或试验研究的时间比率(实际从事化学制品生产或试验研究的时间占一个月的全部工作时间的百分比)及相对应的特别工作津贴如下所示：</w:t>
      </w:r>
    </w:p>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从事化学制品生产或试验研究的时间比率</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特别工作津贴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不到10%的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10%以上，不到15%的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15%以上，不到30%的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30%以上，不到50%的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50%以上，不到70%的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4691"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70%以上的</w:t>
            </w:r>
          </w:p>
        </w:tc>
        <w:tc>
          <w:tcPr>
            <w:tcW w:w="3443"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每月元</w:t>
            </w:r>
          </w:p>
        </w:tc>
      </w:tr>
    </w:tbl>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(二)在上述计算标准中，生产部门和试验研究部门没有区别。工作时间比率由该部门负责人按工作考勤计算。</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(三)特别工作津贴的奖金标准额，为半年(上半年或下半年)特别工作津贴的月平均额，每半年发放一次。</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□锅炉操作津贴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第十一条</w:t>
      </w:r>
      <w:r>
        <w:rPr>
          <w:rFonts w:hint="eastAsia" w:ascii="SimHei" w:hAnsi="SimHei" w:eastAsia="黑体"/>
          <w:color w:val="000000"/>
          <w:sz w:val="24"/>
          <w:szCs w:val="21"/>
        </w:rPr>
        <w:t xml:space="preserve">  </w:t>
      </w:r>
      <w:r>
        <w:rPr>
          <w:rFonts w:ascii="SimHei" w:hAnsi="SimHei" w:eastAsia="黑体"/>
          <w:color w:val="000000"/>
          <w:sz w:val="24"/>
          <w:szCs w:val="21"/>
        </w:rPr>
        <w:t>领取资格</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对于有锅炉操作的资格并实际从事锅炉操作的人员，按下列标准支付锅炉操作津贴。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第十二条</w:t>
      </w:r>
      <w:r>
        <w:rPr>
          <w:rFonts w:hint="eastAsia" w:ascii="SimHei" w:hAnsi="SimHei" w:eastAsia="黑体"/>
          <w:color w:val="000000"/>
          <w:sz w:val="24"/>
          <w:szCs w:val="21"/>
        </w:rPr>
        <w:t xml:space="preserve">  </w:t>
      </w:r>
      <w:r>
        <w:rPr>
          <w:rFonts w:ascii="SimHei" w:hAnsi="SimHei" w:eastAsia="黑体"/>
          <w:color w:val="000000"/>
          <w:sz w:val="24"/>
          <w:szCs w:val="21"/>
        </w:rPr>
        <w:t>专职锅炉工</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对于专职锅炉工，每月发给锅炉操作津贴_______元。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第十三条</w:t>
      </w:r>
      <w:r>
        <w:rPr>
          <w:rFonts w:hint="eastAsia" w:ascii="SimHei" w:hAnsi="SimHei" w:eastAsia="黑体"/>
          <w:color w:val="000000"/>
          <w:sz w:val="24"/>
          <w:szCs w:val="21"/>
        </w:rPr>
        <w:t xml:space="preserve">  </w:t>
      </w:r>
      <w:r>
        <w:rPr>
          <w:rFonts w:ascii="SimHei" w:hAnsi="SimHei" w:eastAsia="黑体"/>
          <w:color w:val="000000"/>
          <w:sz w:val="24"/>
          <w:szCs w:val="21"/>
        </w:rPr>
        <w:t>兼职锅炉工</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因专职锅炉工休假、缺勤或其他原因，由兼职人员从事锅炉操作时，按下列标准支付锅炉操作津贴。</w:t>
      </w:r>
    </w:p>
    <w:p>
      <w:pPr>
        <w:pStyle w:val="10"/>
        <w:numPr>
          <w:ilvl w:val="0"/>
          <w:numId w:val="1"/>
        </w:numPr>
        <w:tabs>
          <w:tab w:val="left" w:pos="851"/>
          <w:tab w:val="left" w:pos="993"/>
          <w:tab w:val="clear" w:pos="832"/>
          <w:tab w:val="clear" w:pos="916"/>
        </w:tabs>
        <w:spacing w:line="360" w:lineRule="auto"/>
        <w:ind w:left="0" w:firstLine="480" w:firstLineChars="200"/>
        <w:jc w:val="both"/>
        <w:rPr>
          <w:rFonts w:hint="eastAsia" w:ascii="楷体" w:hAnsi="楷体" w:eastAsia="楷体"/>
          <w:color w:val="000000"/>
          <w:sz w:val="24"/>
          <w:szCs w:val="21"/>
        </w:rPr>
      </w:pPr>
      <w:r>
        <w:rPr>
          <w:rFonts w:ascii="SimHei" w:hAnsi="SimHei" w:eastAsia="黑体"/>
          <w:color w:val="000000"/>
          <w:sz w:val="24"/>
          <w:szCs w:val="21"/>
        </w:rPr>
        <w:t>兼职人员从事锅炉操作的时间比率及锅炉操作津贴：</w:t>
      </w:r>
    </w:p>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从事锅炉操作的时间</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锅炉操作津贴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不到月总工作时间的10%的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10%以上，不到15%的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15%以上，不到30%的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30%以上，不到50%的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50%以上，不到70%的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70%以上的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bl>
    <w:p>
      <w:pPr>
        <w:pStyle w:val="10"/>
        <w:numPr>
          <w:ilvl w:val="0"/>
          <w:numId w:val="1"/>
        </w:numPr>
        <w:tabs>
          <w:tab w:val="left" w:pos="851"/>
          <w:tab w:val="left" w:pos="993"/>
          <w:tab w:val="clear" w:pos="832"/>
          <w:tab w:val="clear" w:pos="916"/>
        </w:tabs>
        <w:spacing w:line="360" w:lineRule="auto"/>
        <w:ind w:left="0" w:firstLine="480" w:firstLineChars="200"/>
        <w:jc w:val="both"/>
        <w:rPr>
          <w:rFonts w:ascii="楷体" w:hAnsi="楷体" w:eastAsia="楷体"/>
          <w:color w:val="000000"/>
          <w:sz w:val="24"/>
          <w:szCs w:val="21"/>
        </w:rPr>
      </w:pPr>
      <w:r>
        <w:rPr>
          <w:rFonts w:ascii="SimHei" w:hAnsi="SimHei" w:eastAsia="黑体"/>
          <w:color w:val="000000"/>
          <w:sz w:val="24"/>
          <w:szCs w:val="21"/>
        </w:rPr>
        <w:t>工作时间比率由该部门负责人按工作考勤计算。</w:t>
      </w:r>
    </w:p>
    <w:p>
      <w:pPr>
        <w:pStyle w:val="10"/>
        <w:numPr>
          <w:ilvl w:val="0"/>
          <w:numId w:val="1"/>
        </w:numPr>
        <w:tabs>
          <w:tab w:val="left" w:pos="851"/>
          <w:tab w:val="left" w:pos="993"/>
          <w:tab w:val="clear" w:pos="832"/>
          <w:tab w:val="clear" w:pos="916"/>
        </w:tabs>
        <w:spacing w:line="360" w:lineRule="auto"/>
        <w:ind w:left="0" w:firstLine="480" w:firstLineChars="200"/>
        <w:jc w:val="both"/>
        <w:rPr>
          <w:rFonts w:ascii="楷体" w:hAnsi="楷体" w:eastAsia="楷体"/>
          <w:color w:val="000000"/>
          <w:sz w:val="24"/>
          <w:szCs w:val="21"/>
        </w:rPr>
      </w:pPr>
      <w:r>
        <w:rPr>
          <w:rFonts w:ascii="SimHei" w:hAnsi="SimHei" w:eastAsia="黑体"/>
          <w:color w:val="000000"/>
          <w:sz w:val="24"/>
          <w:szCs w:val="21"/>
        </w:rPr>
        <w:t>锅炉操作津贴的奖金标准额的计算，以第十条第</w:t>
      </w:r>
      <w:r>
        <w:rPr>
          <w:rFonts w:hint="eastAsia" w:ascii="SimHei" w:hAnsi="SimHei" w:eastAsia="黑体"/>
          <w:color w:val="000000"/>
          <w:sz w:val="24"/>
          <w:szCs w:val="21"/>
        </w:rPr>
        <w:t>三</w:t>
      </w:r>
      <w:r>
        <w:rPr>
          <w:rFonts w:ascii="SimHei" w:hAnsi="SimHei" w:eastAsia="黑体"/>
          <w:color w:val="000000"/>
          <w:sz w:val="24"/>
          <w:szCs w:val="21"/>
        </w:rPr>
        <w:t>项的规定为依据。</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□电话交换津贴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第十四条</w:t>
      </w:r>
      <w:r>
        <w:rPr>
          <w:rFonts w:hint="eastAsia" w:ascii="SimHei" w:hAnsi="SimHei" w:eastAsia="黑体"/>
          <w:color w:val="000000"/>
          <w:sz w:val="24"/>
          <w:szCs w:val="21"/>
        </w:rPr>
        <w:t xml:space="preserve">  </w:t>
      </w:r>
      <w:r>
        <w:rPr>
          <w:rFonts w:ascii="SimHei" w:hAnsi="SimHei" w:eastAsia="黑体"/>
          <w:color w:val="000000"/>
          <w:sz w:val="24"/>
          <w:szCs w:val="21"/>
        </w:rPr>
        <w:t>领取资格</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对于从事电话交换工作的人员，按下列标准支付电话交换津贴。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第十五条</w:t>
      </w:r>
      <w:r>
        <w:rPr>
          <w:rFonts w:hint="eastAsia" w:ascii="SimHei" w:hAnsi="SimHei" w:eastAsia="黑体"/>
          <w:color w:val="000000"/>
          <w:sz w:val="24"/>
          <w:szCs w:val="21"/>
        </w:rPr>
        <w:t xml:space="preserve">  </w:t>
      </w:r>
      <w:r>
        <w:rPr>
          <w:rFonts w:ascii="SimHei" w:hAnsi="SimHei" w:eastAsia="黑体"/>
          <w:color w:val="000000"/>
          <w:sz w:val="24"/>
          <w:szCs w:val="21"/>
        </w:rPr>
        <w:t>专职电话交换员</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对于专职电话交换员，每月发给电话交换津贴_______元。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第十六条</w:t>
      </w:r>
      <w:r>
        <w:rPr>
          <w:rFonts w:hint="eastAsia" w:ascii="SimHei" w:hAnsi="SimHei" w:eastAsia="黑体"/>
          <w:color w:val="000000"/>
          <w:sz w:val="24"/>
          <w:szCs w:val="21"/>
        </w:rPr>
        <w:t xml:space="preserve">  </w:t>
      </w:r>
      <w:r>
        <w:rPr>
          <w:rFonts w:ascii="SimHei" w:hAnsi="SimHei" w:eastAsia="黑体"/>
          <w:color w:val="000000"/>
          <w:sz w:val="24"/>
          <w:szCs w:val="21"/>
        </w:rPr>
        <w:t>兼职电话交换员</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因专职电话交换员休假、缺勤或其他原因，由兼职人员从事电话交换时，按下列标准支付电话交换津贴。</w:t>
      </w:r>
    </w:p>
    <w:p>
      <w:pPr>
        <w:pStyle w:val="10"/>
        <w:numPr>
          <w:ilvl w:val="0"/>
          <w:numId w:val="2"/>
        </w:numPr>
        <w:tabs>
          <w:tab w:val="left" w:pos="0"/>
          <w:tab w:val="left" w:pos="851"/>
          <w:tab w:val="left" w:pos="993"/>
          <w:tab w:val="clear" w:pos="832"/>
          <w:tab w:val="clear" w:pos="916"/>
          <w:tab w:val="clear" w:pos="1832"/>
        </w:tabs>
        <w:spacing w:line="360" w:lineRule="auto"/>
        <w:ind w:left="0" w:firstLine="480" w:firstLineChars="200"/>
        <w:jc w:val="both"/>
        <w:rPr>
          <w:rFonts w:hint="eastAsia" w:ascii="楷体" w:hAnsi="楷体" w:eastAsia="楷体"/>
          <w:color w:val="000000"/>
          <w:sz w:val="24"/>
          <w:szCs w:val="21"/>
        </w:rPr>
      </w:pPr>
      <w:r>
        <w:rPr>
          <w:rFonts w:ascii="SimHei" w:hAnsi="SimHei" w:eastAsia="黑体"/>
          <w:color w:val="000000"/>
          <w:sz w:val="24"/>
          <w:szCs w:val="21"/>
        </w:rPr>
        <w:t>兼职人员从事电话交换的时间比率及电话交换津贴。</w:t>
      </w:r>
    </w:p>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从事电话交换的时间</w:t>
            </w:r>
          </w:p>
        </w:tc>
        <w:tc>
          <w:tcPr>
            <w:tcW w:w="4265"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电话交换津贴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不到月总工作时间10%的</w:t>
            </w:r>
          </w:p>
        </w:tc>
        <w:tc>
          <w:tcPr>
            <w:tcW w:w="4265"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10%以上，不到20%</w:t>
            </w:r>
          </w:p>
        </w:tc>
        <w:tc>
          <w:tcPr>
            <w:tcW w:w="4265"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20%以上，不到40%</w:t>
            </w:r>
          </w:p>
        </w:tc>
        <w:tc>
          <w:tcPr>
            <w:tcW w:w="4265"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40%以上，不到60%</w:t>
            </w:r>
          </w:p>
        </w:tc>
        <w:tc>
          <w:tcPr>
            <w:tcW w:w="4265"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736" w:type="dxa"/>
            <w:noWrap w:val="0"/>
            <w:vAlign w:val="center"/>
          </w:tcPr>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60%以上的</w:t>
            </w:r>
          </w:p>
        </w:tc>
        <w:tc>
          <w:tcPr>
            <w:tcW w:w="4265" w:type="dxa"/>
            <w:noWrap w:val="0"/>
            <w:vAlign w:val="center"/>
          </w:tcPr>
          <w:p>
            <w:pPr>
              <w:pStyle w:val="10"/>
              <w:tabs>
                <w:tab w:val="left" w:pos="993"/>
              </w:tabs>
              <w:spacing w:line="360" w:lineRule="auto"/>
              <w:jc w:val="center"/>
              <w:rPr>
                <w:rFonts w:ascii="楷体" w:hAnsi="楷体" w:eastAsia="楷体"/>
                <w:color w:val="000000"/>
                <w:sz w:val="24"/>
                <w:szCs w:val="21"/>
              </w:rPr>
            </w:pPr>
            <w:r>
              <w:rPr>
                <w:rFonts w:hint="eastAsia" w:ascii="SimHei" w:hAnsi="SimHei" w:eastAsia="黑体"/>
                <w:color w:val="000000"/>
                <w:sz w:val="24"/>
                <w:szCs w:val="21"/>
              </w:rPr>
              <w:t>每月___元</w:t>
            </w:r>
          </w:p>
        </w:tc>
      </w:tr>
    </w:tbl>
    <w:p>
      <w:pPr>
        <w:pStyle w:val="10"/>
        <w:numPr>
          <w:ilvl w:val="0"/>
          <w:numId w:val="2"/>
        </w:numPr>
        <w:tabs>
          <w:tab w:val="left" w:pos="0"/>
          <w:tab w:val="left" w:pos="851"/>
          <w:tab w:val="left" w:pos="993"/>
          <w:tab w:val="clear" w:pos="832"/>
          <w:tab w:val="clear" w:pos="916"/>
          <w:tab w:val="clear" w:pos="1832"/>
        </w:tabs>
        <w:spacing w:line="360" w:lineRule="auto"/>
        <w:ind w:left="0" w:firstLine="480" w:firstLineChars="200"/>
        <w:jc w:val="both"/>
        <w:rPr>
          <w:rFonts w:ascii="楷体" w:hAnsi="楷体" w:eastAsia="楷体"/>
          <w:color w:val="000000"/>
          <w:sz w:val="24"/>
          <w:szCs w:val="21"/>
        </w:rPr>
      </w:pPr>
      <w:r>
        <w:rPr>
          <w:rFonts w:ascii="SimHei" w:hAnsi="SimHei" w:eastAsia="黑体"/>
          <w:color w:val="000000"/>
          <w:sz w:val="24"/>
          <w:szCs w:val="21"/>
        </w:rPr>
        <w:t>工作时间比率由该部门负责人按工作考勤计算。</w:t>
      </w:r>
    </w:p>
    <w:p>
      <w:pPr>
        <w:pStyle w:val="10"/>
        <w:numPr>
          <w:ilvl w:val="0"/>
          <w:numId w:val="2"/>
        </w:numPr>
        <w:tabs>
          <w:tab w:val="left" w:pos="0"/>
          <w:tab w:val="left" w:pos="851"/>
          <w:tab w:val="left" w:pos="993"/>
          <w:tab w:val="clear" w:pos="832"/>
          <w:tab w:val="clear" w:pos="916"/>
          <w:tab w:val="clear" w:pos="1832"/>
        </w:tabs>
        <w:spacing w:line="360" w:lineRule="auto"/>
        <w:ind w:left="0" w:firstLine="480" w:firstLineChars="200"/>
        <w:jc w:val="both"/>
        <w:rPr>
          <w:rFonts w:ascii="楷体" w:hAnsi="楷体" w:eastAsia="楷体"/>
          <w:color w:val="000000"/>
          <w:sz w:val="24"/>
          <w:szCs w:val="21"/>
        </w:rPr>
      </w:pPr>
      <w:r>
        <w:rPr>
          <w:rFonts w:ascii="SimHei" w:hAnsi="SimHei" w:eastAsia="黑体"/>
          <w:color w:val="000000"/>
          <w:sz w:val="24"/>
          <w:szCs w:val="21"/>
        </w:rPr>
        <w:t>电话交换津贴的奖金标准额的计算，以第十条第</w:t>
      </w:r>
      <w:r>
        <w:rPr>
          <w:rFonts w:hint="eastAsia" w:ascii="SimHei" w:hAnsi="SimHei" w:eastAsia="黑体"/>
          <w:color w:val="000000"/>
          <w:sz w:val="24"/>
          <w:szCs w:val="21"/>
        </w:rPr>
        <w:t>三</w:t>
      </w:r>
      <w:r>
        <w:rPr>
          <w:rFonts w:ascii="SimHei" w:hAnsi="SimHei" w:eastAsia="黑体"/>
          <w:color w:val="000000"/>
          <w:sz w:val="24"/>
          <w:szCs w:val="21"/>
        </w:rPr>
        <w:t>项的规定为依据。</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□保健津贴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第十七条</w:t>
      </w:r>
      <w:r>
        <w:rPr>
          <w:rFonts w:hint="eastAsia" w:ascii="SimHei" w:hAnsi="SimHei" w:eastAsia="黑体"/>
          <w:color w:val="000000"/>
          <w:sz w:val="24"/>
          <w:szCs w:val="21"/>
        </w:rPr>
        <w:t xml:space="preserve">  </w:t>
      </w:r>
      <w:r>
        <w:rPr>
          <w:rFonts w:ascii="SimHei" w:hAnsi="SimHei" w:eastAsia="黑体"/>
          <w:color w:val="000000"/>
          <w:sz w:val="24"/>
          <w:szCs w:val="21"/>
        </w:rPr>
        <w:t>保健津贴的发放范围</w:t>
      </w:r>
    </w:p>
    <w:p>
      <w:pPr>
        <w:pStyle w:val="10"/>
        <w:tabs>
          <w:tab w:val="left" w:pos="993"/>
        </w:tabs>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在工厂内经常并大量处理有毒化工原料者，或工作环境有可能损害其健康者，享受保健津贴</w:t>
      </w:r>
      <w:r>
        <w:rPr>
          <w:rFonts w:hint="eastAsia" w:ascii="SimHei" w:hAnsi="SimHei" w:eastAsia="黑体"/>
          <w:color w:val="000000"/>
          <w:sz w:val="24"/>
          <w:szCs w:val="21"/>
        </w:rPr>
        <w:t>。</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第十八条</w:t>
      </w:r>
      <w:r>
        <w:rPr>
          <w:rFonts w:hint="eastAsia" w:ascii="SimHei" w:hAnsi="SimHei" w:eastAsia="黑体"/>
          <w:color w:val="000000"/>
          <w:sz w:val="24"/>
          <w:szCs w:val="21"/>
        </w:rPr>
        <w:t xml:space="preserve">  </w:t>
      </w:r>
      <w:r>
        <w:rPr>
          <w:rFonts w:ascii="SimHei" w:hAnsi="SimHei" w:eastAsia="黑体"/>
          <w:color w:val="000000"/>
          <w:sz w:val="24"/>
          <w:szCs w:val="21"/>
        </w:rPr>
        <w:t>长期工作者</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长期在上一条所述环境中工作者，每月领取保健津贴_______元。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第十九条</w:t>
      </w:r>
      <w:r>
        <w:rPr>
          <w:rFonts w:hint="eastAsia" w:ascii="SimHei" w:hAnsi="SimHei" w:eastAsia="黑体"/>
          <w:color w:val="000000"/>
          <w:sz w:val="24"/>
          <w:szCs w:val="21"/>
        </w:rPr>
        <w:t xml:space="preserve">  </w:t>
      </w:r>
      <w:r>
        <w:rPr>
          <w:rFonts w:ascii="SimHei" w:hAnsi="SimHei" w:eastAsia="黑体"/>
          <w:color w:val="000000"/>
          <w:sz w:val="24"/>
          <w:szCs w:val="21"/>
        </w:rPr>
        <w:t>临时工作者</w:t>
      </w:r>
    </w:p>
    <w:p>
      <w:pPr>
        <w:pStyle w:val="10"/>
        <w:tabs>
          <w:tab w:val="left" w:pos="993"/>
        </w:tabs>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临时在第十七条所述环境中工作者，按下列标准发给保健津贴。</w:t>
      </w:r>
    </w:p>
    <w:p>
      <w:pPr>
        <w:pStyle w:val="10"/>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表-4</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处理有毒化工原料</w:t>
            </w:r>
          </w:p>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或在恶劣工作环境下的工作时间</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保健津贴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不到月总工作时间的10%的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10%</w:t>
            </w:r>
            <w:r>
              <w:rPr>
                <w:rFonts w:hint="eastAsia" w:ascii="SimHei" w:hAnsi="SimHei" w:eastAsia="黑体"/>
                <w:color w:val="000000"/>
                <w:sz w:val="24"/>
                <w:szCs w:val="21"/>
              </w:rPr>
              <w:t>～</w:t>
            </w:r>
            <w:r>
              <w:rPr>
                <w:rFonts w:ascii="SimHei" w:hAnsi="SimHei" w:eastAsia="黑体"/>
                <w:color w:val="000000"/>
                <w:sz w:val="24"/>
                <w:szCs w:val="21"/>
              </w:rPr>
              <w:t>15%</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15%</w:t>
            </w:r>
            <w:r>
              <w:rPr>
                <w:rFonts w:hint="eastAsia" w:ascii="SimHei" w:hAnsi="SimHei" w:eastAsia="黑体"/>
                <w:color w:val="000000"/>
                <w:sz w:val="24"/>
                <w:szCs w:val="21"/>
              </w:rPr>
              <w:t>～</w:t>
            </w:r>
            <w:r>
              <w:rPr>
                <w:rFonts w:ascii="SimHei" w:hAnsi="SimHei" w:eastAsia="黑体"/>
                <w:color w:val="000000"/>
                <w:sz w:val="24"/>
                <w:szCs w:val="21"/>
              </w:rPr>
              <w:t>30%</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30%</w:t>
            </w:r>
            <w:r>
              <w:rPr>
                <w:rFonts w:hint="eastAsia" w:ascii="SimHei" w:hAnsi="SimHei" w:eastAsia="黑体"/>
                <w:color w:val="000000"/>
                <w:sz w:val="24"/>
                <w:szCs w:val="21"/>
              </w:rPr>
              <w:t>～</w:t>
            </w:r>
            <w:r>
              <w:rPr>
                <w:rFonts w:ascii="SimHei" w:hAnsi="SimHei" w:eastAsia="黑体"/>
                <w:color w:val="000000"/>
                <w:sz w:val="24"/>
                <w:szCs w:val="21"/>
              </w:rPr>
              <w:t>50%</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50%</w:t>
            </w:r>
            <w:r>
              <w:rPr>
                <w:rFonts w:hint="eastAsia" w:ascii="SimHei" w:hAnsi="SimHei" w:eastAsia="黑体"/>
                <w:color w:val="000000"/>
                <w:sz w:val="24"/>
                <w:szCs w:val="21"/>
              </w:rPr>
              <w:t>～</w:t>
            </w:r>
            <w:r>
              <w:rPr>
                <w:rFonts w:ascii="SimHei" w:hAnsi="SimHei" w:eastAsia="黑体"/>
                <w:color w:val="000000"/>
                <w:sz w:val="24"/>
                <w:szCs w:val="21"/>
              </w:rPr>
              <w:t>70%</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942"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70%以上的</w:t>
            </w:r>
          </w:p>
        </w:tc>
        <w:tc>
          <w:tcPr>
            <w:tcW w:w="4059" w:type="dxa"/>
            <w:noWrap w:val="0"/>
            <w:vAlign w:val="center"/>
          </w:tcPr>
          <w:p>
            <w:pPr>
              <w:tabs>
                <w:tab w:val="left" w:pos="993"/>
              </w:tabs>
              <w:spacing w:line="360" w:lineRule="auto"/>
              <w:jc w:val="center"/>
              <w:rPr>
                <w:rFonts w:hint="eastAsia" w:ascii="楷体" w:hAnsi="楷体" w:eastAsia="楷体"/>
                <w:color w:val="000000"/>
                <w:sz w:val="24"/>
                <w:szCs w:val="21"/>
              </w:rPr>
            </w:pPr>
            <w:r>
              <w:rPr>
                <w:rFonts w:ascii="SimHei" w:hAnsi="SimHei" w:eastAsia="黑体"/>
                <w:color w:val="000000"/>
                <w:sz w:val="24"/>
                <w:szCs w:val="21"/>
              </w:rPr>
              <w:t>每月___元</w:t>
            </w:r>
          </w:p>
        </w:tc>
      </w:tr>
    </w:tbl>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□伙食补贴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第二十条</w:t>
      </w:r>
      <w:r>
        <w:rPr>
          <w:rFonts w:hint="eastAsia" w:ascii="SimHei" w:hAnsi="SimHei" w:eastAsia="黑体"/>
          <w:color w:val="000000"/>
          <w:sz w:val="24"/>
          <w:szCs w:val="21"/>
        </w:rPr>
        <w:t xml:space="preserve">  </w:t>
      </w:r>
      <w:r>
        <w:rPr>
          <w:rFonts w:ascii="SimHei" w:hAnsi="SimHei" w:eastAsia="黑体"/>
          <w:color w:val="000000"/>
          <w:sz w:val="24"/>
          <w:szCs w:val="21"/>
        </w:rPr>
        <w:t>领取资格及金额</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因工作原因而不能利用本公司食堂的职工，按下列标准发给伙食补贴：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(一)每天午餐补贴_______元，晚餐补贴_______元。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(二)伙食补贴每月结算一次，按出勤天数乘以每天的伙食补贴标准支付。</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第二十一条</w:t>
      </w:r>
      <w:r>
        <w:rPr>
          <w:rFonts w:hint="eastAsia" w:ascii="SimHei" w:hAnsi="SimHei" w:eastAsia="黑体"/>
          <w:color w:val="000000"/>
          <w:sz w:val="24"/>
          <w:szCs w:val="21"/>
        </w:rPr>
        <w:t xml:space="preserve">  </w:t>
      </w:r>
      <w:r>
        <w:rPr>
          <w:rFonts w:ascii="SimHei" w:hAnsi="SimHei" w:eastAsia="黑体"/>
          <w:color w:val="000000"/>
          <w:sz w:val="24"/>
          <w:szCs w:val="21"/>
        </w:rPr>
        <w:t>本公司职工市内出差，也按上一条标准领取伙食补贴。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第二十二条</w:t>
      </w:r>
      <w:r>
        <w:rPr>
          <w:rFonts w:hint="eastAsia" w:ascii="SimHei" w:hAnsi="SimHei" w:eastAsia="黑体"/>
          <w:color w:val="000000"/>
          <w:sz w:val="24"/>
          <w:szCs w:val="21"/>
        </w:rPr>
        <w:t xml:space="preserve">  </w:t>
      </w:r>
      <w:r>
        <w:rPr>
          <w:rFonts w:ascii="SimHei" w:hAnsi="SimHei" w:eastAsia="黑体"/>
          <w:color w:val="000000"/>
          <w:sz w:val="24"/>
          <w:szCs w:val="21"/>
        </w:rPr>
        <w:t>在本公司食堂用餐者按下列标准给予伙食补贴：</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(一)早餐_______元(限在本公司宿舍居住的单身职工)。</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(二)午餐_______元。</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(三)晚餐_______元(限在本公司宿舍居住的单身职工及需在晚7点以后加班者)。</w:t>
      </w:r>
    </w:p>
    <w:p>
      <w:pPr>
        <w:pStyle w:val="10"/>
        <w:tabs>
          <w:tab w:val="left" w:pos="993"/>
        </w:tabs>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第二十三条</w:t>
      </w:r>
      <w:r>
        <w:rPr>
          <w:rFonts w:hint="eastAsia" w:ascii="SimHei" w:hAnsi="SimHei" w:eastAsia="黑体"/>
          <w:color w:val="000000"/>
          <w:sz w:val="24"/>
          <w:szCs w:val="21"/>
        </w:rPr>
        <w:t xml:space="preserve">  </w:t>
      </w:r>
      <w:r>
        <w:rPr>
          <w:rFonts w:ascii="SimHei" w:hAnsi="SimHei" w:eastAsia="黑体"/>
          <w:color w:val="000000"/>
          <w:sz w:val="24"/>
          <w:szCs w:val="21"/>
        </w:rPr>
        <w:t>本公司职工因需要在下班以后加班两小时以上者，免费供应一顿晚餐(或夜餐)。</w:t>
      </w:r>
    </w:p>
    <w:sectPr>
      <w:footerReference r:id="rId3" w:type="even"/>
      <w:pgSz w:w="11906" w:h="16838"/>
      <w:pgMar w:top="850"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612"/>
    <w:multiLevelType w:val="multilevel"/>
    <w:tmpl w:val="10856612"/>
    <w:lvl w:ilvl="0" w:tentative="0">
      <w:start w:val="1"/>
      <w:numFmt w:val="japaneseCounting"/>
      <w:lvlText w:val="(%1)"/>
      <w:lvlJc w:val="left"/>
      <w:pPr>
        <w:tabs>
          <w:tab w:val="left" w:pos="832"/>
        </w:tabs>
        <w:ind w:left="832" w:hanging="420"/>
      </w:pPr>
      <w:rPr>
        <w:rFonts w:hint="default"/>
      </w:rPr>
    </w:lvl>
    <w:lvl w:ilvl="1" w:tentative="0">
      <w:start w:val="1"/>
      <w:numFmt w:val="lowerLetter"/>
      <w:lvlText w:val="%2)"/>
      <w:lvlJc w:val="left"/>
      <w:pPr>
        <w:tabs>
          <w:tab w:val="left" w:pos="1252"/>
        </w:tabs>
        <w:ind w:left="1252" w:hanging="420"/>
      </w:pPr>
    </w:lvl>
    <w:lvl w:ilvl="2" w:tentative="0">
      <w:start w:val="1"/>
      <w:numFmt w:val="lowerRoman"/>
      <w:lvlText w:val="%3."/>
      <w:lvlJc w:val="right"/>
      <w:pPr>
        <w:tabs>
          <w:tab w:val="left" w:pos="1672"/>
        </w:tabs>
        <w:ind w:left="1672" w:hanging="420"/>
      </w:pPr>
    </w:lvl>
    <w:lvl w:ilvl="3" w:tentative="0">
      <w:start w:val="1"/>
      <w:numFmt w:val="decimal"/>
      <w:lvlText w:val="%4."/>
      <w:lvlJc w:val="left"/>
      <w:pPr>
        <w:tabs>
          <w:tab w:val="left" w:pos="2092"/>
        </w:tabs>
        <w:ind w:left="2092" w:hanging="420"/>
      </w:pPr>
    </w:lvl>
    <w:lvl w:ilvl="4" w:tentative="0">
      <w:start w:val="1"/>
      <w:numFmt w:val="lowerLetter"/>
      <w:lvlText w:val="%5)"/>
      <w:lvlJc w:val="left"/>
      <w:pPr>
        <w:tabs>
          <w:tab w:val="left" w:pos="2512"/>
        </w:tabs>
        <w:ind w:left="2512" w:hanging="420"/>
      </w:pPr>
    </w:lvl>
    <w:lvl w:ilvl="5" w:tentative="0">
      <w:start w:val="1"/>
      <w:numFmt w:val="lowerRoman"/>
      <w:lvlText w:val="%6."/>
      <w:lvlJc w:val="right"/>
      <w:pPr>
        <w:tabs>
          <w:tab w:val="left" w:pos="2932"/>
        </w:tabs>
        <w:ind w:left="2932" w:hanging="420"/>
      </w:pPr>
    </w:lvl>
    <w:lvl w:ilvl="6" w:tentative="0">
      <w:start w:val="1"/>
      <w:numFmt w:val="decimal"/>
      <w:lvlText w:val="%7."/>
      <w:lvlJc w:val="left"/>
      <w:pPr>
        <w:tabs>
          <w:tab w:val="left" w:pos="3352"/>
        </w:tabs>
        <w:ind w:left="3352" w:hanging="420"/>
      </w:pPr>
    </w:lvl>
    <w:lvl w:ilvl="7" w:tentative="0">
      <w:start w:val="1"/>
      <w:numFmt w:val="lowerLetter"/>
      <w:lvlText w:val="%8)"/>
      <w:lvlJc w:val="left"/>
      <w:pPr>
        <w:tabs>
          <w:tab w:val="left" w:pos="3772"/>
        </w:tabs>
        <w:ind w:left="3772" w:hanging="420"/>
      </w:pPr>
    </w:lvl>
    <w:lvl w:ilvl="8" w:tentative="0">
      <w:start w:val="1"/>
      <w:numFmt w:val="lowerRoman"/>
      <w:lvlText w:val="%9."/>
      <w:lvlJc w:val="right"/>
      <w:pPr>
        <w:tabs>
          <w:tab w:val="left" w:pos="4192"/>
        </w:tabs>
        <w:ind w:left="4192" w:hanging="420"/>
      </w:pPr>
    </w:lvl>
  </w:abstractNum>
  <w:abstractNum w:abstractNumId="1">
    <w:nsid w:val="4BF52E94"/>
    <w:multiLevelType w:val="multilevel"/>
    <w:tmpl w:val="4BF52E94"/>
    <w:lvl w:ilvl="0" w:tentative="0">
      <w:start w:val="1"/>
      <w:numFmt w:val="japaneseCounting"/>
      <w:lvlText w:val="(%1)"/>
      <w:lvlJc w:val="left"/>
      <w:pPr>
        <w:tabs>
          <w:tab w:val="left" w:pos="832"/>
        </w:tabs>
        <w:ind w:left="832" w:hanging="420"/>
      </w:pPr>
      <w:rPr>
        <w:rFonts w:hint="default"/>
      </w:rPr>
    </w:lvl>
    <w:lvl w:ilvl="1" w:tentative="0">
      <w:start w:val="1"/>
      <w:numFmt w:val="lowerLetter"/>
      <w:lvlText w:val="%2)"/>
      <w:lvlJc w:val="left"/>
      <w:pPr>
        <w:tabs>
          <w:tab w:val="left" w:pos="1252"/>
        </w:tabs>
        <w:ind w:left="1252" w:hanging="420"/>
      </w:pPr>
    </w:lvl>
    <w:lvl w:ilvl="2" w:tentative="0">
      <w:start w:val="1"/>
      <w:numFmt w:val="lowerRoman"/>
      <w:lvlText w:val="%3."/>
      <w:lvlJc w:val="right"/>
      <w:pPr>
        <w:tabs>
          <w:tab w:val="left" w:pos="1672"/>
        </w:tabs>
        <w:ind w:left="1672" w:hanging="420"/>
      </w:pPr>
    </w:lvl>
    <w:lvl w:ilvl="3" w:tentative="0">
      <w:start w:val="1"/>
      <w:numFmt w:val="decimal"/>
      <w:lvlText w:val="%4."/>
      <w:lvlJc w:val="left"/>
      <w:pPr>
        <w:tabs>
          <w:tab w:val="left" w:pos="2092"/>
        </w:tabs>
        <w:ind w:left="2092" w:hanging="420"/>
      </w:pPr>
    </w:lvl>
    <w:lvl w:ilvl="4" w:tentative="0">
      <w:start w:val="1"/>
      <w:numFmt w:val="lowerLetter"/>
      <w:lvlText w:val="%5)"/>
      <w:lvlJc w:val="left"/>
      <w:pPr>
        <w:tabs>
          <w:tab w:val="left" w:pos="2512"/>
        </w:tabs>
        <w:ind w:left="2512" w:hanging="420"/>
      </w:pPr>
    </w:lvl>
    <w:lvl w:ilvl="5" w:tentative="0">
      <w:start w:val="1"/>
      <w:numFmt w:val="lowerRoman"/>
      <w:lvlText w:val="%6."/>
      <w:lvlJc w:val="right"/>
      <w:pPr>
        <w:tabs>
          <w:tab w:val="left" w:pos="2932"/>
        </w:tabs>
        <w:ind w:left="2932" w:hanging="420"/>
      </w:pPr>
    </w:lvl>
    <w:lvl w:ilvl="6" w:tentative="0">
      <w:start w:val="1"/>
      <w:numFmt w:val="decimal"/>
      <w:lvlText w:val="%7."/>
      <w:lvlJc w:val="left"/>
      <w:pPr>
        <w:tabs>
          <w:tab w:val="left" w:pos="3352"/>
        </w:tabs>
        <w:ind w:left="3352" w:hanging="420"/>
      </w:pPr>
    </w:lvl>
    <w:lvl w:ilvl="7" w:tentative="0">
      <w:start w:val="1"/>
      <w:numFmt w:val="lowerLetter"/>
      <w:lvlText w:val="%8)"/>
      <w:lvlJc w:val="left"/>
      <w:pPr>
        <w:tabs>
          <w:tab w:val="left" w:pos="3772"/>
        </w:tabs>
        <w:ind w:left="3772" w:hanging="420"/>
      </w:pPr>
    </w:lvl>
    <w:lvl w:ilvl="8" w:tentative="0">
      <w:start w:val="1"/>
      <w:numFmt w:val="lowerRoman"/>
      <w:lvlText w:val="%9."/>
      <w:lvlJc w:val="right"/>
      <w:pPr>
        <w:tabs>
          <w:tab w:val="left" w:pos="4192"/>
        </w:tabs>
        <w:ind w:left="419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BA"/>
    <w:rsid w:val="000434B0"/>
    <w:rsid w:val="001649E6"/>
    <w:rsid w:val="0017690E"/>
    <w:rsid w:val="00184470"/>
    <w:rsid w:val="00557709"/>
    <w:rsid w:val="00687992"/>
    <w:rsid w:val="006931BA"/>
    <w:rsid w:val="00BE1FE6"/>
    <w:rsid w:val="00BF795E"/>
    <w:rsid w:val="00CB7824"/>
    <w:rsid w:val="00E345A0"/>
    <w:rsid w:val="00E55FB5"/>
    <w:rsid w:val="00F12358"/>
    <w:rsid w:val="3C440668"/>
    <w:rsid w:val="50DE71C1"/>
    <w:rsid w:val="707D19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90"/>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qFormat/>
    <w:uiPriority w:val="0"/>
    <w:pPr>
      <w:widowControl/>
      <w:spacing w:before="100" w:beforeAutospacing="1" w:after="100" w:afterAutospacing="1"/>
      <w:jc w:val="left"/>
      <w:outlineLvl w:val="3"/>
    </w:pPr>
    <w:rPr>
      <w:rFonts w:hint="eastAsia" w:ascii="宋体" w:hAnsi="宋体"/>
      <w:b/>
      <w:bCs/>
      <w:kern w:val="0"/>
      <w:sz w:val="24"/>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5">
    <w:name w:val="Normal Indent"/>
    <w:basedOn w:val="1"/>
    <w:uiPriority w:val="0"/>
    <w:pPr>
      <w:ind w:firstLine="420"/>
    </w:pPr>
    <w:rPr>
      <w:szCs w:val="20"/>
    </w:rPr>
  </w:style>
  <w:style w:type="paragraph" w:styleId="6">
    <w:name w:val="Body Text Indent"/>
    <w:basedOn w:val="1"/>
    <w:uiPriority w:val="0"/>
    <w:pPr>
      <w:ind w:left="416"/>
    </w:pPr>
    <w:rPr>
      <w:rFonts w:ascii="宋体" w:hAnsi="宋体"/>
      <w:szCs w:val="20"/>
    </w:rPr>
  </w:style>
  <w:style w:type="paragraph" w:styleId="7">
    <w:name w:val="Date"/>
    <w:basedOn w:val="1"/>
    <w:next w:val="1"/>
    <w:uiPriority w:val="0"/>
    <w:pPr>
      <w:ind w:left="100" w:leftChars="2500"/>
    </w:p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jc w:val="center"/>
    </w:pPr>
    <w:rPr>
      <w:sz w:val="18"/>
      <w:szCs w:val="18"/>
    </w:r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11">
    <w:name w:val="Normal (Web)"/>
    <w:basedOn w:val="1"/>
    <w:uiPriority w:val="0"/>
    <w:pPr>
      <w:widowControl/>
      <w:spacing w:before="100" w:beforeAutospacing="1" w:after="100" w:afterAutospacing="1"/>
      <w:jc w:val="left"/>
    </w:pPr>
    <w:rPr>
      <w:rFonts w:ascii="宋体" w:hAnsi="宋体"/>
      <w:kern w:val="0"/>
      <w:sz w:val="24"/>
    </w:rPr>
  </w:style>
  <w:style w:type="paragraph" w:styleId="12">
    <w:name w:val="Title"/>
    <w:basedOn w:val="1"/>
    <w:next w:val="1"/>
    <w:link w:val="89"/>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15">
    <w:name w:val="Strong"/>
    <w:qFormat/>
    <w:uiPriority w:val="0"/>
    <w:rPr>
      <w:b/>
      <w:bCs/>
    </w:rPr>
  </w:style>
  <w:style w:type="character" w:styleId="16">
    <w:name w:val="page number"/>
    <w:basedOn w:val="14"/>
    <w:uiPriority w:val="0"/>
  </w:style>
  <w:style w:type="character" w:styleId="17">
    <w:name w:val="FollowedHyperlink"/>
    <w:uiPriority w:val="0"/>
    <w:rPr>
      <w:color w:val="800080"/>
      <w:u w:val="single"/>
    </w:rPr>
  </w:style>
  <w:style w:type="character" w:styleId="18">
    <w:name w:val="Hyperlink"/>
    <w:uiPriority w:val="0"/>
    <w:rPr>
      <w:color w:val="0000FF"/>
      <w:u w:val="single"/>
    </w:rPr>
  </w:style>
  <w:style w:type="paragraph" w:customStyle="1" w:styleId="19">
    <w:name w:val="xl32"/>
    <w:basedOn w:val="1"/>
    <w:uiPriority w:val="0"/>
    <w:pPr>
      <w:widowControl/>
      <w:pBdr>
        <w:top w:val="single" w:color="auto" w:sz="4" w:space="0"/>
        <w:left w:val="single" w:color="auto" w:sz="4" w:space="0"/>
        <w:bottom w:val="single" w:color="auto" w:sz="8"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20">
    <w:name w:val="xl59"/>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21">
    <w:name w:val="xl82"/>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22">
    <w:name w:val="xl53"/>
    <w:basedOn w:val="1"/>
    <w:uiPriority w:val="0"/>
    <w:pPr>
      <w:widowControl/>
      <w:pBdr>
        <w:top w:val="double" w:color="auto" w:sz="6" w:space="0"/>
        <w:bottom w:val="single" w:color="auto" w:sz="4" w:space="0"/>
      </w:pBdr>
      <w:spacing w:before="100" w:beforeAutospacing="1" w:after="100" w:afterAutospacing="1"/>
      <w:jc w:val="left"/>
      <w:textAlignment w:val="center"/>
    </w:pPr>
    <w:rPr>
      <w:rFonts w:ascii="宋体" w:hAnsi="宋体"/>
      <w:b/>
      <w:bCs/>
      <w:kern w:val="0"/>
      <w:szCs w:val="21"/>
      <w:u w:val="single"/>
    </w:rPr>
  </w:style>
  <w:style w:type="paragraph" w:customStyle="1" w:styleId="23">
    <w:name w:val="xl78"/>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24">
    <w:name w:val="xl49"/>
    <w:basedOn w:val="1"/>
    <w:uiPriority w:val="0"/>
    <w:pPr>
      <w:widowControl/>
      <w:spacing w:before="100" w:beforeAutospacing="1" w:after="100" w:afterAutospacing="1"/>
      <w:jc w:val="center"/>
      <w:textAlignment w:val="center"/>
    </w:pPr>
    <w:rPr>
      <w:kern w:val="0"/>
      <w:szCs w:val="21"/>
    </w:rPr>
  </w:style>
  <w:style w:type="paragraph" w:customStyle="1" w:styleId="25">
    <w:name w:val="xl27"/>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26">
    <w:name w:val="xl74"/>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top"/>
    </w:pPr>
    <w:rPr>
      <w:rFonts w:ascii="宋体" w:hAnsi="宋体"/>
      <w:b/>
      <w:bCs/>
      <w:kern w:val="0"/>
      <w:szCs w:val="21"/>
    </w:rPr>
  </w:style>
  <w:style w:type="paragraph" w:customStyle="1" w:styleId="27">
    <w:name w:val="xl56"/>
    <w:basedOn w:val="1"/>
    <w:uiPriority w:val="0"/>
    <w:pPr>
      <w:widowControl/>
      <w:pBdr>
        <w:top w:val="single" w:color="auto" w:sz="4"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28">
    <w:name w:val="font10"/>
    <w:basedOn w:val="1"/>
    <w:uiPriority w:val="0"/>
    <w:pPr>
      <w:widowControl/>
      <w:spacing w:before="100" w:beforeAutospacing="1" w:after="100" w:afterAutospacing="1"/>
      <w:jc w:val="left"/>
    </w:pPr>
    <w:rPr>
      <w:kern w:val="0"/>
      <w:szCs w:val="21"/>
    </w:rPr>
  </w:style>
  <w:style w:type="paragraph" w:customStyle="1" w:styleId="29">
    <w:name w:val="xl54"/>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rFonts w:ascii="宋体" w:hAnsi="宋体"/>
      <w:b/>
      <w:bCs/>
      <w:kern w:val="0"/>
      <w:szCs w:val="21"/>
      <w:u w:val="single"/>
    </w:rPr>
  </w:style>
  <w:style w:type="paragraph" w:customStyle="1" w:styleId="30">
    <w:name w:val="xl50"/>
    <w:basedOn w:val="1"/>
    <w:uiPriority w:val="0"/>
    <w:pPr>
      <w:widowControl/>
      <w:pBdr>
        <w:top w:val="double" w:color="auto" w:sz="6" w:space="0"/>
        <w:bottom w:val="double" w:color="auto" w:sz="6" w:space="0"/>
      </w:pBdr>
      <w:spacing w:before="100" w:beforeAutospacing="1" w:after="100" w:afterAutospacing="1"/>
      <w:jc w:val="center"/>
      <w:textAlignment w:val="center"/>
    </w:pPr>
    <w:rPr>
      <w:kern w:val="0"/>
      <w:szCs w:val="21"/>
    </w:rPr>
  </w:style>
  <w:style w:type="paragraph" w:customStyle="1" w:styleId="31">
    <w:name w:val="xl24"/>
    <w:basedOn w:val="1"/>
    <w:uiPriority w:val="0"/>
    <w:pPr>
      <w:widowControl/>
      <w:spacing w:before="100" w:beforeAutospacing="1" w:after="100" w:afterAutospacing="1"/>
      <w:jc w:val="center"/>
    </w:pPr>
    <w:rPr>
      <w:rFonts w:ascii="宋体" w:hAnsi="宋体"/>
      <w:b/>
      <w:bCs/>
      <w:kern w:val="0"/>
      <w:sz w:val="32"/>
      <w:szCs w:val="32"/>
    </w:rPr>
  </w:style>
  <w:style w:type="paragraph" w:customStyle="1" w:styleId="32">
    <w:name w:val="xl46"/>
    <w:basedOn w:val="1"/>
    <w:uiPriority w:val="0"/>
    <w:pPr>
      <w:widowControl/>
      <w:pBdr>
        <w:lef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33">
    <w:name w:val="xl71"/>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4">
    <w:name w:val="xl40"/>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5">
    <w:name w:val="line18"/>
    <w:basedOn w:val="1"/>
    <w:uiPriority w:val="0"/>
    <w:pPr>
      <w:widowControl/>
      <w:spacing w:before="100" w:beforeAutospacing="1" w:after="100" w:afterAutospacing="1" w:line="270" w:lineRule="atLeast"/>
      <w:jc w:val="left"/>
    </w:pPr>
    <w:rPr>
      <w:rFonts w:ascii="_x000B__x000C_" w:hAnsi="_x000B__x000C_"/>
      <w:color w:val="333333"/>
      <w:kern w:val="0"/>
      <w:sz w:val="18"/>
      <w:szCs w:val="18"/>
    </w:rPr>
  </w:style>
  <w:style w:type="paragraph" w:customStyle="1" w:styleId="36">
    <w:name w:val="xl62"/>
    <w:basedOn w:val="1"/>
    <w:uiPriority w:val="0"/>
    <w:pPr>
      <w:widowControl/>
      <w:pBdr>
        <w:top w:val="single" w:color="auto" w:sz="4" w:space="0"/>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37">
    <w:name w:val="font8"/>
    <w:basedOn w:val="1"/>
    <w:uiPriority w:val="0"/>
    <w:pPr>
      <w:widowControl/>
      <w:spacing w:before="100" w:beforeAutospacing="1" w:after="100" w:afterAutospacing="1"/>
      <w:jc w:val="left"/>
    </w:pPr>
    <w:rPr>
      <w:rFonts w:hint="eastAsia" w:ascii="宋体" w:hAnsi="宋体"/>
      <w:kern w:val="0"/>
      <w:szCs w:val="21"/>
    </w:rPr>
  </w:style>
  <w:style w:type="paragraph" w:customStyle="1" w:styleId="38">
    <w:name w:val="xl57"/>
    <w:basedOn w:val="1"/>
    <w:uiPriority w:val="0"/>
    <w:pPr>
      <w:widowControl/>
      <w:pBdr>
        <w:top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39">
    <w:name w:val="font12"/>
    <w:basedOn w:val="1"/>
    <w:uiPriority w:val="0"/>
    <w:pPr>
      <w:widowControl/>
      <w:spacing w:before="100" w:beforeAutospacing="1" w:after="100" w:afterAutospacing="1"/>
      <w:jc w:val="left"/>
    </w:pPr>
    <w:rPr>
      <w:rFonts w:hint="eastAsia" w:ascii="宋体" w:hAnsi="宋体"/>
      <w:b/>
      <w:bCs/>
      <w:kern w:val="0"/>
      <w:szCs w:val="21"/>
      <w:u w:val="single"/>
    </w:rPr>
  </w:style>
  <w:style w:type="paragraph" w:customStyle="1" w:styleId="40">
    <w:name w:val="font11"/>
    <w:basedOn w:val="1"/>
    <w:uiPriority w:val="0"/>
    <w:pPr>
      <w:widowControl/>
      <w:spacing w:before="100" w:beforeAutospacing="1" w:after="100" w:afterAutospacing="1"/>
      <w:jc w:val="left"/>
    </w:pPr>
    <w:rPr>
      <w:b/>
      <w:bCs/>
      <w:kern w:val="0"/>
      <w:szCs w:val="21"/>
    </w:rPr>
  </w:style>
  <w:style w:type="paragraph" w:customStyle="1" w:styleId="41">
    <w:name w:val="font6"/>
    <w:basedOn w:val="1"/>
    <w:uiPriority w:val="0"/>
    <w:pPr>
      <w:widowControl/>
      <w:spacing w:before="100" w:beforeAutospacing="1" w:after="100" w:afterAutospacing="1"/>
      <w:jc w:val="left"/>
    </w:pPr>
    <w:rPr>
      <w:b/>
      <w:bCs/>
      <w:kern w:val="0"/>
      <w:sz w:val="32"/>
      <w:szCs w:val="32"/>
    </w:rPr>
  </w:style>
  <w:style w:type="paragraph" w:customStyle="1" w:styleId="42">
    <w:name w:val="xl60"/>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43">
    <w:name w:val="xl44"/>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44">
    <w:name w:val="xl29"/>
    <w:basedOn w:val="1"/>
    <w:uiPriority w:val="0"/>
    <w:pPr>
      <w:widowControl/>
      <w:pBdr>
        <w:top w:val="single" w:color="auto" w:sz="4" w:space="0"/>
        <w:left w:val="double" w:color="auto" w:sz="6"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5">
    <w:name w:val="xl69"/>
    <w:basedOn w:val="1"/>
    <w:uiPriority w:val="0"/>
    <w:pPr>
      <w:widowControl/>
      <w:spacing w:before="100" w:beforeAutospacing="1" w:after="100" w:afterAutospacing="1"/>
      <w:jc w:val="center"/>
      <w:textAlignment w:val="center"/>
    </w:pPr>
    <w:rPr>
      <w:rFonts w:ascii="宋体" w:hAnsi="宋体"/>
      <w:kern w:val="0"/>
      <w:szCs w:val="21"/>
    </w:rPr>
  </w:style>
  <w:style w:type="paragraph" w:customStyle="1" w:styleId="46">
    <w:name w:val="xl67"/>
    <w:basedOn w:val="1"/>
    <w:uiPriority w:val="0"/>
    <w:pPr>
      <w:widowControl/>
      <w:pBdr>
        <w:top w:val="single" w:color="auto" w:sz="4"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47">
    <w:name w:val="xl26"/>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8">
    <w:name w:val="font9"/>
    <w:basedOn w:val="1"/>
    <w:uiPriority w:val="0"/>
    <w:pPr>
      <w:widowControl/>
      <w:spacing w:before="100" w:beforeAutospacing="1" w:after="100" w:afterAutospacing="1"/>
      <w:jc w:val="left"/>
    </w:pPr>
    <w:rPr>
      <w:rFonts w:hint="eastAsia" w:ascii="宋体" w:hAnsi="宋体"/>
      <w:b/>
      <w:bCs/>
      <w:kern w:val="0"/>
      <w:szCs w:val="21"/>
    </w:rPr>
  </w:style>
  <w:style w:type="paragraph" w:customStyle="1" w:styleId="49">
    <w:name w:val="xl81"/>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50">
    <w:name w:val="xl51"/>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5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52">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53">
    <w:name w:val="xl47"/>
    <w:basedOn w:val="1"/>
    <w:uiPriority w:val="0"/>
    <w:pPr>
      <w:widowControl/>
      <w:spacing w:before="100" w:beforeAutospacing="1" w:after="100" w:afterAutospacing="1"/>
      <w:jc w:val="center"/>
      <w:textAlignment w:val="center"/>
    </w:pPr>
    <w:rPr>
      <w:rFonts w:ascii="宋体" w:hAnsi="宋体"/>
      <w:b/>
      <w:bCs/>
      <w:kern w:val="0"/>
      <w:szCs w:val="21"/>
    </w:rPr>
  </w:style>
  <w:style w:type="paragraph" w:customStyle="1" w:styleId="54">
    <w:name w:val="xl33"/>
    <w:basedOn w:val="1"/>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55">
    <w:name w:val="xl25"/>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6">
    <w:name w:val="xl79"/>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7">
    <w:name w:val="xl36"/>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8">
    <w:name w:val="xl3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59">
    <w:name w:val="font5"/>
    <w:basedOn w:val="1"/>
    <w:uiPriority w:val="0"/>
    <w:pPr>
      <w:widowControl/>
      <w:spacing w:before="100" w:beforeAutospacing="1" w:after="100" w:afterAutospacing="1"/>
      <w:jc w:val="left"/>
    </w:pPr>
    <w:rPr>
      <w:rFonts w:hint="eastAsia" w:ascii="宋体" w:hAnsi="宋体"/>
      <w:b/>
      <w:bCs/>
      <w:kern w:val="0"/>
      <w:sz w:val="32"/>
      <w:szCs w:val="32"/>
    </w:rPr>
  </w:style>
  <w:style w:type="paragraph" w:customStyle="1" w:styleId="60">
    <w:name w:val="xl61"/>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b/>
      <w:bCs/>
      <w:kern w:val="0"/>
      <w:szCs w:val="21"/>
    </w:rPr>
  </w:style>
  <w:style w:type="paragraph" w:customStyle="1" w:styleId="61">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62">
    <w:name w:val="xl58"/>
    <w:basedOn w:val="1"/>
    <w:uiPriority w:val="0"/>
    <w:pPr>
      <w:widowControl/>
      <w:pBdr>
        <w:top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63">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64">
    <w:name w:val="xl45"/>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center"/>
      <w:textAlignment w:val="center"/>
    </w:pPr>
    <w:rPr>
      <w:kern w:val="0"/>
      <w:szCs w:val="21"/>
    </w:rPr>
  </w:style>
  <w:style w:type="paragraph" w:customStyle="1" w:styleId="65">
    <w:name w:val="xl42"/>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66">
    <w:name w:val="xl70"/>
    <w:basedOn w:val="1"/>
    <w:uiPriority w:val="0"/>
    <w:pPr>
      <w:widowControl/>
      <w:pBdr>
        <w:bottom w:val="double" w:color="auto" w:sz="6" w:space="0"/>
      </w:pBdr>
      <w:spacing w:before="100" w:beforeAutospacing="1" w:after="100" w:afterAutospacing="1"/>
      <w:jc w:val="center"/>
      <w:textAlignment w:val="center"/>
    </w:pPr>
    <w:rPr>
      <w:rFonts w:ascii="宋体" w:hAnsi="宋体"/>
      <w:b/>
      <w:bCs/>
      <w:kern w:val="0"/>
      <w:sz w:val="28"/>
      <w:szCs w:val="28"/>
    </w:rPr>
  </w:style>
  <w:style w:type="paragraph" w:customStyle="1" w:styleId="67">
    <w:name w:val="xl68"/>
    <w:basedOn w:val="1"/>
    <w:uiPriority w:val="0"/>
    <w:pPr>
      <w:widowControl/>
      <w:pBdr>
        <w:top w:val="single" w:color="auto" w:sz="4" w:space="0"/>
        <w:bottom w:val="double" w:color="auto" w:sz="6"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68">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Cs w:val="21"/>
    </w:rPr>
  </w:style>
  <w:style w:type="paragraph" w:customStyle="1" w:styleId="69">
    <w:name w:val="xl80"/>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70">
    <w:name w:val="xl39"/>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71">
    <w:name w:val="?y??"/>
    <w:uiPriority w:val="0"/>
    <w:pPr>
      <w:widowControl w:val="0"/>
      <w:autoSpaceDE w:val="0"/>
      <w:autoSpaceDN w:val="0"/>
      <w:adjustRightInd w:val="0"/>
      <w:spacing w:line="240" w:lineRule="atLeast"/>
    </w:pPr>
    <w:rPr>
      <w:lang w:val="en-US" w:eastAsia="zh-CN" w:bidi="ar-SA"/>
    </w:rPr>
  </w:style>
  <w:style w:type="paragraph" w:customStyle="1" w:styleId="72">
    <w:name w:val="xl35"/>
    <w:basedOn w:val="1"/>
    <w:uiPriority w:val="0"/>
    <w:pPr>
      <w:widowControl/>
      <w:pBdr>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73">
    <w:name w:val="xl3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4">
    <w:name w:val="xl55"/>
    <w:basedOn w:val="1"/>
    <w:uiPriority w:val="0"/>
    <w:pPr>
      <w:widowControl/>
      <w:pBdr>
        <w:top w:val="single" w:color="auto" w:sz="4" w:space="0"/>
        <w:left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75">
    <w:name w:val="xl52"/>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76">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77">
    <w:name w:val="xl48"/>
    <w:basedOn w:val="1"/>
    <w:uiPriority w:val="0"/>
    <w:pPr>
      <w:widowControl/>
      <w:spacing w:before="100" w:beforeAutospacing="1" w:after="100" w:afterAutospacing="1"/>
      <w:jc w:val="center"/>
      <w:textAlignment w:val="center"/>
    </w:pPr>
    <w:rPr>
      <w:b/>
      <w:bCs/>
      <w:kern w:val="0"/>
      <w:szCs w:val="21"/>
    </w:rPr>
  </w:style>
  <w:style w:type="paragraph" w:customStyle="1" w:styleId="78">
    <w:name w:val="xl28"/>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79">
    <w:name w:val="xl43"/>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80">
    <w:name w:val="xl3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1">
    <w:name w:val="xl6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82">
    <w:name w:val="xl64"/>
    <w:basedOn w:val="1"/>
    <w:uiPriority w:val="0"/>
    <w:pPr>
      <w:widowControl/>
      <w:pBdr>
        <w:top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83">
    <w:name w:val="xl72"/>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84">
    <w:name w:val="xl65"/>
    <w:basedOn w:val="1"/>
    <w:uiPriority w:val="0"/>
    <w:pPr>
      <w:widowControl/>
      <w:pBdr>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85">
    <w:name w:val="xl66"/>
    <w:basedOn w:val="1"/>
    <w:uiPriority w:val="0"/>
    <w:pPr>
      <w:widowControl/>
      <w:pBdr>
        <w:left w:val="double" w:color="auto" w:sz="6"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86">
    <w:name w:val="xl73"/>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Cs w:val="21"/>
    </w:rPr>
  </w:style>
  <w:style w:type="paragraph" w:customStyle="1" w:styleId="87">
    <w:name w:val="xl75"/>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8">
    <w:name w:val="xl83"/>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top"/>
    </w:pPr>
    <w:rPr>
      <w:rFonts w:ascii="宋体" w:hAnsi="宋体"/>
      <w:kern w:val="0"/>
      <w:szCs w:val="21"/>
    </w:rPr>
  </w:style>
  <w:style w:type="character" w:customStyle="1" w:styleId="89">
    <w:name w:val="标题 Char"/>
    <w:basedOn w:val="14"/>
    <w:link w:val="12"/>
    <w:uiPriority w:val="0"/>
    <w:rPr>
      <w:rFonts w:ascii="Cambria" w:hAnsi="Cambria"/>
      <w:b/>
      <w:bCs/>
      <w:sz w:val="32"/>
      <w:szCs w:val="32"/>
    </w:rPr>
  </w:style>
  <w:style w:type="character" w:customStyle="1" w:styleId="90">
    <w:name w:val="标题 1 Char"/>
    <w:basedOn w:val="14"/>
    <w:link w:val="2"/>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MON1~1.000\LOCALS~1\Temp\Rar$DI00.083\h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hr</Template>
  <Company>Gloucester Waalker</Company>
  <Pages>5</Pages>
  <Words>393</Words>
  <Characters>2246</Characters>
  <Lines>18</Lines>
  <Paragraphs>5</Paragraphs>
  <TotalTime>0</TotalTime>
  <ScaleCrop>false</ScaleCrop>
  <LinksUpToDate>false</LinksUpToDate>
  <CharactersWithSpaces>2634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2019-04-08T10:18:00Z</dcterms:created>
  <dc:creator>simon</dc:creator>
  <cp:lastModifiedBy>Administrator</cp:lastModifiedBy>
  <dcterms:modified xsi:type="dcterms:W3CDTF">2019-10-18T02:36:36Z</dcterms:modified>
  <dc:title>关于中国人力资源网介绍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