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楷体" w:hAnsi="楷体" w:eastAsia="楷体" w:cs="楷体"/>
          <w:b/>
          <w:color w:val="000000"/>
          <w:kern w:val="0"/>
          <w:sz w:val="56"/>
          <w:szCs w:val="44"/>
          <w:lang w:eastAsia="zh-CN"/>
        </w:rPr>
      </w:pPr>
    </w:p>
    <w:p>
      <w:pPr>
        <w:widowControl/>
        <w:jc w:val="center"/>
        <w:rPr>
          <w:rFonts w:hint="eastAsia" w:ascii="楷体" w:hAnsi="楷体" w:eastAsia="楷体" w:cs="楷体"/>
          <w:b/>
          <w:color w:val="000000"/>
          <w:kern w:val="0"/>
          <w:sz w:val="56"/>
          <w:szCs w:val="44"/>
          <w:lang w:eastAsia="zh-CN"/>
        </w:rPr>
      </w:pPr>
    </w:p>
    <w:p>
      <w:pPr>
        <w:widowControl/>
        <w:jc w:val="center"/>
        <w:rPr>
          <w:rFonts w:hint="eastAsia" w:ascii="楷体" w:hAnsi="楷体" w:eastAsia="楷体" w:cs="楷体"/>
          <w:b/>
          <w:color w:val="000000"/>
          <w:kern w:val="0"/>
          <w:sz w:val="56"/>
          <w:szCs w:val="44"/>
          <w:lang w:eastAsia="zh-CN"/>
        </w:rPr>
      </w:pPr>
    </w:p>
    <w:p>
      <w:pPr>
        <w:widowControl/>
        <w:jc w:val="center"/>
        <w:rPr>
          <w:rFonts w:hint="eastAsia" w:ascii="楷体" w:hAnsi="楷体" w:eastAsia="楷体" w:cs="楷体"/>
          <w:b/>
          <w:color w:val="000000"/>
          <w:kern w:val="0"/>
          <w:sz w:val="56"/>
          <w:szCs w:val="44"/>
        </w:rPr>
      </w:pPr>
      <w:r>
        <w:rPr>
          <w:rFonts w:hint="eastAsia" w:ascii="SimHei" w:hAnsi="SimHei" w:eastAsia="黑体" w:cs="楷体"/>
          <w:b/>
          <w:color w:val="000000"/>
          <w:kern w:val="0"/>
          <w:sz w:val="56"/>
          <w:szCs w:val="44"/>
          <w:lang w:eastAsia="zh-CN"/>
        </w:rPr>
        <w:t>XX</w:t>
      </w:r>
      <w:r>
        <w:rPr>
          <w:rFonts w:hint="eastAsia" w:ascii="SimHei" w:hAnsi="SimHei" w:eastAsia="黑体" w:cs="楷体"/>
          <w:b/>
          <w:color w:val="000000"/>
          <w:kern w:val="0"/>
          <w:sz w:val="56"/>
          <w:szCs w:val="44"/>
        </w:rPr>
        <w:t>中学市场专员、咨询顾问类</w:t>
      </w:r>
    </w:p>
    <w:p>
      <w:pPr>
        <w:widowControl/>
        <w:jc w:val="center"/>
        <w:rPr>
          <w:rFonts w:hint="eastAsia" w:ascii="楷体" w:hAnsi="楷体" w:eastAsia="楷体" w:cs="楷体"/>
          <w:b/>
          <w:color w:val="000000"/>
          <w:kern w:val="0"/>
          <w:sz w:val="96"/>
          <w:szCs w:val="120"/>
        </w:rPr>
      </w:pPr>
      <w:r>
        <w:rPr>
          <w:rFonts w:hint="eastAsia" w:ascii="SimHei" w:hAnsi="SimHei" w:eastAsia="黑体" w:cs="楷体"/>
          <w:b/>
          <w:color w:val="000000"/>
          <w:kern w:val="0"/>
          <w:sz w:val="96"/>
          <w:szCs w:val="120"/>
        </w:rPr>
        <w:t>薪酬管理方案汇总</w:t>
      </w:r>
    </w:p>
    <w:p>
      <w:pPr>
        <w:widowControl/>
        <w:jc w:val="left"/>
        <w:rPr>
          <w:rFonts w:hint="eastAsia" w:ascii="楷体" w:hAnsi="楷体" w:eastAsia="楷体" w:cs="楷体"/>
          <w:b/>
          <w:color w:val="000000"/>
          <w:kern w:val="0"/>
          <w:sz w:val="44"/>
          <w:szCs w:val="44"/>
        </w:rPr>
      </w:pPr>
    </w:p>
    <w:p>
      <w:pPr>
        <w:widowControl/>
        <w:jc w:val="center"/>
        <w:rPr>
          <w:rFonts w:hint="eastAsia" w:ascii="楷体" w:hAnsi="楷体" w:eastAsia="楷体" w:cs="楷体"/>
          <w:b/>
          <w:color w:val="000000"/>
          <w:kern w:val="0"/>
          <w:szCs w:val="44"/>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b/>
          <w:sz w:val="32"/>
          <w:szCs w:val="24"/>
        </w:rPr>
      </w:pPr>
      <w:r>
        <w:rPr>
          <w:rFonts w:hint="eastAsia" w:ascii="SimHei" w:hAnsi="SimHei" w:eastAsia="黑体" w:cs="楷体"/>
          <w:b/>
          <w:sz w:val="32"/>
          <w:szCs w:val="24"/>
        </w:rPr>
      </w:r>
    </w:p>
    <w:p>
      <w:pPr>
        <w:jc w:val="center"/>
        <w:rPr>
          <w:rFonts w:hint="eastAsia" w:ascii="楷体" w:hAnsi="楷体" w:eastAsia="楷体" w:cs="楷体"/>
          <w:b/>
          <w:sz w:val="32"/>
          <w:szCs w:val="24"/>
        </w:rPr>
      </w:pPr>
      <w:r>
        <w:rPr>
          <w:rFonts w:hint="eastAsia" w:ascii="SimHei" w:hAnsi="SimHei" w:eastAsia="黑体" w:cs="楷体"/>
          <w:b/>
          <w:sz w:val="32"/>
          <w:szCs w:val="24"/>
        </w:rPr>
        <w:t>目录</w:t>
      </w:r>
    </w:p>
    <w:p>
      <w:pPr>
        <w:jc w:val="center"/>
        <w:rPr>
          <w:rFonts w:hint="eastAsia" w:ascii="楷体" w:hAnsi="楷体" w:eastAsia="楷体" w:cs="楷体"/>
          <w:b/>
          <w:sz w:val="32"/>
          <w:szCs w:val="24"/>
        </w:rPr>
      </w:pPr>
    </w:p>
    <w:p>
      <w:pPr>
        <w:pStyle w:val="9"/>
        <w:tabs>
          <w:tab w:val="right" w:leader="dot" w:pos="13948"/>
        </w:tabs>
        <w:rPr>
          <w:rFonts w:hint="eastAsia" w:ascii="楷体" w:hAnsi="楷体" w:eastAsia="楷体" w:cs="楷体"/>
          <w:sz w:val="24"/>
          <w:szCs w:val="24"/>
        </w:rPr>
      </w:pP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4"/>
          <w:rFonts w:hint="eastAsia" w:ascii="SimHei" w:hAnsi="SimHei" w:eastAsia="黑体" w:cs="楷体"/>
          <w:sz w:val="24"/>
          <w:szCs w:val="24"/>
        </w:rPr>
        <w:t>一、走读区域市场专员、咨询顾问薪酬体系</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2</w:t>
      </w:r>
      <w:r>
        <w:rPr>
          <w:rFonts w:hint="eastAsia" w:ascii="SimHei" w:hAnsi="SimHei" w:eastAsia="黑体" w:cs="楷体"/>
          <w:sz w:val="24"/>
          <w:szCs w:val="24"/>
        </w:rPr>
      </w:r>
      <w:r>
        <w:rPr>
          <w:rFonts w:hint="eastAsia" w:ascii="SimHei" w:hAnsi="SimHei" w:eastAsia="黑体" w:cs="楷体"/>
          <w:sz w:val="24"/>
          <w:szCs w:val="24"/>
        </w:rPr>
      </w:r>
    </w:p>
    <w:p>
      <w:pPr>
        <w:pStyle w:val="10"/>
        <w:tabs>
          <w:tab w:val="right" w:leader="dot" w:pos="13948"/>
        </w:tabs>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4"/>
          <w:rFonts w:hint="eastAsia" w:ascii="SimHei" w:hAnsi="SimHei" w:eastAsia="黑体" w:cs="楷体"/>
          <w:sz w:val="24"/>
          <w:szCs w:val="24"/>
        </w:rPr>
        <w:t>（一）固定薪酬</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3</w:t>
      </w:r>
      <w:r>
        <w:rPr>
          <w:rFonts w:hint="eastAsia" w:ascii="SimHei" w:hAnsi="SimHei" w:eastAsia="黑体" w:cs="楷体"/>
          <w:sz w:val="24"/>
          <w:szCs w:val="24"/>
        </w:rPr>
      </w:r>
      <w:r>
        <w:rPr>
          <w:rFonts w:hint="eastAsia" w:ascii="SimHei" w:hAnsi="SimHei" w:eastAsia="黑体" w:cs="楷体"/>
          <w:sz w:val="24"/>
          <w:szCs w:val="24"/>
        </w:rPr>
      </w:r>
    </w:p>
    <w:p>
      <w:pPr>
        <w:pStyle w:val="10"/>
        <w:tabs>
          <w:tab w:val="right" w:leader="dot" w:pos="13948"/>
        </w:tabs>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4"/>
          <w:rFonts w:hint="eastAsia" w:ascii="SimHei" w:hAnsi="SimHei" w:eastAsia="黑体" w:cs="楷体"/>
          <w:sz w:val="24"/>
          <w:szCs w:val="24"/>
        </w:rPr>
        <w:t>（二）浮动奖金</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3</w:t>
      </w:r>
      <w:r>
        <w:rPr>
          <w:rFonts w:hint="eastAsia" w:ascii="SimHei" w:hAnsi="SimHei" w:eastAsia="黑体" w:cs="楷体"/>
          <w:sz w:val="24"/>
          <w:szCs w:val="24"/>
        </w:rPr>
      </w:r>
      <w:r>
        <w:rPr>
          <w:rFonts w:hint="eastAsia" w:ascii="SimHei" w:hAnsi="SimHei" w:eastAsia="黑体" w:cs="楷体"/>
          <w:sz w:val="24"/>
          <w:szCs w:val="24"/>
        </w:rPr>
      </w:r>
    </w:p>
    <w:p>
      <w:pPr>
        <w:pStyle w:val="5"/>
        <w:tabs>
          <w:tab w:val="right" w:leader="dot" w:pos="13948"/>
        </w:tabs>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4"/>
          <w:rFonts w:hint="eastAsia" w:ascii="SimHei" w:hAnsi="SimHei" w:eastAsia="黑体" w:cs="楷体"/>
          <w:sz w:val="24"/>
          <w:szCs w:val="24"/>
        </w:rPr>
        <w:t>1、月度绩效奖金：</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3</w:t>
      </w:r>
      <w:r>
        <w:rPr>
          <w:rFonts w:hint="eastAsia" w:ascii="SimHei" w:hAnsi="SimHei" w:eastAsia="黑体" w:cs="楷体"/>
          <w:sz w:val="24"/>
          <w:szCs w:val="24"/>
        </w:rPr>
      </w:r>
      <w:r>
        <w:rPr>
          <w:rFonts w:hint="eastAsia" w:ascii="SimHei" w:hAnsi="SimHei" w:eastAsia="黑体" w:cs="楷体"/>
          <w:sz w:val="24"/>
          <w:szCs w:val="24"/>
        </w:rPr>
      </w:r>
    </w:p>
    <w:p>
      <w:pPr>
        <w:pStyle w:val="5"/>
        <w:tabs>
          <w:tab w:val="right" w:leader="dot" w:pos="13948"/>
        </w:tabs>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4"/>
          <w:rFonts w:hint="eastAsia" w:ascii="SimHei" w:hAnsi="SimHei" w:eastAsia="黑体" w:cs="楷体"/>
          <w:sz w:val="24"/>
          <w:szCs w:val="24"/>
        </w:rPr>
        <w:t>2、季度超额收入奖金</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4</w:t>
      </w:r>
      <w:r>
        <w:rPr>
          <w:rFonts w:hint="eastAsia" w:ascii="SimHei" w:hAnsi="SimHei" w:eastAsia="黑体" w:cs="楷体"/>
          <w:sz w:val="24"/>
          <w:szCs w:val="24"/>
        </w:rPr>
      </w:r>
      <w:r>
        <w:rPr>
          <w:rFonts w:hint="eastAsia" w:ascii="SimHei" w:hAnsi="SimHei" w:eastAsia="黑体" w:cs="楷体"/>
          <w:sz w:val="24"/>
          <w:szCs w:val="24"/>
        </w:rPr>
      </w:r>
    </w:p>
    <w:p>
      <w:pPr>
        <w:pStyle w:val="5"/>
        <w:tabs>
          <w:tab w:val="right" w:leader="dot" w:pos="13948"/>
        </w:tabs>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4"/>
          <w:rFonts w:hint="eastAsia" w:ascii="SimHei" w:hAnsi="SimHei" w:eastAsia="黑体" w:cs="楷体"/>
          <w:sz w:val="24"/>
          <w:szCs w:val="24"/>
        </w:rPr>
        <w:t>3、季度招新奖金</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5</w:t>
      </w:r>
      <w:r>
        <w:rPr>
          <w:rFonts w:hint="eastAsia" w:ascii="SimHei" w:hAnsi="SimHei" w:eastAsia="黑体" w:cs="楷体"/>
          <w:sz w:val="24"/>
          <w:szCs w:val="24"/>
        </w:rPr>
      </w:r>
      <w:r>
        <w:rPr>
          <w:rFonts w:hint="eastAsia" w:ascii="SimHei" w:hAnsi="SimHei" w:eastAsia="黑体" w:cs="楷体"/>
          <w:sz w:val="24"/>
          <w:szCs w:val="24"/>
        </w:rPr>
      </w:r>
    </w:p>
    <w:p>
      <w:pPr>
        <w:pStyle w:val="5"/>
        <w:tabs>
          <w:tab w:val="right" w:leader="dot" w:pos="13948"/>
        </w:tabs>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4"/>
          <w:rFonts w:hint="eastAsia" w:ascii="SimHei" w:hAnsi="SimHei" w:eastAsia="黑体" w:cs="楷体"/>
          <w:sz w:val="24"/>
          <w:szCs w:val="24"/>
        </w:rPr>
        <w:t>4、奖金核算</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6</w:t>
      </w:r>
      <w:r>
        <w:rPr>
          <w:rFonts w:hint="eastAsia" w:ascii="SimHei" w:hAnsi="SimHei" w:eastAsia="黑体" w:cs="楷体"/>
          <w:sz w:val="24"/>
          <w:szCs w:val="24"/>
        </w:rPr>
      </w:r>
      <w:r>
        <w:rPr>
          <w:rFonts w:hint="eastAsia" w:ascii="SimHei" w:hAnsi="SimHei" w:eastAsia="黑体" w:cs="楷体"/>
          <w:sz w:val="24"/>
          <w:szCs w:val="24"/>
        </w:rPr>
      </w:r>
    </w:p>
    <w:p>
      <w:pPr>
        <w:pStyle w:val="5"/>
        <w:tabs>
          <w:tab w:val="right" w:leader="dot" w:pos="13948"/>
        </w:tabs>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4"/>
          <w:rFonts w:hint="eastAsia" w:ascii="SimHei" w:hAnsi="SimHei" w:eastAsia="黑体" w:cs="楷体"/>
          <w:sz w:val="24"/>
          <w:szCs w:val="24"/>
        </w:rPr>
        <w:t>5、特殊说明：</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6</w:t>
      </w:r>
      <w:r>
        <w:rPr>
          <w:rFonts w:hint="eastAsia" w:ascii="SimHei" w:hAnsi="SimHei" w:eastAsia="黑体" w:cs="楷体"/>
          <w:sz w:val="24"/>
          <w:szCs w:val="24"/>
        </w:rPr>
      </w:r>
      <w:r>
        <w:rPr>
          <w:rFonts w:hint="eastAsia" w:ascii="SimHei" w:hAnsi="SimHei" w:eastAsia="黑体" w:cs="楷体"/>
          <w:sz w:val="24"/>
          <w:szCs w:val="24"/>
        </w:rPr>
      </w:r>
    </w:p>
    <w:p>
      <w:pPr>
        <w:pStyle w:val="10"/>
        <w:tabs>
          <w:tab w:val="right" w:leader="dot" w:pos="13948"/>
        </w:tabs>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4"/>
          <w:rFonts w:hint="eastAsia" w:ascii="SimHei" w:hAnsi="SimHei" w:eastAsia="黑体" w:cs="楷体"/>
          <w:sz w:val="24"/>
          <w:szCs w:val="24"/>
        </w:rPr>
        <w:t>（三）生效日期：</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6</w:t>
      </w:r>
      <w:r>
        <w:rPr>
          <w:rFonts w:hint="eastAsia" w:ascii="SimHei" w:hAnsi="SimHei" w:eastAsia="黑体" w:cs="楷体"/>
          <w:sz w:val="24"/>
          <w:szCs w:val="24"/>
        </w:rPr>
      </w:r>
      <w:r>
        <w:rPr>
          <w:rFonts w:hint="eastAsia" w:ascii="SimHei" w:hAnsi="SimHei" w:eastAsia="黑体" w:cs="楷体"/>
          <w:sz w:val="24"/>
          <w:szCs w:val="24"/>
        </w:rPr>
      </w:r>
    </w:p>
    <w:p>
      <w:pPr>
        <w:pStyle w:val="10"/>
        <w:tabs>
          <w:tab w:val="right" w:leader="dot" w:pos="13948"/>
        </w:tabs>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4"/>
          <w:rFonts w:hint="eastAsia" w:ascii="SimHei" w:hAnsi="SimHei" w:eastAsia="黑体" w:cs="楷体"/>
          <w:sz w:val="24"/>
          <w:szCs w:val="24"/>
        </w:rPr>
        <w:t>（四）附录</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7</w:t>
      </w:r>
      <w:r>
        <w:rPr>
          <w:rFonts w:hint="eastAsia" w:ascii="SimHei" w:hAnsi="SimHei" w:eastAsia="黑体" w:cs="楷体"/>
          <w:sz w:val="24"/>
          <w:szCs w:val="24"/>
        </w:rPr>
      </w:r>
      <w:r>
        <w:rPr>
          <w:rFonts w:hint="eastAsia" w:ascii="SimHei" w:hAnsi="SimHei" w:eastAsia="黑体" w:cs="楷体"/>
          <w:sz w:val="24"/>
          <w:szCs w:val="24"/>
        </w:rPr>
      </w:r>
    </w:p>
    <w:p>
      <w:pPr>
        <w:pStyle w:val="5"/>
        <w:tabs>
          <w:tab w:val="right" w:leader="dot" w:pos="13948"/>
        </w:tabs>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4"/>
          <w:rFonts w:hint="eastAsia" w:ascii="SimHei" w:hAnsi="SimHei" w:eastAsia="黑体" w:cs="楷体"/>
          <w:sz w:val="24"/>
          <w:szCs w:val="24"/>
        </w:rPr>
        <w:t>1、分中心划分原则</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7</w:t>
      </w:r>
      <w:r>
        <w:rPr>
          <w:rFonts w:hint="eastAsia" w:ascii="SimHei" w:hAnsi="SimHei" w:eastAsia="黑体" w:cs="楷体"/>
          <w:sz w:val="24"/>
          <w:szCs w:val="24"/>
        </w:rPr>
      </w:r>
      <w:r>
        <w:rPr>
          <w:rFonts w:hint="eastAsia" w:ascii="SimHei" w:hAnsi="SimHei" w:eastAsia="黑体" w:cs="楷体"/>
          <w:sz w:val="24"/>
          <w:szCs w:val="24"/>
        </w:rPr>
      </w:r>
    </w:p>
    <w:p>
      <w:pPr>
        <w:pStyle w:val="5"/>
        <w:tabs>
          <w:tab w:val="right" w:leader="dot" w:pos="13948"/>
        </w:tabs>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4"/>
          <w:rFonts w:hint="eastAsia" w:ascii="SimHei" w:hAnsi="SimHei" w:eastAsia="黑体" w:cs="楷体"/>
          <w:kern w:val="0"/>
          <w:sz w:val="24"/>
          <w:szCs w:val="24"/>
        </w:rPr>
        <w:t>2、</w:t>
      </w:r>
      <w:r>
        <w:rPr>
          <w:rStyle w:val="14"/>
          <w:rFonts w:hint="eastAsia" w:ascii="SimHei" w:hAnsi="SimHei" w:eastAsia="黑体" w:cs="楷体"/>
          <w:kern w:val="0"/>
          <w:sz w:val="24"/>
          <w:szCs w:val="24"/>
          <w:lang w:eastAsia="zh-CN"/>
        </w:rPr>
        <w:t>XX</w:t>
      </w:r>
      <w:r>
        <w:rPr>
          <w:rStyle w:val="14"/>
          <w:rFonts w:hint="eastAsia" w:ascii="SimHei" w:hAnsi="SimHei" w:eastAsia="黑体" w:cs="楷体"/>
          <w:kern w:val="0"/>
          <w:sz w:val="24"/>
          <w:szCs w:val="24"/>
        </w:rPr>
        <w:t>中学部走读区域员工月度绩效考核办法-20</w:t>
      </w:r>
      <w:r>
        <w:rPr>
          <w:rStyle w:val="14"/>
          <w:rFonts w:hint="eastAsia" w:ascii="SimHei" w:hAnsi="SimHei" w:eastAsia="黑体" w:cs="楷体"/>
          <w:kern w:val="0"/>
          <w:sz w:val="24"/>
          <w:szCs w:val="24"/>
          <w:lang w:val="en-US" w:eastAsia="zh-CN"/>
        </w:rPr>
        <w:t>XX</w:t>
      </w:r>
      <w:r>
        <w:rPr>
          <w:rStyle w:val="14"/>
          <w:rFonts w:hint="eastAsia" w:ascii="SimHei" w:hAnsi="SimHei" w:eastAsia="黑体" w:cs="楷体"/>
          <w:kern w:val="0"/>
          <w:sz w:val="24"/>
          <w:szCs w:val="24"/>
        </w:rPr>
        <w:t>财年8月版</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11</w:t>
      </w:r>
      <w:r>
        <w:rPr>
          <w:rFonts w:hint="eastAsia" w:ascii="SimHei" w:hAnsi="SimHei" w:eastAsia="黑体" w:cs="楷体"/>
          <w:sz w:val="24"/>
          <w:szCs w:val="24"/>
        </w:rPr>
      </w:r>
      <w:r>
        <w:rPr>
          <w:rFonts w:hint="eastAsia" w:ascii="SimHei" w:hAnsi="SimHei" w:eastAsia="黑体" w:cs="楷体"/>
          <w:sz w:val="24"/>
          <w:szCs w:val="24"/>
        </w:rPr>
      </w:r>
    </w:p>
    <w:p>
      <w:pPr>
        <w:pStyle w:val="5"/>
        <w:tabs>
          <w:tab w:val="right" w:leader="dot" w:pos="13948"/>
        </w:tabs>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4"/>
          <w:rFonts w:hint="eastAsia" w:ascii="SimHei" w:hAnsi="SimHei" w:eastAsia="黑体" w:cs="楷体"/>
          <w:sz w:val="24"/>
          <w:szCs w:val="24"/>
        </w:rPr>
        <w:t>3、20</w:t>
      </w:r>
      <w:r>
        <w:rPr>
          <w:rStyle w:val="14"/>
          <w:rFonts w:hint="eastAsia" w:ascii="SimHei" w:hAnsi="SimHei" w:eastAsia="黑体" w:cs="楷体"/>
          <w:sz w:val="24"/>
          <w:szCs w:val="24"/>
          <w:lang w:val="en-US" w:eastAsia="zh-CN"/>
        </w:rPr>
        <w:t>XX</w:t>
      </w:r>
      <w:r>
        <w:rPr>
          <w:rStyle w:val="14"/>
          <w:rFonts w:hint="eastAsia" w:ascii="SimHei" w:hAnsi="SimHei" w:eastAsia="黑体" w:cs="楷体"/>
          <w:sz w:val="24"/>
          <w:szCs w:val="24"/>
        </w:rPr>
        <w:t>财年高考名师大班的收入划分法则</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13</w:t>
      </w:r>
      <w:r>
        <w:rPr>
          <w:rFonts w:hint="eastAsia" w:ascii="SimHei" w:hAnsi="SimHei" w:eastAsia="黑体" w:cs="楷体"/>
          <w:sz w:val="24"/>
          <w:szCs w:val="24"/>
        </w:rPr>
      </w:r>
      <w:r>
        <w:rPr>
          <w:rFonts w:hint="eastAsia" w:ascii="SimHei" w:hAnsi="SimHei" w:eastAsia="黑体" w:cs="楷体"/>
          <w:sz w:val="24"/>
          <w:szCs w:val="24"/>
        </w:rPr>
      </w:r>
    </w:p>
    <w:p>
      <w:pPr>
        <w:rPr>
          <w:rFonts w:hint="eastAsia" w:ascii="楷体" w:hAnsi="楷体" w:eastAsia="楷体" w:cs="楷体"/>
          <w:sz w:val="24"/>
          <w:szCs w:val="24"/>
        </w:rPr>
      </w:pPr>
      <w:r>
        <w:rPr>
          <w:rFonts w:hint="eastAsia" w:ascii="SimHei" w:hAnsi="SimHei" w:eastAsia="黑体" w:cs="楷体"/>
          <w:sz w:val="24"/>
          <w:szCs w:val="24"/>
        </w:rPr>
      </w: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pStyle w:val="2"/>
        <w:rPr>
          <w:rFonts w:hint="eastAsia" w:ascii="楷体" w:hAnsi="楷体" w:eastAsia="楷体" w:cs="楷体"/>
        </w:rPr>
      </w:pPr>
      <w:bookmarkStart w:id="0" w:name="_Toc428624937"/>
      <w:r>
        <w:rPr>
          <w:rFonts w:hint="eastAsia" w:ascii="SimHei" w:hAnsi="SimHei" w:eastAsia="黑体" w:cs="楷体"/>
        </w:rPr>
        <w:t>一、走读区域市场专员、咨询顾问薪酬体系</w:t>
      </w:r>
      <w:bookmarkEnd w:id="0"/>
    </w:p>
    <w:p>
      <w:pPr>
        <w:ind w:firstLine="480" w:firstLineChars="200"/>
        <w:jc w:val="left"/>
        <w:rPr>
          <w:rFonts w:hint="eastAsia" w:ascii="楷体" w:hAnsi="楷体" w:eastAsia="楷体" w:cs="楷体"/>
          <w:sz w:val="24"/>
          <w:szCs w:val="24"/>
        </w:rPr>
      </w:pPr>
      <w:r>
        <w:rPr>
          <w:rFonts w:hint="eastAsia" w:ascii="SimHei" w:hAnsi="SimHei" w:eastAsia="黑体" w:cs="楷体"/>
          <w:sz w:val="24"/>
          <w:szCs w:val="24"/>
        </w:rPr>
        <w:t>根据</w:t>
      </w:r>
      <w:r>
        <w:rPr>
          <w:rFonts w:hint="eastAsia" w:ascii="SimHei" w:hAnsi="SimHei" w:eastAsia="黑体" w:cs="楷体"/>
          <w:sz w:val="24"/>
          <w:szCs w:val="24"/>
          <w:lang w:eastAsia="zh-CN"/>
        </w:rPr>
        <w:t>XX</w:t>
      </w:r>
      <w:r>
        <w:rPr>
          <w:rFonts w:hint="eastAsia" w:ascii="SimHei" w:hAnsi="SimHei" w:eastAsia="黑体" w:cs="楷体"/>
          <w:sz w:val="24"/>
          <w:szCs w:val="24"/>
        </w:rPr>
        <w:t>中学部战略布局，20</w:t>
      </w:r>
      <w:r>
        <w:rPr>
          <w:rFonts w:hint="eastAsia" w:ascii="SimHei" w:hAnsi="SimHei" w:eastAsia="黑体" w:cs="楷体"/>
          <w:sz w:val="24"/>
          <w:szCs w:val="24"/>
          <w:lang w:val="en-US" w:eastAsia="zh-CN"/>
        </w:rPr>
        <w:t>XX</w:t>
      </w:r>
      <w:r>
        <w:rPr>
          <w:rFonts w:hint="eastAsia" w:ascii="SimHei" w:hAnsi="SimHei" w:eastAsia="黑体" w:cs="楷体"/>
          <w:sz w:val="24"/>
          <w:szCs w:val="24"/>
        </w:rPr>
        <w:t>财年将加大对北京本地市场的开拓，扩大对本地生源的影响力度，加强本地市场竞争力。因此，加强分中心的有生力量建设，有力抢占市场成为本财年部门的重点工作。为了有效激励员工不断提高绩效，特制定本方案，具体内容如下：</w:t>
      </w:r>
    </w:p>
    <w:p>
      <w:pPr>
        <w:pStyle w:val="3"/>
        <w:rPr>
          <w:rFonts w:hint="eastAsia" w:ascii="楷体" w:hAnsi="楷体" w:eastAsia="楷体" w:cs="楷体"/>
        </w:rPr>
      </w:pPr>
      <w:bookmarkStart w:id="1" w:name="_Toc428624938"/>
      <w:r>
        <w:rPr>
          <w:rFonts w:hint="eastAsia" w:ascii="SimHei" w:hAnsi="SimHei" w:eastAsia="黑体" w:cs="楷体"/>
        </w:rPr>
        <w:t>（一）固定薪酬</w:t>
      </w:r>
      <w:bookmarkEnd w:id="1"/>
    </w:p>
    <w:p>
      <w:pPr>
        <w:pStyle w:val="18"/>
        <w:numPr>
          <w:ilvl w:val="0"/>
          <w:numId w:val="1"/>
        </w:numPr>
        <w:ind w:firstLineChars="0"/>
        <w:jc w:val="left"/>
        <w:rPr>
          <w:rFonts w:hint="eastAsia" w:ascii="楷体" w:hAnsi="楷体" w:eastAsia="楷体" w:cs="楷体"/>
          <w:sz w:val="24"/>
          <w:szCs w:val="24"/>
        </w:rPr>
      </w:pPr>
      <w:r>
        <w:rPr>
          <w:rFonts w:hint="eastAsia" w:ascii="SimHei" w:hAnsi="SimHei" w:eastAsia="黑体" w:cs="楷体"/>
          <w:sz w:val="24"/>
          <w:szCs w:val="24"/>
        </w:rPr>
        <w:t>将新员工入职固定薪酬标准调整如下（单位：元/月）：</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2137"/>
        <w:gridCol w:w="2138"/>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7" w:type="dxa"/>
          </w:tcPr>
          <w:p>
            <w:pPr>
              <w:jc w:val="center"/>
              <w:rPr>
                <w:rFonts w:hint="eastAsia" w:ascii="楷体" w:hAnsi="楷体" w:eastAsia="楷体" w:cs="楷体"/>
                <w:b/>
                <w:sz w:val="24"/>
                <w:szCs w:val="24"/>
              </w:rPr>
            </w:pPr>
            <w:r>
              <w:rPr>
                <w:rFonts w:hint="eastAsia" w:ascii="SimHei" w:hAnsi="SimHei" w:eastAsia="黑体" w:cs="楷体"/>
                <w:b/>
                <w:sz w:val="24"/>
                <w:szCs w:val="24"/>
              </w:rPr>
              <w:t>岗位名称</w:t>
            </w:r>
          </w:p>
        </w:tc>
        <w:tc>
          <w:tcPr>
            <w:tcW w:w="2137" w:type="dxa"/>
          </w:tcPr>
          <w:p>
            <w:pPr>
              <w:jc w:val="center"/>
              <w:rPr>
                <w:rFonts w:hint="eastAsia" w:ascii="楷体" w:hAnsi="楷体" w:eastAsia="楷体" w:cs="楷体"/>
                <w:b/>
                <w:sz w:val="24"/>
                <w:szCs w:val="24"/>
              </w:rPr>
            </w:pPr>
            <w:r>
              <w:rPr>
                <w:rFonts w:hint="eastAsia" w:ascii="SimHei" w:hAnsi="SimHei" w:eastAsia="黑体" w:cs="楷体"/>
                <w:b/>
                <w:sz w:val="24"/>
                <w:szCs w:val="24"/>
              </w:rPr>
              <w:t>原标准</w:t>
            </w:r>
          </w:p>
        </w:tc>
        <w:tc>
          <w:tcPr>
            <w:tcW w:w="2138" w:type="dxa"/>
          </w:tcPr>
          <w:p>
            <w:pPr>
              <w:jc w:val="center"/>
              <w:rPr>
                <w:rFonts w:hint="eastAsia" w:ascii="楷体" w:hAnsi="楷体" w:eastAsia="楷体" w:cs="楷体"/>
                <w:b/>
                <w:sz w:val="24"/>
                <w:szCs w:val="24"/>
              </w:rPr>
            </w:pPr>
            <w:r>
              <w:rPr>
                <w:rFonts w:hint="eastAsia" w:ascii="SimHei" w:hAnsi="SimHei" w:eastAsia="黑体" w:cs="楷体"/>
                <w:b/>
                <w:sz w:val="24"/>
                <w:szCs w:val="24"/>
              </w:rPr>
              <w:t>新标准·转正后</w:t>
            </w:r>
          </w:p>
        </w:tc>
        <w:tc>
          <w:tcPr>
            <w:tcW w:w="1974" w:type="dxa"/>
          </w:tcPr>
          <w:p>
            <w:pPr>
              <w:jc w:val="center"/>
              <w:rPr>
                <w:rFonts w:hint="eastAsia" w:ascii="楷体" w:hAnsi="楷体" w:eastAsia="楷体" w:cs="楷体"/>
                <w:b/>
                <w:sz w:val="24"/>
                <w:szCs w:val="24"/>
              </w:rPr>
            </w:pPr>
            <w:r>
              <w:rPr>
                <w:rFonts w:hint="eastAsia" w:ascii="SimHei" w:hAnsi="SimHei" w:eastAsia="黑体" w:cs="楷体"/>
                <w:b/>
                <w:sz w:val="24"/>
                <w:szCs w:val="24"/>
              </w:rPr>
              <w:t>新标准·转正前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7" w:type="dxa"/>
          </w:tcPr>
          <w:p>
            <w:pPr>
              <w:jc w:val="center"/>
              <w:rPr>
                <w:rFonts w:hint="eastAsia" w:ascii="楷体" w:hAnsi="楷体" w:eastAsia="楷体" w:cs="楷体"/>
                <w:sz w:val="24"/>
                <w:szCs w:val="24"/>
              </w:rPr>
            </w:pPr>
            <w:r>
              <w:rPr>
                <w:rFonts w:hint="eastAsia" w:ascii="SimHei" w:hAnsi="SimHei" w:eastAsia="黑体" w:cs="楷体"/>
                <w:sz w:val="24"/>
                <w:szCs w:val="24"/>
              </w:rPr>
              <w:t>市场专员</w:t>
            </w:r>
          </w:p>
        </w:tc>
        <w:tc>
          <w:tcPr>
            <w:tcW w:w="2137" w:type="dxa"/>
          </w:tcPr>
          <w:p>
            <w:pPr>
              <w:jc w:val="center"/>
              <w:rPr>
                <w:rFonts w:hint="eastAsia" w:ascii="楷体" w:hAnsi="楷体" w:eastAsia="楷体" w:cs="楷体"/>
                <w:sz w:val="24"/>
                <w:szCs w:val="24"/>
              </w:rPr>
            </w:pPr>
            <w:r>
              <w:rPr>
                <w:rFonts w:hint="eastAsia" w:ascii="SimHei" w:hAnsi="SimHei" w:eastAsia="黑体" w:cs="楷体"/>
                <w:sz w:val="24"/>
                <w:szCs w:val="24"/>
              </w:rPr>
              <w:t xml:space="preserve">3500 </w:t>
            </w:r>
          </w:p>
        </w:tc>
        <w:tc>
          <w:tcPr>
            <w:tcW w:w="2138" w:type="dxa"/>
          </w:tcPr>
          <w:p>
            <w:pPr>
              <w:jc w:val="center"/>
              <w:rPr>
                <w:rFonts w:hint="eastAsia" w:ascii="楷体" w:hAnsi="楷体" w:eastAsia="楷体" w:cs="楷体"/>
                <w:sz w:val="24"/>
                <w:szCs w:val="24"/>
              </w:rPr>
            </w:pPr>
            <w:r>
              <w:rPr>
                <w:rFonts w:hint="eastAsia" w:ascii="SimHei" w:hAnsi="SimHei" w:eastAsia="黑体" w:cs="楷体"/>
                <w:sz w:val="24"/>
                <w:szCs w:val="24"/>
              </w:rPr>
              <w:t>3800</w:t>
            </w:r>
          </w:p>
        </w:tc>
        <w:tc>
          <w:tcPr>
            <w:tcW w:w="1974" w:type="dxa"/>
          </w:tcPr>
          <w:p>
            <w:pPr>
              <w:jc w:val="center"/>
              <w:rPr>
                <w:rFonts w:hint="eastAsia" w:ascii="楷体" w:hAnsi="楷体" w:eastAsia="楷体" w:cs="楷体"/>
                <w:sz w:val="24"/>
                <w:szCs w:val="24"/>
              </w:rPr>
            </w:pPr>
            <w:r>
              <w:rPr>
                <w:rFonts w:hint="eastAsia" w:ascii="SimHei" w:hAnsi="SimHei" w:eastAsia="黑体" w:cs="楷体"/>
                <w:sz w:val="24"/>
                <w:szCs w:val="24"/>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7" w:type="dxa"/>
          </w:tcPr>
          <w:p>
            <w:pPr>
              <w:jc w:val="center"/>
              <w:rPr>
                <w:rFonts w:hint="eastAsia" w:ascii="楷体" w:hAnsi="楷体" w:eastAsia="楷体" w:cs="楷体"/>
                <w:sz w:val="24"/>
                <w:szCs w:val="24"/>
              </w:rPr>
            </w:pPr>
            <w:r>
              <w:rPr>
                <w:rFonts w:hint="eastAsia" w:ascii="SimHei" w:hAnsi="SimHei" w:eastAsia="黑体" w:cs="楷体"/>
                <w:sz w:val="24"/>
                <w:szCs w:val="24"/>
              </w:rPr>
              <w:t>咨询顾问</w:t>
            </w:r>
          </w:p>
        </w:tc>
        <w:tc>
          <w:tcPr>
            <w:tcW w:w="2137" w:type="dxa"/>
          </w:tcPr>
          <w:p>
            <w:pPr>
              <w:jc w:val="center"/>
              <w:rPr>
                <w:rFonts w:hint="eastAsia" w:ascii="楷体" w:hAnsi="楷体" w:eastAsia="楷体" w:cs="楷体"/>
                <w:sz w:val="24"/>
                <w:szCs w:val="24"/>
              </w:rPr>
            </w:pPr>
            <w:r>
              <w:rPr>
                <w:rFonts w:hint="eastAsia" w:ascii="SimHei" w:hAnsi="SimHei" w:eastAsia="黑体" w:cs="楷体"/>
                <w:sz w:val="24"/>
                <w:szCs w:val="24"/>
              </w:rPr>
              <w:t>3000</w:t>
            </w:r>
          </w:p>
        </w:tc>
        <w:tc>
          <w:tcPr>
            <w:tcW w:w="2138" w:type="dxa"/>
          </w:tcPr>
          <w:p>
            <w:pPr>
              <w:jc w:val="center"/>
              <w:rPr>
                <w:rFonts w:hint="eastAsia" w:ascii="楷体" w:hAnsi="楷体" w:eastAsia="楷体" w:cs="楷体"/>
                <w:sz w:val="24"/>
                <w:szCs w:val="24"/>
              </w:rPr>
            </w:pPr>
            <w:r>
              <w:rPr>
                <w:rFonts w:hint="eastAsia" w:ascii="SimHei" w:hAnsi="SimHei" w:eastAsia="黑体" w:cs="楷体"/>
                <w:sz w:val="24"/>
                <w:szCs w:val="24"/>
              </w:rPr>
              <w:t>3800</w:t>
            </w:r>
          </w:p>
        </w:tc>
        <w:tc>
          <w:tcPr>
            <w:tcW w:w="1974" w:type="dxa"/>
          </w:tcPr>
          <w:p>
            <w:pPr>
              <w:jc w:val="center"/>
              <w:rPr>
                <w:rFonts w:hint="eastAsia" w:ascii="楷体" w:hAnsi="楷体" w:eastAsia="楷体" w:cs="楷体"/>
                <w:sz w:val="24"/>
                <w:szCs w:val="24"/>
              </w:rPr>
            </w:pPr>
            <w:r>
              <w:rPr>
                <w:rFonts w:hint="eastAsia" w:ascii="SimHei" w:hAnsi="SimHei" w:eastAsia="黑体" w:cs="楷体"/>
                <w:sz w:val="24"/>
                <w:szCs w:val="24"/>
              </w:rPr>
              <w:t>3200</w:t>
            </w:r>
          </w:p>
        </w:tc>
      </w:tr>
    </w:tbl>
    <w:p>
      <w:pPr>
        <w:pStyle w:val="18"/>
        <w:numPr>
          <w:ilvl w:val="0"/>
          <w:numId w:val="1"/>
        </w:numPr>
        <w:ind w:firstLineChars="0"/>
        <w:jc w:val="left"/>
        <w:rPr>
          <w:rFonts w:hint="eastAsia" w:ascii="楷体" w:hAnsi="楷体" w:eastAsia="楷体" w:cs="楷体"/>
          <w:sz w:val="24"/>
          <w:szCs w:val="24"/>
        </w:rPr>
      </w:pPr>
      <w:r>
        <w:rPr>
          <w:rFonts w:hint="eastAsia" w:ascii="SimHei" w:hAnsi="SimHei" w:eastAsia="黑体" w:cs="楷体"/>
          <w:sz w:val="24"/>
          <w:szCs w:val="24"/>
        </w:rPr>
        <w:t>调岗到以上岗位的员工，薪酬标准以部门提交的调薪申请为准。</w:t>
      </w:r>
    </w:p>
    <w:p>
      <w:pPr>
        <w:pStyle w:val="18"/>
        <w:numPr>
          <w:ilvl w:val="0"/>
          <w:numId w:val="1"/>
        </w:numPr>
        <w:ind w:firstLineChars="0"/>
        <w:jc w:val="left"/>
        <w:rPr>
          <w:rFonts w:hint="eastAsia" w:ascii="楷体" w:hAnsi="楷体" w:eastAsia="楷体" w:cs="楷体"/>
          <w:sz w:val="24"/>
          <w:szCs w:val="24"/>
        </w:rPr>
      </w:pPr>
      <w:r>
        <w:rPr>
          <w:rFonts w:hint="eastAsia" w:ascii="SimHei" w:hAnsi="SimHei" w:eastAsia="黑体" w:cs="楷体"/>
          <w:sz w:val="24"/>
          <w:szCs w:val="24"/>
        </w:rPr>
        <w:t>以上岗位员工正常参与年度调薪。</w:t>
      </w:r>
    </w:p>
    <w:p>
      <w:pPr>
        <w:pStyle w:val="18"/>
        <w:numPr>
          <w:ilvl w:val="0"/>
          <w:numId w:val="1"/>
        </w:numPr>
        <w:tabs>
          <w:tab w:val="left" w:pos="2190"/>
        </w:tabs>
        <w:ind w:firstLineChars="0"/>
        <w:jc w:val="left"/>
        <w:rPr>
          <w:rFonts w:hint="eastAsia" w:ascii="楷体" w:hAnsi="楷体" w:eastAsia="楷体" w:cs="楷体"/>
          <w:sz w:val="24"/>
          <w:szCs w:val="24"/>
        </w:rPr>
      </w:pPr>
      <w:r>
        <w:rPr>
          <w:rFonts w:hint="eastAsia" w:ascii="SimHei" w:hAnsi="SimHei" w:eastAsia="黑体" w:cs="楷体"/>
          <w:sz w:val="24"/>
          <w:szCs w:val="24"/>
        </w:rPr>
        <w:t>原则上新员工不直接招聘高级市场专员或高级咨询顾问，若有特殊情况，入职的固定薪酬标准由部门单独申请。</w:t>
      </w:r>
    </w:p>
    <w:p>
      <w:pPr>
        <w:rPr>
          <w:rFonts w:hint="eastAsia" w:ascii="楷体" w:hAnsi="楷体" w:eastAsia="楷体" w:cs="楷体"/>
          <w:sz w:val="24"/>
          <w:szCs w:val="24"/>
        </w:rPr>
      </w:pPr>
    </w:p>
    <w:p>
      <w:pPr>
        <w:pStyle w:val="3"/>
        <w:rPr>
          <w:rFonts w:hint="eastAsia" w:ascii="楷体" w:hAnsi="楷体" w:eastAsia="楷体" w:cs="楷体"/>
        </w:rPr>
      </w:pPr>
      <w:bookmarkStart w:id="2" w:name="_Toc428624939"/>
      <w:r>
        <w:rPr>
          <w:rFonts w:hint="eastAsia" w:ascii="SimHei" w:hAnsi="SimHei" w:eastAsia="黑体" w:cs="楷体"/>
        </w:rPr>
        <w:t>（二）浮动奖金</w:t>
      </w:r>
      <w:bookmarkEnd w:id="2"/>
    </w:p>
    <w:p>
      <w:pPr>
        <w:pStyle w:val="4"/>
        <w:rPr>
          <w:rFonts w:hint="eastAsia" w:ascii="楷体" w:hAnsi="楷体" w:eastAsia="楷体" w:cs="楷体"/>
        </w:rPr>
      </w:pPr>
      <w:bookmarkStart w:id="3" w:name="_Toc428624940"/>
      <w:r>
        <w:rPr>
          <w:rFonts w:hint="eastAsia" w:ascii="SimHei" w:hAnsi="SimHei" w:eastAsia="黑体" w:cs="楷体"/>
        </w:rPr>
        <w:t>1、月度绩效奖金：</w:t>
      </w:r>
      <w:bookmarkEnd w:id="3"/>
    </w:p>
    <w:p>
      <w:pPr>
        <w:pStyle w:val="18"/>
        <w:numPr>
          <w:ilvl w:val="0"/>
          <w:numId w:val="2"/>
        </w:numPr>
        <w:ind w:firstLineChars="0"/>
        <w:jc w:val="left"/>
        <w:rPr>
          <w:rFonts w:hint="eastAsia" w:ascii="楷体" w:hAnsi="楷体" w:eastAsia="楷体" w:cs="楷体"/>
          <w:sz w:val="24"/>
          <w:szCs w:val="24"/>
        </w:rPr>
      </w:pPr>
      <w:r>
        <w:rPr>
          <w:rFonts w:hint="eastAsia" w:ascii="SimHei" w:hAnsi="SimHei" w:eastAsia="黑体" w:cs="楷体"/>
          <w:sz w:val="24"/>
          <w:szCs w:val="24"/>
        </w:rPr>
        <w:t>核算周期：以每个考勤月作为一个核算周期</w:t>
      </w:r>
    </w:p>
    <w:p>
      <w:pPr>
        <w:pStyle w:val="18"/>
        <w:numPr>
          <w:ilvl w:val="0"/>
          <w:numId w:val="2"/>
        </w:numPr>
        <w:ind w:firstLineChars="0"/>
        <w:jc w:val="left"/>
        <w:rPr>
          <w:rFonts w:hint="eastAsia" w:ascii="楷体" w:hAnsi="楷体" w:eastAsia="楷体" w:cs="楷体"/>
          <w:sz w:val="24"/>
          <w:szCs w:val="24"/>
        </w:rPr>
      </w:pPr>
      <w:r>
        <w:rPr>
          <w:rFonts w:hint="eastAsia" w:ascii="SimHei" w:hAnsi="SimHei" w:eastAsia="黑体" w:cs="楷体"/>
          <w:sz w:val="24"/>
          <w:szCs w:val="24"/>
        </w:rPr>
        <w:t>参评范围：分中心除高级主管和直接负责中心运营的助理主管外的其他员工。</w:t>
      </w:r>
    </w:p>
    <w:p>
      <w:pPr>
        <w:ind w:firstLine="480" w:firstLineChars="200"/>
        <w:jc w:val="left"/>
        <w:rPr>
          <w:rFonts w:hint="eastAsia" w:ascii="楷体" w:hAnsi="楷体" w:eastAsia="楷体" w:cs="楷体"/>
          <w:sz w:val="24"/>
          <w:szCs w:val="24"/>
        </w:rPr>
      </w:pPr>
      <w:r>
        <w:rPr>
          <w:rFonts w:hint="eastAsia" w:ascii="SimHei" w:hAnsi="SimHei" w:eastAsia="黑体" w:cs="楷体"/>
          <w:sz w:val="24"/>
          <w:szCs w:val="24"/>
        </w:rPr>
        <w:t>参与条件：</w:t>
      </w:r>
    </w:p>
    <w:p>
      <w:pPr>
        <w:pStyle w:val="18"/>
        <w:numPr>
          <w:ilvl w:val="0"/>
          <w:numId w:val="3"/>
        </w:numPr>
        <w:ind w:firstLineChars="0"/>
        <w:jc w:val="left"/>
        <w:rPr>
          <w:rFonts w:hint="eastAsia" w:ascii="楷体" w:hAnsi="楷体" w:eastAsia="楷体" w:cs="楷体"/>
          <w:sz w:val="24"/>
          <w:szCs w:val="24"/>
        </w:rPr>
      </w:pPr>
      <w:r>
        <w:rPr>
          <w:rFonts w:hint="eastAsia" w:ascii="SimHei" w:hAnsi="SimHei" w:eastAsia="黑体" w:cs="楷体"/>
          <w:sz w:val="24"/>
          <w:szCs w:val="24"/>
        </w:rPr>
        <w:t>截至当月25日，已转正且通过部门内部考核的员工可以参与该奖金分配。</w:t>
      </w:r>
    </w:p>
    <w:p>
      <w:pPr>
        <w:pStyle w:val="18"/>
        <w:numPr>
          <w:ilvl w:val="0"/>
          <w:numId w:val="3"/>
        </w:numPr>
        <w:ind w:firstLineChars="0"/>
        <w:jc w:val="left"/>
        <w:rPr>
          <w:rFonts w:hint="eastAsia" w:ascii="楷体" w:hAnsi="楷体" w:eastAsia="楷体" w:cs="楷体"/>
          <w:sz w:val="24"/>
          <w:szCs w:val="24"/>
        </w:rPr>
      </w:pPr>
      <w:r>
        <w:rPr>
          <w:rFonts w:hint="eastAsia" w:ascii="SimHei" w:hAnsi="SimHei" w:eastAsia="黑体" w:cs="楷体"/>
          <w:sz w:val="24"/>
          <w:szCs w:val="24"/>
        </w:rPr>
        <w:t>当月请假天数不超过7个工作日，包括年假、病假、事假、婚假、产假、丧假等各类假期，不含调休和国家法定节假日。</w:t>
      </w:r>
    </w:p>
    <w:p>
      <w:pPr>
        <w:pStyle w:val="18"/>
        <w:numPr>
          <w:ilvl w:val="0"/>
          <w:numId w:val="2"/>
        </w:numPr>
        <w:ind w:firstLineChars="0"/>
        <w:jc w:val="left"/>
        <w:rPr>
          <w:rFonts w:hint="eastAsia" w:ascii="楷体" w:hAnsi="楷体" w:eastAsia="楷体" w:cs="楷体"/>
          <w:sz w:val="24"/>
          <w:szCs w:val="24"/>
        </w:rPr>
      </w:pPr>
      <w:r>
        <w:rPr>
          <w:rFonts w:hint="eastAsia" w:ascii="SimHei" w:hAnsi="SimHei" w:eastAsia="黑体" w:cs="楷体"/>
          <w:sz w:val="24"/>
          <w:szCs w:val="24"/>
        </w:rPr>
        <w:t>奖金标准：</w:t>
      </w:r>
    </w:p>
    <w:p>
      <w:pPr>
        <w:pStyle w:val="18"/>
        <w:numPr>
          <w:ilvl w:val="0"/>
          <w:numId w:val="4"/>
        </w:numPr>
        <w:tabs>
          <w:tab w:val="left" w:pos="2430"/>
        </w:tabs>
        <w:ind w:firstLineChars="0"/>
        <w:jc w:val="left"/>
        <w:rPr>
          <w:rFonts w:hint="eastAsia" w:ascii="楷体" w:hAnsi="楷体" w:eastAsia="楷体" w:cs="楷体"/>
          <w:sz w:val="24"/>
          <w:szCs w:val="24"/>
        </w:rPr>
      </w:pPr>
      <w:r>
        <w:rPr>
          <w:rFonts w:hint="eastAsia" w:ascii="SimHei" w:hAnsi="SimHei" w:eastAsia="黑体" w:cs="楷体"/>
          <w:sz w:val="24"/>
          <w:szCs w:val="24"/>
        </w:rPr>
        <w:t>所有员工奖金范围为0~600元/人/月。</w:t>
      </w:r>
    </w:p>
    <w:p>
      <w:pPr>
        <w:pStyle w:val="18"/>
        <w:numPr>
          <w:ilvl w:val="0"/>
          <w:numId w:val="4"/>
        </w:numPr>
        <w:tabs>
          <w:tab w:val="left" w:pos="2430"/>
        </w:tabs>
        <w:ind w:firstLineChars="0"/>
        <w:jc w:val="left"/>
        <w:rPr>
          <w:rFonts w:hint="eastAsia" w:ascii="楷体" w:hAnsi="楷体" w:eastAsia="楷体" w:cs="楷体"/>
          <w:sz w:val="24"/>
          <w:szCs w:val="24"/>
        </w:rPr>
      </w:pPr>
      <w:r>
        <w:rPr>
          <w:rFonts w:hint="eastAsia" w:ascii="SimHei" w:hAnsi="SimHei" w:eastAsia="黑体" w:cs="楷体"/>
          <w:sz w:val="24"/>
          <w:szCs w:val="24"/>
        </w:rPr>
        <w:t>由其他岗位调岗到</w:t>
      </w:r>
      <w:r>
        <w:rPr>
          <w:rFonts w:hint="eastAsia" w:ascii="SimHei" w:hAnsi="SimHei" w:eastAsia="黑体" w:cs="楷体"/>
          <w:sz w:val="24"/>
          <w:szCs w:val="24"/>
          <w:lang w:eastAsia="zh-CN"/>
        </w:rPr>
        <w:t>XX</w:t>
      </w:r>
      <w:r>
        <w:rPr>
          <w:rFonts w:hint="eastAsia" w:ascii="SimHei" w:hAnsi="SimHei" w:eastAsia="黑体" w:cs="楷体"/>
          <w:sz w:val="24"/>
          <w:szCs w:val="24"/>
        </w:rPr>
        <w:t>中学部走读中心（高级）市场专员或（高级）咨询顾问的员工，奖金标准同第（1）条，即奖金范围为0~600元/人/月。</w:t>
      </w:r>
    </w:p>
    <w:p>
      <w:pPr>
        <w:pStyle w:val="18"/>
        <w:numPr>
          <w:ilvl w:val="0"/>
          <w:numId w:val="2"/>
        </w:numPr>
        <w:ind w:firstLineChars="0"/>
        <w:jc w:val="left"/>
        <w:rPr>
          <w:rFonts w:hint="eastAsia" w:ascii="楷体" w:hAnsi="楷体" w:eastAsia="楷体" w:cs="楷体"/>
          <w:sz w:val="24"/>
          <w:szCs w:val="24"/>
        </w:rPr>
      </w:pPr>
      <w:r>
        <w:rPr>
          <w:rFonts w:hint="eastAsia" w:ascii="SimHei" w:hAnsi="SimHei" w:eastAsia="黑体" w:cs="楷体"/>
          <w:sz w:val="24"/>
          <w:szCs w:val="24"/>
        </w:rPr>
        <w:t>考核方案：详见《附件1：</w:t>
      </w:r>
      <w:r>
        <w:rPr>
          <w:rFonts w:hint="eastAsia" w:ascii="SimHei" w:hAnsi="SimHei" w:eastAsia="黑体" w:cs="楷体"/>
          <w:sz w:val="24"/>
          <w:szCs w:val="24"/>
          <w:lang w:eastAsia="zh-CN"/>
        </w:rPr>
        <w:t>XX</w:t>
      </w:r>
      <w:r>
        <w:rPr>
          <w:rFonts w:hint="eastAsia" w:ascii="SimHei" w:hAnsi="SimHei" w:eastAsia="黑体" w:cs="楷体"/>
          <w:sz w:val="24"/>
          <w:szCs w:val="24"/>
        </w:rPr>
        <w:t>中学部走读区域员工月度绩效考核办法·20</w:t>
      </w:r>
      <w:r>
        <w:rPr>
          <w:rFonts w:hint="eastAsia" w:ascii="SimHei" w:hAnsi="SimHei" w:eastAsia="黑体" w:cs="楷体"/>
          <w:sz w:val="24"/>
          <w:szCs w:val="24"/>
          <w:lang w:val="en-US" w:eastAsia="zh-CN"/>
        </w:rPr>
        <w:t>XX</w:t>
      </w:r>
      <w:r>
        <w:rPr>
          <w:rFonts w:hint="eastAsia" w:ascii="SimHei" w:hAnsi="SimHei" w:eastAsia="黑体" w:cs="楷体"/>
          <w:sz w:val="24"/>
          <w:szCs w:val="24"/>
        </w:rPr>
        <w:t>财年8月版》。</w:t>
      </w:r>
    </w:p>
    <w:p>
      <w:pPr>
        <w:pStyle w:val="18"/>
        <w:numPr>
          <w:ilvl w:val="0"/>
          <w:numId w:val="2"/>
        </w:numPr>
        <w:ind w:firstLineChars="0"/>
        <w:jc w:val="left"/>
        <w:rPr>
          <w:rFonts w:hint="eastAsia" w:ascii="楷体" w:hAnsi="楷体" w:eastAsia="楷体" w:cs="楷体"/>
          <w:sz w:val="24"/>
          <w:szCs w:val="24"/>
        </w:rPr>
      </w:pPr>
      <w:r>
        <w:rPr>
          <w:rFonts w:hint="eastAsia" w:ascii="SimHei" w:hAnsi="SimHei" w:eastAsia="黑体" w:cs="楷体"/>
          <w:sz w:val="24"/>
          <w:szCs w:val="24"/>
        </w:rPr>
        <w:t>奖金应用：员工以所在中心为单位，根据月度考核成绩进行排名发放奖金。具体奖金计算方法如下：</w:t>
      </w:r>
    </w:p>
    <w:p>
      <w:pPr>
        <w:tabs>
          <w:tab w:val="left" w:pos="2430"/>
        </w:tabs>
        <w:ind w:firstLine="420"/>
        <w:jc w:val="left"/>
        <w:rPr>
          <w:rFonts w:hint="eastAsia" w:ascii="楷体" w:hAnsi="楷体" w:eastAsia="楷体" w:cs="楷体"/>
          <w:sz w:val="24"/>
          <w:szCs w:val="24"/>
        </w:rPr>
      </w:pPr>
      <w:r>
        <w:rPr>
          <w:rFonts w:hint="eastAsia" w:ascii="SimHei" w:hAnsi="SimHei" w:eastAsia="黑体" w:cs="楷体"/>
          <w:sz w:val="24"/>
          <w:szCs w:val="24"/>
        </w:rPr>
        <w:t>假设中心有</w:t>
      </w:r>
      <m:oMath>
        <m:r>
          <m:rPr>
            <m:sty m:val="p"/>
          </m:rPr>
          <w:rPr>
            <w:rFonts w:hint="eastAsia" w:ascii="Cambria Math" w:hAnsi="Cambria Math" w:eastAsia="楷体" w:cs="楷体"/>
            <w:sz w:val="24"/>
            <w:szCs w:val="24"/>
          </w:rPr>
          <m:t>x</m:t>
        </m:r>
      </m:oMath>
      <w:r>
        <w:rPr>
          <w:rFonts w:hint="eastAsia" w:ascii="SimHei" w:hAnsi="SimHei" w:eastAsia="黑体" w:cs="楷体"/>
          <w:sz w:val="24"/>
          <w:szCs w:val="24"/>
        </w:rPr>
        <w:t xml:space="preserve"> 名员工，员工排名为第</w:t>
      </w:r>
      <m:oMath>
        <m:r>
          <m:rPr>
            <m:sty m:val="p"/>
          </m:rPr>
          <w:rPr>
            <w:rFonts w:hint="eastAsia" w:ascii="Cambria Math" w:hAnsi="Cambria Math" w:eastAsia="楷体" w:cs="楷体"/>
            <w:sz w:val="24"/>
            <w:szCs w:val="24"/>
          </w:rPr>
          <m:t xml:space="preserve"> y</m:t>
        </m:r>
      </m:oMath>
      <w:r>
        <w:rPr>
          <w:rFonts w:hint="eastAsia" w:ascii="SimHei" w:hAnsi="SimHei" w:eastAsia="黑体" w:cs="楷体"/>
          <w:sz w:val="24"/>
          <w:szCs w:val="24"/>
        </w:rPr>
        <w:t>名（1≤</w:t>
      </w:r>
      <m:oMath>
        <m:r>
          <m:rPr>
            <m:sty m:val="p"/>
          </m:rPr>
          <w:rPr>
            <w:rFonts w:hint="eastAsia" w:ascii="Cambria Math" w:hAnsi="Cambria Math" w:eastAsia="楷体" w:cs="楷体"/>
            <w:sz w:val="24"/>
            <w:szCs w:val="24"/>
          </w:rPr>
          <m:t>y</m:t>
        </m:r>
      </m:oMath>
      <w:r>
        <w:rPr>
          <w:rFonts w:hint="eastAsia" w:ascii="SimHei" w:hAnsi="SimHei" w:eastAsia="黑体" w:cs="楷体"/>
          <w:sz w:val="24"/>
          <w:szCs w:val="24"/>
        </w:rPr>
        <w:t>≤</w:t>
      </w:r>
      <m:oMath>
        <m:r>
          <m:rPr>
            <m:sty m:val="p"/>
          </m:rPr>
          <w:rPr>
            <w:rFonts w:hint="eastAsia" w:ascii="Cambria Math" w:hAnsi="Cambria Math" w:eastAsia="楷体" w:cs="楷体"/>
            <w:sz w:val="24"/>
            <w:szCs w:val="24"/>
          </w:rPr>
          <m:t>x</m:t>
        </m:r>
      </m:oMath>
      <w:r>
        <w:rPr>
          <w:rFonts w:hint="eastAsia" w:ascii="SimHei" w:hAnsi="SimHei" w:eastAsia="黑体" w:cs="楷体"/>
          <w:sz w:val="24"/>
          <w:szCs w:val="24"/>
        </w:rPr>
        <w:t>）</w:t>
      </w:r>
    </w:p>
    <w:p>
      <w:pPr>
        <w:pStyle w:val="18"/>
        <w:numPr>
          <w:ilvl w:val="0"/>
          <w:numId w:val="5"/>
        </w:numPr>
        <w:tabs>
          <w:tab w:val="left" w:pos="2430"/>
        </w:tabs>
        <w:ind w:firstLineChars="0"/>
        <w:jc w:val="left"/>
        <w:rPr>
          <w:rFonts w:hint="eastAsia" w:ascii="楷体" w:hAnsi="楷体" w:eastAsia="楷体" w:cs="楷体"/>
          <w:sz w:val="24"/>
          <w:szCs w:val="24"/>
        </w:rPr>
      </w:pPr>
      <w:r>
        <w:rPr>
          <w:rFonts w:hint="eastAsia" w:ascii="SimHei" w:hAnsi="SimHei" w:eastAsia="黑体" w:cs="楷体"/>
          <w:sz w:val="24"/>
          <w:szCs w:val="24"/>
        </w:rPr>
        <w:t>成绩无并列情况时：</w:t>
      </w:r>
    </w:p>
    <w:p>
      <w:pPr>
        <w:tabs>
          <w:tab w:val="left" w:pos="2430"/>
        </w:tabs>
        <w:ind w:firstLine="420"/>
        <w:jc w:val="left"/>
        <w:rPr>
          <w:rFonts w:hint="eastAsia" w:ascii="楷体" w:hAnsi="楷体" w:eastAsia="楷体" w:cs="楷体"/>
          <w:sz w:val="24"/>
          <w:szCs w:val="24"/>
        </w:rPr>
      </w:pPr>
      <w:r>
        <w:rPr>
          <w:rFonts w:hint="eastAsia" w:ascii="SimHei" w:hAnsi="SimHei" w:eastAsia="黑体" w:cs="楷体"/>
          <w:sz w:val="24"/>
          <w:szCs w:val="24"/>
        </w:rPr>
        <w:t>个人奖金=600/(</w:t>
      </w:r>
      <m:oMath>
        <m:r>
          <m:rPr>
            <m:sty m:val="p"/>
          </m:rPr>
          <w:rPr>
            <w:rFonts w:hint="eastAsia" w:ascii="Cambria Math" w:hAnsi="Cambria Math" w:eastAsia="楷体" w:cs="楷体"/>
            <w:sz w:val="24"/>
            <w:szCs w:val="24"/>
          </w:rPr>
          <m:t xml:space="preserve"> x</m:t>
        </m:r>
      </m:oMath>
      <w:r>
        <w:rPr>
          <w:rFonts w:hint="eastAsia" w:ascii="SimHei" w:hAnsi="SimHei" w:eastAsia="黑体" w:cs="楷体"/>
          <w:sz w:val="24"/>
          <w:szCs w:val="24"/>
        </w:rPr>
        <w:t xml:space="preserve"> -1)*(</w:t>
      </w:r>
      <m:oMath>
        <m:r>
          <m:rPr>
            <m:sty m:val="p"/>
          </m:rPr>
          <w:rPr>
            <w:rFonts w:hint="eastAsia" w:ascii="Cambria Math" w:hAnsi="Cambria Math" w:eastAsia="楷体" w:cs="楷体"/>
            <w:sz w:val="24"/>
            <w:szCs w:val="24"/>
          </w:rPr>
          <m:t xml:space="preserve"> x</m:t>
        </m:r>
      </m:oMath>
      <w:r>
        <w:rPr>
          <w:rFonts w:hint="eastAsia" w:ascii="SimHei" w:hAnsi="SimHei" w:eastAsia="黑体" w:cs="楷体"/>
          <w:sz w:val="24"/>
          <w:szCs w:val="24"/>
        </w:rPr>
        <w:t xml:space="preserve"> -</w:t>
      </w:r>
      <m:oMath>
        <m:r>
          <m:rPr>
            <m:sty m:val="p"/>
          </m:rPr>
          <w:rPr>
            <w:rFonts w:hint="eastAsia" w:ascii="Cambria Math" w:hAnsi="Cambria Math" w:eastAsia="楷体" w:cs="楷体"/>
            <w:sz w:val="24"/>
            <w:szCs w:val="24"/>
          </w:rPr>
          <m:t xml:space="preserve"> y</m:t>
        </m:r>
      </m:oMath>
      <w:r>
        <w:rPr>
          <w:rFonts w:hint="eastAsia" w:ascii="SimHei" w:hAnsi="SimHei" w:eastAsia="黑体" w:cs="楷体"/>
          <w:sz w:val="24"/>
          <w:szCs w:val="24"/>
        </w:rPr>
        <w:t>)</w:t>
      </w:r>
    </w:p>
    <w:p>
      <w:pPr>
        <w:tabs>
          <w:tab w:val="left" w:pos="2430"/>
        </w:tabs>
        <w:ind w:firstLine="420"/>
        <w:jc w:val="left"/>
        <w:rPr>
          <w:rFonts w:hint="eastAsia" w:ascii="楷体" w:hAnsi="楷体" w:eastAsia="楷体" w:cs="楷体"/>
          <w:sz w:val="24"/>
          <w:szCs w:val="24"/>
        </w:rPr>
      </w:pPr>
      <w:r>
        <w:rPr>
          <w:rFonts w:hint="eastAsia" w:ascii="SimHei" w:hAnsi="SimHei" w:eastAsia="黑体" w:cs="楷体"/>
          <w:sz w:val="24"/>
          <w:szCs w:val="24"/>
        </w:rPr>
        <w:t>举例：整个中心共有5名员工，排名第2的员工奖金=600/(5-1)*(5-2)=600/4*3=450元；</w:t>
      </w:r>
    </w:p>
    <w:p>
      <w:pPr>
        <w:pStyle w:val="18"/>
        <w:numPr>
          <w:ilvl w:val="0"/>
          <w:numId w:val="5"/>
        </w:numPr>
        <w:tabs>
          <w:tab w:val="left" w:pos="2430"/>
        </w:tabs>
        <w:ind w:firstLineChars="0"/>
        <w:jc w:val="left"/>
        <w:rPr>
          <w:rFonts w:hint="eastAsia" w:ascii="楷体" w:hAnsi="楷体" w:eastAsia="楷体" w:cs="楷体"/>
          <w:sz w:val="24"/>
          <w:szCs w:val="24"/>
        </w:rPr>
      </w:pPr>
      <w:r>
        <w:rPr>
          <w:rFonts w:hint="eastAsia" w:ascii="SimHei" w:hAnsi="SimHei" w:eastAsia="黑体" w:cs="楷体"/>
          <w:sz w:val="24"/>
          <w:szCs w:val="24"/>
        </w:rPr>
        <w:t>成绩有并列时，并列员工的奖金总额为无并列情况下正常排名时覆盖到的名次对应的员工奖金总额，所有并列的员工平均分配该奖金。</w:t>
      </w:r>
    </w:p>
    <w:p>
      <w:pPr>
        <w:tabs>
          <w:tab w:val="left" w:pos="2430"/>
        </w:tabs>
        <w:ind w:firstLine="480" w:firstLineChars="200"/>
        <w:jc w:val="left"/>
        <w:rPr>
          <w:rFonts w:hint="eastAsia" w:ascii="楷体" w:hAnsi="楷体" w:eastAsia="楷体" w:cs="楷体"/>
          <w:sz w:val="24"/>
          <w:szCs w:val="24"/>
        </w:rPr>
      </w:pPr>
      <w:r>
        <w:rPr>
          <w:rFonts w:hint="eastAsia" w:ascii="SimHei" w:hAnsi="SimHei" w:eastAsia="黑体" w:cs="楷体"/>
          <w:sz w:val="24"/>
          <w:szCs w:val="24"/>
        </w:rPr>
        <w:t>即假设共有</w:t>
      </w:r>
      <m:oMath>
        <m:r>
          <m:rPr>
            <m:sty m:val="p"/>
          </m:rPr>
          <w:rPr>
            <w:rFonts w:hint="eastAsia" w:ascii="Cambria Math" w:hAnsi="Cambria Math" w:eastAsia="楷体" w:cs="楷体"/>
            <w:sz w:val="24"/>
            <w:szCs w:val="24"/>
          </w:rPr>
          <m:t>t</m:t>
        </m:r>
      </m:oMath>
      <w:r>
        <w:rPr>
          <w:rFonts w:hint="eastAsia" w:ascii="SimHei" w:hAnsi="SimHei" w:eastAsia="黑体" w:cs="楷体"/>
          <w:sz w:val="24"/>
          <w:szCs w:val="24"/>
        </w:rPr>
        <w:t>名员工并列，排名为第</w:t>
      </w:r>
      <m:oMath>
        <m:r>
          <m:rPr>
            <m:sty m:val="p"/>
          </m:rPr>
          <w:rPr>
            <w:rFonts w:hint="eastAsia" w:ascii="Cambria Math" w:hAnsi="Cambria Math" w:eastAsia="楷体" w:cs="楷体"/>
            <w:sz w:val="24"/>
            <w:szCs w:val="24"/>
          </w:rPr>
          <m:t>y</m:t>
        </m:r>
      </m:oMath>
      <w:r>
        <w:rPr>
          <w:rFonts w:hint="eastAsia" w:ascii="SimHei" w:hAnsi="SimHei" w:eastAsia="黑体" w:cs="楷体"/>
          <w:sz w:val="24"/>
          <w:szCs w:val="24"/>
        </w:rPr>
        <w:t>名（1≤</w:t>
      </w:r>
      <m:oMath>
        <m:r>
          <m:rPr>
            <m:sty m:val="p"/>
          </m:rPr>
          <w:rPr>
            <w:rFonts w:hint="eastAsia" w:ascii="Cambria Math" w:hAnsi="Cambria Math" w:eastAsia="楷体" w:cs="楷体"/>
            <w:sz w:val="24"/>
            <w:szCs w:val="24"/>
          </w:rPr>
          <m:t>y</m:t>
        </m:r>
      </m:oMath>
      <w:r>
        <w:rPr>
          <w:rFonts w:hint="eastAsia" w:ascii="SimHei" w:hAnsi="SimHei" w:eastAsia="黑体" w:cs="楷体"/>
          <w:sz w:val="24"/>
          <w:szCs w:val="24"/>
        </w:rPr>
        <w:t>≤</w:t>
      </w:r>
      <m:oMath>
        <m:r>
          <m:rPr>
            <m:sty m:val="p"/>
          </m:rPr>
          <w:rPr>
            <w:rFonts w:hint="eastAsia" w:ascii="Cambria Math" w:hAnsi="Cambria Math" w:eastAsia="楷体" w:cs="楷体"/>
            <w:sz w:val="24"/>
            <w:szCs w:val="24"/>
          </w:rPr>
          <m:t>x</m:t>
        </m:r>
      </m:oMath>
      <w:r>
        <w:rPr>
          <w:rFonts w:hint="eastAsia" w:ascii="SimHei" w:hAnsi="SimHei" w:eastAsia="黑体" w:cs="楷体"/>
          <w:sz w:val="24"/>
          <w:szCs w:val="24"/>
        </w:rPr>
        <w:t>）：</w:t>
      </w:r>
    </w:p>
    <w:p>
      <w:pPr>
        <w:tabs>
          <w:tab w:val="left" w:pos="2430"/>
        </w:tabs>
        <w:ind w:firstLine="480" w:firstLineChars="200"/>
        <w:jc w:val="left"/>
        <w:rPr>
          <w:rFonts w:hint="eastAsia" w:ascii="楷体" w:hAnsi="楷体" w:eastAsia="楷体" w:cs="楷体"/>
          <w:sz w:val="24"/>
          <w:szCs w:val="24"/>
        </w:rPr>
      </w:pPr>
      <w:r>
        <w:rPr>
          <w:rFonts w:hint="eastAsia" w:ascii="SimHei" w:hAnsi="SimHei" w:eastAsia="黑体" w:cs="楷体"/>
          <w:sz w:val="24"/>
          <w:szCs w:val="24"/>
        </w:rPr>
        <w:t>并列员工的个人奖金=600/ (</w:t>
      </w:r>
      <m:oMath>
        <m:r>
          <m:rPr>
            <m:sty m:val="p"/>
          </m:rPr>
          <w:rPr>
            <w:rFonts w:hint="eastAsia" w:ascii="Cambria Math" w:hAnsi="Cambria Math" w:eastAsia="楷体" w:cs="楷体"/>
            <w:sz w:val="24"/>
            <w:szCs w:val="24"/>
          </w:rPr>
          <m:t xml:space="preserve"> x</m:t>
        </m:r>
      </m:oMath>
      <w:r>
        <w:rPr>
          <w:rFonts w:hint="eastAsia" w:ascii="SimHei" w:hAnsi="SimHei" w:eastAsia="黑体" w:cs="楷体"/>
          <w:sz w:val="24"/>
          <w:szCs w:val="24"/>
        </w:rPr>
        <w:t xml:space="preserve"> -1)* (</w:t>
      </w:r>
      <m:oMath>
        <m:r>
          <m:rPr>
            <m:sty m:val="p"/>
          </m:rPr>
          <w:rPr>
            <w:rFonts w:hint="eastAsia" w:ascii="Cambria Math" w:hAnsi="Cambria Math" w:eastAsia="楷体" w:cs="楷体"/>
            <w:sz w:val="24"/>
            <w:szCs w:val="24"/>
          </w:rPr>
          <m:t xml:space="preserve"> x</m:t>
        </m:r>
      </m:oMath>
      <w:r>
        <w:rPr>
          <w:rFonts w:hint="eastAsia" w:ascii="SimHei" w:hAnsi="SimHei" w:eastAsia="黑体" w:cs="楷体"/>
          <w:sz w:val="24"/>
          <w:szCs w:val="24"/>
        </w:rPr>
        <w:t xml:space="preserve"> –</w:t>
      </w:r>
      <m:oMath>
        <m:r>
          <m:rPr>
            <m:sty m:val="p"/>
          </m:rPr>
          <w:rPr>
            <w:rFonts w:hint="eastAsia" w:ascii="Cambria Math" w:hAnsi="Cambria Math" w:eastAsia="楷体" w:cs="楷体"/>
            <w:sz w:val="24"/>
            <w:szCs w:val="24"/>
          </w:rPr>
          <m:t xml:space="preserve"> y</m:t>
        </m:r>
      </m:oMath>
      <w:r>
        <w:rPr>
          <w:rFonts w:hint="eastAsia" w:ascii="SimHei" w:hAnsi="SimHei" w:eastAsia="黑体" w:cs="楷体"/>
          <w:sz w:val="24"/>
          <w:szCs w:val="24"/>
        </w:rPr>
        <w:t>-(</w:t>
      </w:r>
      <m:oMath>
        <m:r>
          <m:rPr>
            <m:sty m:val="p"/>
          </m:rPr>
          <w:rPr>
            <w:rFonts w:hint="eastAsia" w:ascii="Cambria Math" w:hAnsi="Cambria Math" w:eastAsia="楷体" w:cs="楷体"/>
            <w:sz w:val="24"/>
            <w:szCs w:val="24"/>
          </w:rPr>
          <m:t>t-1)/2</m:t>
        </m:r>
      </m:oMath>
      <w:r>
        <w:rPr>
          <w:rFonts w:hint="eastAsia" w:ascii="SimHei" w:hAnsi="SimHei" w:eastAsia="黑体" w:cs="楷体"/>
          <w:sz w:val="24"/>
          <w:szCs w:val="24"/>
        </w:rPr>
        <w:t>)</w:t>
      </w:r>
    </w:p>
    <w:p>
      <w:pPr>
        <w:tabs>
          <w:tab w:val="left" w:pos="2430"/>
        </w:tabs>
        <w:ind w:firstLine="480" w:firstLineChars="200"/>
        <w:jc w:val="left"/>
        <w:rPr>
          <w:rFonts w:hint="eastAsia" w:ascii="楷体" w:hAnsi="楷体" w:eastAsia="楷体" w:cs="楷体"/>
          <w:sz w:val="24"/>
          <w:szCs w:val="24"/>
        </w:rPr>
      </w:pPr>
      <w:r>
        <w:rPr>
          <w:rFonts w:hint="eastAsia" w:ascii="SimHei" w:hAnsi="SimHei" w:eastAsia="黑体" w:cs="楷体"/>
          <w:sz w:val="24"/>
          <w:szCs w:val="24"/>
        </w:rPr>
        <w:t>举例：整个中心共有5名员工，其中有2名员工并列第2名，因此两人应当平分无并列情况下排名第2名和第3名的员工奖金总额，即两人的奖金额均为排名第2.5名的员工奖金额。此时，员工奖金=600/(5-1)*(5-2-(2-1)/2)=600/4*2.5=375元。</w:t>
      </w:r>
    </w:p>
    <w:p>
      <w:pPr>
        <w:pStyle w:val="18"/>
        <w:numPr>
          <w:ilvl w:val="0"/>
          <w:numId w:val="5"/>
        </w:numPr>
        <w:tabs>
          <w:tab w:val="left" w:pos="2430"/>
        </w:tabs>
        <w:ind w:firstLineChars="0"/>
        <w:jc w:val="left"/>
        <w:rPr>
          <w:rFonts w:hint="eastAsia" w:ascii="楷体" w:hAnsi="楷体" w:eastAsia="楷体" w:cs="楷体"/>
          <w:sz w:val="24"/>
          <w:szCs w:val="24"/>
        </w:rPr>
      </w:pPr>
      <w:r>
        <w:rPr>
          <w:rFonts w:hint="eastAsia" w:ascii="SimHei" w:hAnsi="SimHei" w:eastAsia="黑体" w:cs="楷体"/>
          <w:sz w:val="24"/>
          <w:szCs w:val="24"/>
        </w:rPr>
        <w:t>当符合条件的员工人数</w:t>
      </w:r>
      <m:oMath>
        <m:r>
          <m:rPr>
            <m:sty m:val="p"/>
          </m:rPr>
          <w:rPr>
            <w:rFonts w:hint="eastAsia" w:ascii="Cambria Math" w:hAnsi="Cambria Math" w:eastAsia="楷体" w:cs="楷体"/>
            <w:sz w:val="24"/>
            <w:szCs w:val="24"/>
          </w:rPr>
          <m:t>x</m:t>
        </m:r>
      </m:oMath>
      <w:r>
        <w:rPr>
          <w:rFonts w:hint="eastAsia" w:ascii="SimHei" w:hAnsi="SimHei" w:eastAsia="黑体" w:cs="楷体"/>
          <w:sz w:val="24"/>
          <w:szCs w:val="24"/>
        </w:rPr>
        <w:t>=1时，该员工奖金标准为400元/月。</w:t>
      </w:r>
    </w:p>
    <w:p>
      <w:pPr>
        <w:pStyle w:val="4"/>
        <w:rPr>
          <w:rFonts w:hint="eastAsia" w:ascii="楷体" w:hAnsi="楷体" w:eastAsia="楷体" w:cs="楷体"/>
        </w:rPr>
      </w:pPr>
      <w:bookmarkStart w:id="4" w:name="_Toc428624941"/>
      <w:r>
        <w:rPr>
          <w:rFonts w:hint="eastAsia" w:ascii="SimHei" w:hAnsi="SimHei" w:eastAsia="黑体" w:cs="楷体"/>
        </w:rPr>
        <w:t>2、季度超额收入奖金</w:t>
      </w:r>
      <w:bookmarkEnd w:id="4"/>
    </w:p>
    <w:p>
      <w:pPr>
        <w:ind w:firstLine="480" w:firstLineChars="200"/>
        <w:jc w:val="left"/>
        <w:rPr>
          <w:rFonts w:hint="eastAsia" w:ascii="楷体" w:hAnsi="楷体" w:eastAsia="楷体" w:cs="楷体"/>
          <w:sz w:val="24"/>
          <w:szCs w:val="24"/>
        </w:rPr>
      </w:pPr>
      <w:r>
        <w:rPr>
          <w:rFonts w:hint="eastAsia" w:ascii="SimHei" w:hAnsi="SimHei" w:eastAsia="黑体" w:cs="楷体"/>
          <w:sz w:val="24"/>
          <w:szCs w:val="24"/>
        </w:rPr>
        <w:t>继续沿用20</w:t>
      </w:r>
      <w:r>
        <w:rPr>
          <w:rFonts w:hint="eastAsia" w:ascii="SimHei" w:hAnsi="SimHei" w:eastAsia="黑体" w:cs="楷体"/>
          <w:sz w:val="24"/>
          <w:szCs w:val="24"/>
          <w:lang w:val="en-US" w:eastAsia="zh-CN"/>
        </w:rPr>
        <w:t>XX</w:t>
      </w:r>
      <w:r>
        <w:rPr>
          <w:rFonts w:hint="eastAsia" w:ascii="SimHei" w:hAnsi="SimHei" w:eastAsia="黑体" w:cs="楷体"/>
          <w:sz w:val="24"/>
          <w:szCs w:val="24"/>
        </w:rPr>
        <w:t>财年的区域超额收入奖金计算方式，具体方案修订如下：</w:t>
      </w:r>
    </w:p>
    <w:p>
      <w:pPr>
        <w:pStyle w:val="18"/>
        <w:numPr>
          <w:ilvl w:val="0"/>
          <w:numId w:val="6"/>
        </w:numPr>
        <w:ind w:firstLineChars="0"/>
        <w:jc w:val="left"/>
        <w:rPr>
          <w:rFonts w:hint="eastAsia" w:ascii="楷体" w:hAnsi="楷体" w:eastAsia="楷体" w:cs="楷体"/>
          <w:sz w:val="24"/>
          <w:szCs w:val="24"/>
        </w:rPr>
      </w:pPr>
      <w:r>
        <w:rPr>
          <w:rFonts w:hint="eastAsia" w:ascii="SimHei" w:hAnsi="SimHei" w:eastAsia="黑体" w:cs="楷体"/>
          <w:sz w:val="24"/>
          <w:szCs w:val="24"/>
        </w:rPr>
        <w:t>核算周期：以每财季作为一个核算周期。</w:t>
      </w:r>
    </w:p>
    <w:p>
      <w:pPr>
        <w:pStyle w:val="18"/>
        <w:numPr>
          <w:ilvl w:val="0"/>
          <w:numId w:val="6"/>
        </w:numPr>
        <w:ind w:firstLineChars="0"/>
        <w:jc w:val="left"/>
        <w:rPr>
          <w:rFonts w:hint="eastAsia" w:ascii="楷体" w:hAnsi="楷体" w:eastAsia="楷体" w:cs="楷体"/>
          <w:sz w:val="24"/>
          <w:szCs w:val="24"/>
        </w:rPr>
      </w:pPr>
      <w:r>
        <w:rPr>
          <w:rFonts w:hint="eastAsia" w:ascii="SimHei" w:hAnsi="SimHei" w:eastAsia="黑体" w:cs="楷体"/>
          <w:sz w:val="24"/>
          <w:szCs w:val="24"/>
        </w:rPr>
        <w:t>参评范围：分中心除高级主管和直接负责中心运营的助理主管外的其他员工。</w:t>
      </w:r>
    </w:p>
    <w:p>
      <w:pPr>
        <w:ind w:firstLine="480" w:firstLineChars="200"/>
        <w:jc w:val="left"/>
        <w:rPr>
          <w:rFonts w:hint="eastAsia" w:ascii="楷体" w:hAnsi="楷体" w:eastAsia="楷体" w:cs="楷体"/>
          <w:sz w:val="24"/>
          <w:szCs w:val="24"/>
        </w:rPr>
      </w:pPr>
      <w:r>
        <w:rPr>
          <w:rFonts w:hint="eastAsia" w:ascii="SimHei" w:hAnsi="SimHei" w:eastAsia="黑体" w:cs="楷体"/>
          <w:sz w:val="24"/>
          <w:szCs w:val="24"/>
        </w:rPr>
        <w:t>以下员工不纳入参评范围：</w:t>
      </w:r>
    </w:p>
    <w:p>
      <w:pPr>
        <w:pStyle w:val="18"/>
        <w:numPr>
          <w:ilvl w:val="0"/>
          <w:numId w:val="7"/>
        </w:numPr>
        <w:spacing w:line="160" w:lineRule="atLeast"/>
        <w:ind w:firstLineChars="0"/>
        <w:rPr>
          <w:rFonts w:hint="eastAsia" w:ascii="楷体" w:hAnsi="楷体" w:eastAsia="楷体" w:cs="楷体"/>
          <w:sz w:val="24"/>
          <w:szCs w:val="24"/>
        </w:rPr>
      </w:pPr>
      <w:r>
        <w:rPr>
          <w:rFonts w:hint="eastAsia" w:ascii="SimHei" w:hAnsi="SimHei" w:eastAsia="黑体" w:cs="楷体"/>
          <w:sz w:val="24"/>
          <w:szCs w:val="24"/>
        </w:rPr>
        <w:t>在本核算周期内，尚未转正的员工；</w:t>
      </w:r>
    </w:p>
    <w:p>
      <w:pPr>
        <w:pStyle w:val="18"/>
        <w:numPr>
          <w:ilvl w:val="0"/>
          <w:numId w:val="7"/>
        </w:numPr>
        <w:spacing w:line="160" w:lineRule="atLeast"/>
        <w:ind w:firstLineChars="0"/>
        <w:rPr>
          <w:rFonts w:hint="eastAsia" w:ascii="楷体" w:hAnsi="楷体" w:eastAsia="楷体" w:cs="楷体"/>
          <w:sz w:val="24"/>
          <w:szCs w:val="24"/>
        </w:rPr>
      </w:pPr>
      <w:r>
        <w:rPr>
          <w:rFonts w:hint="eastAsia" w:ascii="SimHei" w:hAnsi="SimHei" w:eastAsia="黑体" w:cs="楷体"/>
          <w:sz w:val="24"/>
          <w:szCs w:val="24"/>
        </w:rPr>
        <w:t>在本核算周期内，调岗后就职于上述岗位，但在以上岗位工作不满２个月的员工；</w:t>
      </w:r>
    </w:p>
    <w:p>
      <w:pPr>
        <w:pStyle w:val="18"/>
        <w:numPr>
          <w:ilvl w:val="0"/>
          <w:numId w:val="7"/>
        </w:numPr>
        <w:spacing w:line="160" w:lineRule="atLeast"/>
        <w:ind w:firstLineChars="0"/>
        <w:rPr>
          <w:rFonts w:hint="eastAsia" w:ascii="楷体" w:hAnsi="楷体" w:eastAsia="楷体" w:cs="楷体"/>
          <w:sz w:val="24"/>
          <w:szCs w:val="24"/>
        </w:rPr>
      </w:pPr>
      <w:r>
        <w:rPr>
          <w:rFonts w:hint="eastAsia" w:ascii="SimHei" w:hAnsi="SimHei" w:eastAsia="黑体" w:cs="楷体"/>
          <w:sz w:val="24"/>
          <w:szCs w:val="24"/>
        </w:rPr>
        <w:t>在本核算周期内，任意一个月请假天数超过7个工作日的，包括年假、病假、事假、婚假、产假、丧假等各类假期，不含调休和国家法定节假日。</w:t>
      </w:r>
    </w:p>
    <w:p>
      <w:pPr>
        <w:pStyle w:val="18"/>
        <w:numPr>
          <w:ilvl w:val="0"/>
          <w:numId w:val="7"/>
        </w:numPr>
        <w:spacing w:line="160" w:lineRule="atLeast"/>
        <w:ind w:firstLineChars="0"/>
        <w:rPr>
          <w:rFonts w:hint="eastAsia" w:ascii="楷体" w:hAnsi="楷体" w:eastAsia="楷体" w:cs="楷体"/>
          <w:sz w:val="24"/>
          <w:szCs w:val="24"/>
        </w:rPr>
      </w:pPr>
      <w:r>
        <w:rPr>
          <w:rFonts w:hint="eastAsia" w:ascii="SimHei" w:hAnsi="SimHei" w:eastAsia="黑体" w:cs="楷体"/>
          <w:sz w:val="24"/>
          <w:szCs w:val="24"/>
        </w:rPr>
        <w:t>在本核算周期内，被辞退及主动辞职的员工；</w:t>
      </w:r>
    </w:p>
    <w:p>
      <w:pPr>
        <w:pStyle w:val="18"/>
        <w:numPr>
          <w:ilvl w:val="0"/>
          <w:numId w:val="7"/>
        </w:numPr>
        <w:spacing w:line="160" w:lineRule="atLeast"/>
        <w:ind w:firstLineChars="0"/>
        <w:rPr>
          <w:rFonts w:hint="eastAsia" w:ascii="楷体" w:hAnsi="楷体" w:eastAsia="楷体" w:cs="楷体"/>
          <w:sz w:val="24"/>
          <w:szCs w:val="24"/>
        </w:rPr>
      </w:pPr>
      <w:r>
        <w:rPr>
          <w:rFonts w:hint="eastAsia" w:ascii="SimHei" w:hAnsi="SimHei" w:eastAsia="黑体" w:cs="楷体"/>
          <w:sz w:val="24"/>
          <w:szCs w:val="24"/>
        </w:rPr>
        <w:t>在本核算周期内，出现旷工现象的员工；</w:t>
      </w:r>
    </w:p>
    <w:p>
      <w:pPr>
        <w:pStyle w:val="18"/>
        <w:numPr>
          <w:ilvl w:val="0"/>
          <w:numId w:val="7"/>
        </w:numPr>
        <w:spacing w:line="160" w:lineRule="atLeast"/>
        <w:ind w:firstLineChars="0"/>
        <w:rPr>
          <w:rFonts w:hint="eastAsia" w:ascii="楷体" w:hAnsi="楷体" w:eastAsia="楷体" w:cs="楷体"/>
          <w:sz w:val="24"/>
          <w:szCs w:val="24"/>
        </w:rPr>
      </w:pPr>
      <w:r>
        <w:rPr>
          <w:rFonts w:hint="eastAsia" w:ascii="SimHei" w:hAnsi="SimHei" w:eastAsia="黑体" w:cs="楷体"/>
          <w:sz w:val="24"/>
          <w:szCs w:val="24"/>
        </w:rPr>
        <w:t>在本核算周期内，调离原分中心的员工；</w:t>
      </w:r>
    </w:p>
    <w:p>
      <w:pPr>
        <w:pStyle w:val="18"/>
        <w:numPr>
          <w:ilvl w:val="0"/>
          <w:numId w:val="7"/>
        </w:numPr>
        <w:spacing w:line="160" w:lineRule="atLeast"/>
        <w:ind w:firstLineChars="0"/>
        <w:rPr>
          <w:rFonts w:hint="eastAsia" w:ascii="楷体" w:hAnsi="楷体" w:eastAsia="楷体" w:cs="楷体"/>
          <w:sz w:val="24"/>
          <w:szCs w:val="24"/>
        </w:rPr>
      </w:pPr>
      <w:r>
        <w:rPr>
          <w:rFonts w:hint="eastAsia" w:ascii="SimHei" w:hAnsi="SimHei" w:eastAsia="黑体" w:cs="楷体"/>
          <w:sz w:val="24"/>
          <w:szCs w:val="24"/>
        </w:rPr>
        <w:t>在本核算周期内，调岗为上述职位以外的其他职位的员工；</w:t>
      </w:r>
    </w:p>
    <w:p>
      <w:pPr>
        <w:pStyle w:val="18"/>
        <w:numPr>
          <w:ilvl w:val="0"/>
          <w:numId w:val="7"/>
        </w:numPr>
        <w:spacing w:line="160" w:lineRule="atLeast"/>
        <w:ind w:firstLineChars="0"/>
        <w:rPr>
          <w:rFonts w:hint="eastAsia" w:ascii="楷体" w:hAnsi="楷体" w:eastAsia="楷体" w:cs="楷体"/>
          <w:sz w:val="24"/>
          <w:szCs w:val="24"/>
        </w:rPr>
      </w:pPr>
      <w:r>
        <w:rPr>
          <w:rFonts w:hint="eastAsia" w:ascii="SimHei" w:hAnsi="SimHei" w:eastAsia="黑体" w:cs="楷体"/>
          <w:sz w:val="24"/>
          <w:szCs w:val="24"/>
        </w:rPr>
        <w:t>在本核算周期内，所在分中心无预算指标的员工。</w:t>
      </w:r>
    </w:p>
    <w:p>
      <w:pPr>
        <w:pStyle w:val="18"/>
        <w:numPr>
          <w:ilvl w:val="0"/>
          <w:numId w:val="6"/>
        </w:numPr>
        <w:ind w:firstLineChars="0"/>
        <w:jc w:val="left"/>
        <w:rPr>
          <w:rFonts w:hint="eastAsia" w:ascii="楷体" w:hAnsi="楷体" w:eastAsia="楷体" w:cs="楷体"/>
          <w:sz w:val="24"/>
          <w:szCs w:val="24"/>
        </w:rPr>
      </w:pPr>
      <w:r>
        <w:rPr>
          <w:rFonts w:hint="eastAsia" w:ascii="SimHei" w:hAnsi="SimHei" w:eastAsia="黑体" w:cs="楷体"/>
          <w:sz w:val="24"/>
          <w:szCs w:val="24"/>
        </w:rPr>
        <w:t>奖励方式：</w:t>
      </w:r>
    </w:p>
    <w:p>
      <w:pPr>
        <w:ind w:firstLine="480" w:firstLineChars="200"/>
        <w:jc w:val="left"/>
        <w:rPr>
          <w:rFonts w:hint="eastAsia" w:ascii="楷体" w:hAnsi="楷体" w:eastAsia="楷体" w:cs="楷体"/>
          <w:sz w:val="24"/>
          <w:szCs w:val="24"/>
        </w:rPr>
      </w:pPr>
      <w:r>
        <w:rPr>
          <w:rFonts w:hint="eastAsia" w:ascii="SimHei" w:hAnsi="SimHei" w:eastAsia="黑体" w:cs="楷体"/>
          <w:sz w:val="24"/>
          <w:szCs w:val="24"/>
        </w:rPr>
        <w:t>在部门走读区域整体完成本财季结转收入预算的前提下，对超额完成预算的中心进行奖励，以超额收入的1.5%计算中心总奖金，在符合参评范围的员工中平均分配。</w:t>
      </w:r>
    </w:p>
    <w:p>
      <w:pPr>
        <w:pStyle w:val="4"/>
        <w:rPr>
          <w:rFonts w:hint="eastAsia" w:ascii="楷体" w:hAnsi="楷体" w:eastAsia="楷体" w:cs="楷体"/>
        </w:rPr>
      </w:pPr>
      <w:bookmarkStart w:id="5" w:name="_Toc428624942"/>
      <w:r>
        <w:rPr>
          <w:rFonts w:hint="eastAsia" w:ascii="SimHei" w:hAnsi="SimHei" w:eastAsia="黑体" w:cs="楷体"/>
        </w:rPr>
        <w:t>3、季度招新奖金</w:t>
      </w:r>
      <w:bookmarkEnd w:id="5"/>
    </w:p>
    <w:p>
      <w:pPr>
        <w:pStyle w:val="18"/>
        <w:numPr>
          <w:ilvl w:val="0"/>
          <w:numId w:val="8"/>
        </w:numPr>
        <w:ind w:firstLineChars="0"/>
        <w:jc w:val="left"/>
        <w:rPr>
          <w:rFonts w:hint="eastAsia" w:ascii="楷体" w:hAnsi="楷体" w:eastAsia="楷体" w:cs="楷体"/>
          <w:sz w:val="24"/>
          <w:szCs w:val="24"/>
        </w:rPr>
      </w:pPr>
      <w:r>
        <w:rPr>
          <w:rFonts w:hint="eastAsia" w:ascii="SimHei" w:hAnsi="SimHei" w:eastAsia="黑体" w:cs="楷体"/>
          <w:sz w:val="24"/>
          <w:szCs w:val="24"/>
        </w:rPr>
        <w:t>核算周期：以每财季作为一个核算周期。</w:t>
      </w:r>
    </w:p>
    <w:p>
      <w:pPr>
        <w:pStyle w:val="18"/>
        <w:numPr>
          <w:ilvl w:val="0"/>
          <w:numId w:val="8"/>
        </w:numPr>
        <w:ind w:firstLineChars="0"/>
        <w:jc w:val="left"/>
        <w:rPr>
          <w:rFonts w:hint="eastAsia" w:ascii="楷体" w:hAnsi="楷体" w:eastAsia="楷体" w:cs="楷体"/>
          <w:sz w:val="24"/>
          <w:szCs w:val="24"/>
        </w:rPr>
      </w:pPr>
      <w:r>
        <w:rPr>
          <w:rFonts w:hint="eastAsia" w:ascii="SimHei" w:hAnsi="SimHei" w:eastAsia="黑体" w:cs="楷体"/>
          <w:sz w:val="24"/>
          <w:szCs w:val="24"/>
        </w:rPr>
        <w:t>参评范围：同“（二）季度超额收入奖金”的第2条“参评范围”的第（1）至（7）条；第（8）条：在本核算周期内，所在分中心当季无预算指标时，员工依然参与招新奖金的核算与发放。</w:t>
      </w:r>
    </w:p>
    <w:p>
      <w:pPr>
        <w:pStyle w:val="18"/>
        <w:numPr>
          <w:ilvl w:val="0"/>
          <w:numId w:val="8"/>
        </w:numPr>
        <w:ind w:firstLineChars="0"/>
        <w:jc w:val="left"/>
        <w:rPr>
          <w:rFonts w:hint="eastAsia" w:ascii="楷体" w:hAnsi="楷体" w:eastAsia="楷体" w:cs="楷体"/>
          <w:sz w:val="24"/>
          <w:szCs w:val="24"/>
        </w:rPr>
      </w:pPr>
      <w:r>
        <w:rPr>
          <w:rFonts w:hint="eastAsia" w:ascii="SimHei" w:hAnsi="SimHei" w:eastAsia="黑体" w:cs="楷体"/>
          <w:sz w:val="24"/>
          <w:szCs w:val="24"/>
        </w:rPr>
        <w:t>新生界定：上一季度未在</w:t>
      </w:r>
      <w:r>
        <w:rPr>
          <w:rFonts w:hint="eastAsia" w:ascii="SimHei" w:hAnsi="SimHei" w:eastAsia="黑体" w:cs="楷体"/>
          <w:sz w:val="24"/>
          <w:szCs w:val="24"/>
          <w:lang w:eastAsia="zh-CN"/>
        </w:rPr>
        <w:t>XX</w:t>
      </w:r>
      <w:r>
        <w:rPr>
          <w:rFonts w:hint="eastAsia" w:ascii="SimHei" w:hAnsi="SimHei" w:eastAsia="黑体" w:cs="楷体"/>
          <w:sz w:val="24"/>
          <w:szCs w:val="24"/>
        </w:rPr>
        <w:t>中学部某科目报班，而本季度报入该科目课程的学员界定为该科目“新生”，与其是否在</w:t>
      </w:r>
      <w:r>
        <w:rPr>
          <w:rFonts w:hint="eastAsia" w:ascii="SimHei" w:hAnsi="SimHei" w:eastAsia="黑体" w:cs="楷体"/>
          <w:sz w:val="24"/>
          <w:szCs w:val="24"/>
          <w:lang w:eastAsia="zh-CN"/>
        </w:rPr>
        <w:t>XX</w:t>
      </w:r>
      <w:r>
        <w:rPr>
          <w:rFonts w:hint="eastAsia" w:ascii="SimHei" w:hAnsi="SimHei" w:eastAsia="黑体" w:cs="楷体"/>
          <w:sz w:val="24"/>
          <w:szCs w:val="24"/>
        </w:rPr>
        <w:t>中学部有过其他报班记录无关。当季每个中心所有科目的“新生”人数加总为本中心“新生”人数。</w:t>
      </w:r>
    </w:p>
    <w:p>
      <w:pPr>
        <w:pStyle w:val="18"/>
        <w:numPr>
          <w:ilvl w:val="0"/>
          <w:numId w:val="8"/>
        </w:numPr>
        <w:ind w:firstLineChars="0"/>
        <w:jc w:val="left"/>
        <w:rPr>
          <w:rFonts w:hint="eastAsia" w:ascii="楷体" w:hAnsi="楷体" w:eastAsia="楷体" w:cs="楷体"/>
          <w:sz w:val="24"/>
          <w:szCs w:val="24"/>
        </w:rPr>
      </w:pPr>
      <w:r>
        <w:rPr>
          <w:rFonts w:hint="eastAsia" w:ascii="SimHei" w:hAnsi="SimHei" w:eastAsia="黑体" w:cs="楷体"/>
          <w:sz w:val="24"/>
          <w:szCs w:val="24"/>
        </w:rPr>
        <w:t>奖励依据：所在分中心的新生率排名，其中新生率=本中心新生人数/本中心招生总人数。</w:t>
      </w:r>
    </w:p>
    <w:p>
      <w:pPr>
        <w:pStyle w:val="18"/>
        <w:numPr>
          <w:ilvl w:val="0"/>
          <w:numId w:val="8"/>
        </w:numPr>
        <w:ind w:firstLineChars="0"/>
        <w:jc w:val="left"/>
        <w:rPr>
          <w:rFonts w:hint="eastAsia" w:ascii="楷体" w:hAnsi="楷体" w:eastAsia="楷体" w:cs="楷体"/>
          <w:sz w:val="24"/>
          <w:szCs w:val="24"/>
        </w:rPr>
      </w:pPr>
      <w:r>
        <w:rPr>
          <w:rFonts w:hint="eastAsia" w:ascii="SimHei" w:hAnsi="SimHei" w:eastAsia="黑体" w:cs="楷体"/>
          <w:sz w:val="24"/>
          <w:szCs w:val="24"/>
        </w:rPr>
        <w:t>奖金标准：根据各分中心的新生率由高到低进行排名，根据以下标准向该中心符合参评范围的员工发放奖金，同一中心的员工奖金标准相同。</w:t>
      </w:r>
    </w:p>
    <w:tbl>
      <w:tblPr>
        <w:tblStyle w:val="11"/>
        <w:tblW w:w="6091" w:type="dxa"/>
        <w:jc w:val="center"/>
        <w:tblLayout w:type="autofit"/>
        <w:tblCellMar>
          <w:top w:w="0" w:type="dxa"/>
          <w:left w:w="108" w:type="dxa"/>
          <w:bottom w:w="0" w:type="dxa"/>
          <w:right w:w="108" w:type="dxa"/>
        </w:tblCellMar>
      </w:tblPr>
      <w:tblGrid>
        <w:gridCol w:w="2980"/>
        <w:gridCol w:w="3111"/>
      </w:tblGrid>
      <w:tr>
        <w:tblPrEx>
          <w:tblCellMar>
            <w:top w:w="0" w:type="dxa"/>
            <w:left w:w="108" w:type="dxa"/>
            <w:bottom w:w="0" w:type="dxa"/>
            <w:right w:w="108" w:type="dxa"/>
          </w:tblCellMar>
        </w:tblPrEx>
        <w:trPr>
          <w:trHeight w:val="346" w:hRule="atLeast"/>
          <w:jc w:val="center"/>
        </w:trPr>
        <w:tc>
          <w:tcPr>
            <w:tcW w:w="2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b/>
                <w:kern w:val="0"/>
                <w:sz w:val="24"/>
                <w:szCs w:val="24"/>
              </w:rPr>
            </w:pPr>
            <w:r>
              <w:rPr>
                <w:rFonts w:hint="eastAsia" w:ascii="SimHei" w:hAnsi="SimHei" w:eastAsia="黑体" w:cs="楷体"/>
                <w:sz w:val="24"/>
                <w:szCs w:val="24"/>
              </w:rPr>
              <w:tab/>
            </w:r>
            <w:r>
              <w:rPr>
                <w:rFonts w:hint="eastAsia" w:ascii="SimHei" w:hAnsi="SimHei" w:eastAsia="黑体" w:cs="楷体"/>
                <w:b/>
                <w:kern w:val="0"/>
                <w:sz w:val="24"/>
                <w:szCs w:val="24"/>
              </w:rPr>
              <w:t>所在中心新生率排名</w:t>
            </w:r>
          </w:p>
        </w:tc>
        <w:tc>
          <w:tcPr>
            <w:tcW w:w="311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b/>
                <w:kern w:val="0"/>
                <w:sz w:val="24"/>
                <w:szCs w:val="24"/>
              </w:rPr>
            </w:pPr>
            <w:r>
              <w:rPr>
                <w:rFonts w:hint="eastAsia" w:ascii="SimHei" w:hAnsi="SimHei" w:eastAsia="黑体" w:cs="楷体"/>
                <w:b/>
                <w:kern w:val="0"/>
                <w:sz w:val="24"/>
                <w:szCs w:val="24"/>
              </w:rPr>
              <w:t>奖金（单位：元/人/季）</w:t>
            </w:r>
          </w:p>
        </w:tc>
      </w:tr>
      <w:tr>
        <w:tblPrEx>
          <w:tblCellMar>
            <w:top w:w="0" w:type="dxa"/>
            <w:left w:w="108" w:type="dxa"/>
            <w:bottom w:w="0" w:type="dxa"/>
            <w:right w:w="108" w:type="dxa"/>
          </w:tblCellMar>
        </w:tblPrEx>
        <w:trPr>
          <w:trHeight w:val="270" w:hRule="atLeast"/>
          <w:jc w:val="center"/>
        </w:trPr>
        <w:tc>
          <w:tcPr>
            <w:tcW w:w="2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后20%（不含）</w:t>
            </w:r>
          </w:p>
        </w:tc>
        <w:tc>
          <w:tcPr>
            <w:tcW w:w="311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0</w:t>
            </w:r>
          </w:p>
        </w:tc>
      </w:tr>
      <w:tr>
        <w:tblPrEx>
          <w:tblCellMar>
            <w:top w:w="0" w:type="dxa"/>
            <w:left w:w="108" w:type="dxa"/>
            <w:bottom w:w="0" w:type="dxa"/>
            <w:right w:w="108" w:type="dxa"/>
          </w:tblCellMar>
        </w:tblPrEx>
        <w:trPr>
          <w:trHeight w:val="270" w:hRule="atLeast"/>
          <w:jc w:val="center"/>
        </w:trPr>
        <w:tc>
          <w:tcPr>
            <w:tcW w:w="2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前80%（含）到前70%</w:t>
            </w:r>
          </w:p>
        </w:tc>
        <w:tc>
          <w:tcPr>
            <w:tcW w:w="311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500</w:t>
            </w:r>
          </w:p>
        </w:tc>
      </w:tr>
      <w:tr>
        <w:tblPrEx>
          <w:tblCellMar>
            <w:top w:w="0" w:type="dxa"/>
            <w:left w:w="108" w:type="dxa"/>
            <w:bottom w:w="0" w:type="dxa"/>
            <w:right w:w="108" w:type="dxa"/>
          </w:tblCellMar>
        </w:tblPrEx>
        <w:trPr>
          <w:trHeight w:val="270" w:hRule="atLeast"/>
          <w:jc w:val="center"/>
        </w:trPr>
        <w:tc>
          <w:tcPr>
            <w:tcW w:w="2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前70%（含）到前60%</w:t>
            </w:r>
          </w:p>
        </w:tc>
        <w:tc>
          <w:tcPr>
            <w:tcW w:w="311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1000</w:t>
            </w:r>
          </w:p>
        </w:tc>
      </w:tr>
      <w:tr>
        <w:tblPrEx>
          <w:tblCellMar>
            <w:top w:w="0" w:type="dxa"/>
            <w:left w:w="108" w:type="dxa"/>
            <w:bottom w:w="0" w:type="dxa"/>
            <w:right w:w="108" w:type="dxa"/>
          </w:tblCellMar>
        </w:tblPrEx>
        <w:trPr>
          <w:trHeight w:val="270" w:hRule="atLeast"/>
          <w:jc w:val="center"/>
        </w:trPr>
        <w:tc>
          <w:tcPr>
            <w:tcW w:w="2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前60%（含）到前50%</w:t>
            </w:r>
          </w:p>
        </w:tc>
        <w:tc>
          <w:tcPr>
            <w:tcW w:w="311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1500</w:t>
            </w:r>
          </w:p>
        </w:tc>
      </w:tr>
      <w:tr>
        <w:tblPrEx>
          <w:tblCellMar>
            <w:top w:w="0" w:type="dxa"/>
            <w:left w:w="108" w:type="dxa"/>
            <w:bottom w:w="0" w:type="dxa"/>
            <w:right w:w="108" w:type="dxa"/>
          </w:tblCellMar>
        </w:tblPrEx>
        <w:trPr>
          <w:trHeight w:val="270" w:hRule="atLeast"/>
          <w:jc w:val="center"/>
        </w:trPr>
        <w:tc>
          <w:tcPr>
            <w:tcW w:w="2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前50%（含）到前40%</w:t>
            </w:r>
          </w:p>
        </w:tc>
        <w:tc>
          <w:tcPr>
            <w:tcW w:w="311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2000</w:t>
            </w:r>
          </w:p>
        </w:tc>
      </w:tr>
      <w:tr>
        <w:tblPrEx>
          <w:tblCellMar>
            <w:top w:w="0" w:type="dxa"/>
            <w:left w:w="108" w:type="dxa"/>
            <w:bottom w:w="0" w:type="dxa"/>
            <w:right w:w="108" w:type="dxa"/>
          </w:tblCellMar>
        </w:tblPrEx>
        <w:trPr>
          <w:trHeight w:val="270" w:hRule="atLeast"/>
          <w:jc w:val="center"/>
        </w:trPr>
        <w:tc>
          <w:tcPr>
            <w:tcW w:w="2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前40%（含）到前30%</w:t>
            </w:r>
          </w:p>
        </w:tc>
        <w:tc>
          <w:tcPr>
            <w:tcW w:w="311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2500</w:t>
            </w:r>
          </w:p>
        </w:tc>
      </w:tr>
      <w:tr>
        <w:tblPrEx>
          <w:tblCellMar>
            <w:top w:w="0" w:type="dxa"/>
            <w:left w:w="108" w:type="dxa"/>
            <w:bottom w:w="0" w:type="dxa"/>
            <w:right w:w="108" w:type="dxa"/>
          </w:tblCellMar>
        </w:tblPrEx>
        <w:trPr>
          <w:trHeight w:val="270" w:hRule="atLeast"/>
          <w:jc w:val="center"/>
        </w:trPr>
        <w:tc>
          <w:tcPr>
            <w:tcW w:w="2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前30%（含）到前20%</w:t>
            </w:r>
          </w:p>
        </w:tc>
        <w:tc>
          <w:tcPr>
            <w:tcW w:w="311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3000</w:t>
            </w:r>
          </w:p>
        </w:tc>
      </w:tr>
      <w:tr>
        <w:tblPrEx>
          <w:tblCellMar>
            <w:top w:w="0" w:type="dxa"/>
            <w:left w:w="108" w:type="dxa"/>
            <w:bottom w:w="0" w:type="dxa"/>
            <w:right w:w="108" w:type="dxa"/>
          </w:tblCellMar>
        </w:tblPrEx>
        <w:trPr>
          <w:trHeight w:val="270" w:hRule="atLeast"/>
          <w:jc w:val="center"/>
        </w:trPr>
        <w:tc>
          <w:tcPr>
            <w:tcW w:w="2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前20%（含）到前10%</w:t>
            </w:r>
          </w:p>
        </w:tc>
        <w:tc>
          <w:tcPr>
            <w:tcW w:w="311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3500</w:t>
            </w:r>
          </w:p>
        </w:tc>
      </w:tr>
      <w:tr>
        <w:tblPrEx>
          <w:tblCellMar>
            <w:top w:w="0" w:type="dxa"/>
            <w:left w:w="108" w:type="dxa"/>
            <w:bottom w:w="0" w:type="dxa"/>
            <w:right w:w="108" w:type="dxa"/>
          </w:tblCellMar>
        </w:tblPrEx>
        <w:trPr>
          <w:trHeight w:val="270" w:hRule="atLeast"/>
          <w:jc w:val="center"/>
        </w:trPr>
        <w:tc>
          <w:tcPr>
            <w:tcW w:w="2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前10%（含）以内</w:t>
            </w:r>
          </w:p>
        </w:tc>
        <w:tc>
          <w:tcPr>
            <w:tcW w:w="311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4000</w:t>
            </w:r>
          </w:p>
        </w:tc>
      </w:tr>
    </w:tbl>
    <w:p>
      <w:pPr>
        <w:pStyle w:val="18"/>
        <w:numPr>
          <w:ilvl w:val="0"/>
          <w:numId w:val="8"/>
        </w:numPr>
        <w:ind w:firstLineChars="0"/>
        <w:jc w:val="left"/>
        <w:rPr>
          <w:rFonts w:hint="eastAsia" w:ascii="楷体" w:hAnsi="楷体" w:eastAsia="楷体" w:cs="楷体"/>
          <w:sz w:val="24"/>
          <w:szCs w:val="24"/>
        </w:rPr>
      </w:pPr>
      <w:r>
        <w:rPr>
          <w:rFonts w:hint="eastAsia" w:ascii="SimHei" w:hAnsi="SimHei" w:eastAsia="黑体" w:cs="楷体"/>
          <w:sz w:val="24"/>
          <w:szCs w:val="24"/>
        </w:rPr>
        <w:t>中心划分说明</w:t>
      </w:r>
    </w:p>
    <w:p>
      <w:pPr>
        <w:ind w:firstLine="480" w:firstLineChars="200"/>
        <w:jc w:val="left"/>
        <w:rPr>
          <w:rFonts w:hint="eastAsia" w:ascii="楷体" w:hAnsi="楷体" w:eastAsia="楷体" w:cs="楷体"/>
          <w:sz w:val="24"/>
          <w:szCs w:val="24"/>
        </w:rPr>
      </w:pPr>
      <w:r>
        <w:rPr>
          <w:rFonts w:hint="eastAsia" w:ascii="SimHei" w:hAnsi="SimHei" w:eastAsia="黑体" w:cs="楷体"/>
          <w:sz w:val="24"/>
          <w:szCs w:val="24"/>
        </w:rPr>
        <w:t>以上第（一）至（三）项奖金核算时，凡涉及到“所在中心”的，均以中心直接负责人作为划分依据，即同一名负责人管辖的所有区域划为一个中心。如果同一名高级主管管辖的中心里，有直接负责运营的助理主管的，则每名助理主管负责的区域单独划为一个中心，其余没有助理主管的区域全部划为一个中心。</w:t>
      </w:r>
    </w:p>
    <w:p>
      <w:pPr>
        <w:pStyle w:val="4"/>
        <w:rPr>
          <w:rFonts w:hint="eastAsia" w:ascii="楷体" w:hAnsi="楷体" w:eastAsia="楷体" w:cs="楷体"/>
        </w:rPr>
      </w:pPr>
      <w:bookmarkStart w:id="6" w:name="_Toc428624943"/>
      <w:r>
        <w:rPr>
          <w:rFonts w:hint="eastAsia" w:ascii="SimHei" w:hAnsi="SimHei" w:eastAsia="黑体" w:cs="楷体"/>
        </w:rPr>
        <w:t>4、奖金核算</w:t>
      </w:r>
      <w:bookmarkEnd w:id="6"/>
    </w:p>
    <w:p>
      <w:pPr>
        <w:ind w:firstLine="480" w:firstLineChars="200"/>
        <w:jc w:val="left"/>
        <w:rPr>
          <w:rFonts w:hint="eastAsia" w:ascii="楷体" w:hAnsi="楷体" w:eastAsia="楷体" w:cs="楷体"/>
          <w:sz w:val="24"/>
          <w:szCs w:val="24"/>
        </w:rPr>
      </w:pPr>
      <w:r>
        <w:rPr>
          <w:rFonts w:hint="eastAsia" w:ascii="SimHei" w:hAnsi="SimHei" w:eastAsia="黑体" w:cs="楷体"/>
          <w:sz w:val="24"/>
          <w:szCs w:val="24"/>
        </w:rPr>
        <w:t>月度浮动奖金每月核算及发放；超额收入和招新人数的业绩统计以财季为周期，每财季第一个月核算上季度业绩及奖金。收入业绩经财务管理部确认，招新业绩经客户服务部确认后，由部门专人核算每名员工的业绩和奖金。每月20日前部门将经总监签字确认的奖金核算表提交人力资源部审核，应用于薪酬发放。月度奖金与当月固定工资合并发放，季度奖金与下季度第一个月的固定工资合并发放。如遇节假日等特殊情况，人力资源部将提前发通知说明。</w:t>
      </w:r>
    </w:p>
    <w:p>
      <w:pPr>
        <w:pStyle w:val="4"/>
        <w:rPr>
          <w:rFonts w:hint="eastAsia" w:ascii="楷体" w:hAnsi="楷体" w:eastAsia="楷体" w:cs="楷体"/>
        </w:rPr>
      </w:pPr>
      <w:bookmarkStart w:id="7" w:name="_Toc428624944"/>
      <w:r>
        <w:rPr>
          <w:rFonts w:hint="eastAsia" w:ascii="SimHei" w:hAnsi="SimHei" w:eastAsia="黑体" w:cs="楷体"/>
        </w:rPr>
        <w:t>5、特殊说明：</w:t>
      </w:r>
      <w:bookmarkEnd w:id="7"/>
    </w:p>
    <w:p>
      <w:pPr>
        <w:pStyle w:val="18"/>
        <w:numPr>
          <w:ilvl w:val="0"/>
          <w:numId w:val="9"/>
        </w:numPr>
        <w:ind w:firstLineChars="0"/>
        <w:jc w:val="left"/>
        <w:rPr>
          <w:rFonts w:hint="eastAsia" w:ascii="楷体" w:hAnsi="楷体" w:eastAsia="楷体" w:cs="楷体"/>
          <w:sz w:val="24"/>
          <w:szCs w:val="24"/>
        </w:rPr>
      </w:pPr>
      <w:r>
        <w:rPr>
          <w:rFonts w:hint="eastAsia" w:ascii="SimHei" w:hAnsi="SimHei" w:eastAsia="黑体" w:cs="楷体"/>
          <w:sz w:val="24"/>
          <w:szCs w:val="24"/>
        </w:rPr>
        <w:t>以上涉及到的岗位不再参与学校的员工年终奖分配。</w:t>
      </w:r>
    </w:p>
    <w:p>
      <w:pPr>
        <w:pStyle w:val="18"/>
        <w:numPr>
          <w:ilvl w:val="0"/>
          <w:numId w:val="9"/>
        </w:numPr>
        <w:ind w:firstLineChars="0"/>
        <w:jc w:val="left"/>
        <w:rPr>
          <w:rFonts w:hint="eastAsia" w:ascii="楷体" w:hAnsi="楷体" w:eastAsia="楷体" w:cs="楷体"/>
          <w:sz w:val="24"/>
          <w:szCs w:val="24"/>
        </w:rPr>
      </w:pPr>
      <w:r>
        <w:rPr>
          <w:rFonts w:hint="eastAsia" w:ascii="SimHei" w:hAnsi="SimHei" w:eastAsia="黑体" w:cs="楷体"/>
          <w:sz w:val="24"/>
          <w:szCs w:val="24"/>
        </w:rPr>
        <w:t>以上涉及到的岗位符合学校规定的加班正常计算。</w:t>
      </w:r>
    </w:p>
    <w:p>
      <w:pPr>
        <w:pStyle w:val="3"/>
        <w:rPr>
          <w:rFonts w:hint="eastAsia" w:ascii="楷体" w:hAnsi="楷体" w:eastAsia="楷体" w:cs="楷体"/>
        </w:rPr>
      </w:pPr>
      <w:bookmarkStart w:id="8" w:name="_Toc428624945"/>
      <w:r>
        <w:rPr>
          <w:rFonts w:hint="eastAsia" w:ascii="SimHei" w:hAnsi="SimHei" w:eastAsia="黑体" w:cs="楷体"/>
        </w:rPr>
        <w:t>（三）生效日期：</w:t>
      </w:r>
      <w:bookmarkEnd w:id="8"/>
    </w:p>
    <w:p>
      <w:pPr>
        <w:ind w:firstLine="480" w:firstLineChars="200"/>
        <w:jc w:val="left"/>
        <w:rPr>
          <w:rFonts w:hint="eastAsia" w:ascii="楷体" w:hAnsi="楷体" w:eastAsia="楷体" w:cs="楷体"/>
          <w:sz w:val="24"/>
          <w:szCs w:val="24"/>
        </w:rPr>
      </w:pPr>
      <w:r>
        <w:rPr>
          <w:rFonts w:hint="eastAsia" w:ascii="SimHei" w:hAnsi="SimHei" w:eastAsia="黑体" w:cs="楷体"/>
          <w:sz w:val="24"/>
          <w:szCs w:val="24"/>
        </w:rPr>
        <w:t>本方案自20</w:t>
      </w:r>
      <w:r>
        <w:rPr>
          <w:rFonts w:hint="eastAsia" w:ascii="SimHei" w:hAnsi="SimHei" w:eastAsia="黑体" w:cs="楷体"/>
          <w:sz w:val="24"/>
          <w:szCs w:val="24"/>
          <w:lang w:val="en-US" w:eastAsia="zh-CN"/>
        </w:rPr>
        <w:t>XX</w:t>
      </w:r>
      <w:r>
        <w:rPr>
          <w:rFonts w:hint="eastAsia" w:ascii="SimHei" w:hAnsi="SimHei" w:eastAsia="黑体" w:cs="楷体"/>
          <w:sz w:val="24"/>
          <w:szCs w:val="24"/>
        </w:rPr>
        <w:t>年6月1日起生效。学校保留对方案进行解释和调整的权利。</w:t>
      </w:r>
    </w:p>
    <w:p>
      <w:pPr>
        <w:rPr>
          <w:rFonts w:hint="eastAsia" w:ascii="楷体" w:hAnsi="楷体" w:eastAsia="楷体" w:cs="楷体"/>
          <w:sz w:val="24"/>
          <w:szCs w:val="24"/>
        </w:rPr>
      </w:pPr>
    </w:p>
    <w:p>
      <w:pPr>
        <w:pStyle w:val="3"/>
        <w:rPr>
          <w:rFonts w:hint="eastAsia" w:ascii="楷体" w:hAnsi="楷体" w:eastAsia="楷体" w:cs="楷体"/>
        </w:rPr>
      </w:pPr>
      <w:bookmarkStart w:id="9" w:name="_Toc428624946"/>
      <w:r>
        <w:rPr>
          <w:rFonts w:hint="eastAsia" w:ascii="SimHei" w:hAnsi="SimHei" w:eastAsia="黑体" w:cs="楷体"/>
        </w:rPr>
        <w:t>（四）附录</w:t>
      </w:r>
      <w:bookmarkEnd w:id="9"/>
    </w:p>
    <w:p>
      <w:pPr>
        <w:pStyle w:val="4"/>
        <w:rPr>
          <w:rFonts w:hint="eastAsia" w:ascii="楷体" w:hAnsi="楷体" w:eastAsia="楷体" w:cs="楷体"/>
        </w:rPr>
      </w:pPr>
      <w:bookmarkStart w:id="10" w:name="_Toc428624947"/>
      <w:r>
        <w:rPr>
          <w:rFonts w:hint="eastAsia" w:ascii="SimHei" w:hAnsi="SimHei" w:eastAsia="黑体" w:cs="楷体"/>
        </w:rPr>
        <w:t>1、分中心划分原则</w:t>
      </w:r>
      <w:bookmarkEnd w:id="10"/>
    </w:p>
    <w:tbl>
      <w:tblPr>
        <w:tblStyle w:val="11"/>
        <w:tblW w:w="15020" w:type="dxa"/>
        <w:jc w:val="center"/>
        <w:tblLayout w:type="autofit"/>
        <w:tblCellMar>
          <w:top w:w="0" w:type="dxa"/>
          <w:left w:w="108" w:type="dxa"/>
          <w:bottom w:w="0" w:type="dxa"/>
          <w:right w:w="108" w:type="dxa"/>
        </w:tblCellMar>
      </w:tblPr>
      <w:tblGrid>
        <w:gridCol w:w="1240"/>
        <w:gridCol w:w="1400"/>
        <w:gridCol w:w="2320"/>
        <w:gridCol w:w="2040"/>
        <w:gridCol w:w="3100"/>
        <w:gridCol w:w="1540"/>
        <w:gridCol w:w="3380"/>
      </w:tblGrid>
      <w:tr>
        <w:tblPrEx>
          <w:tblCellMar>
            <w:top w:w="0" w:type="dxa"/>
            <w:left w:w="108" w:type="dxa"/>
            <w:bottom w:w="0" w:type="dxa"/>
            <w:right w:w="108" w:type="dxa"/>
          </w:tblCellMar>
        </w:tblPrEx>
        <w:trPr>
          <w:trHeight w:val="720" w:hRule="atLeast"/>
          <w:jc w:val="center"/>
        </w:trPr>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b/>
                <w:bCs/>
                <w:kern w:val="0"/>
                <w:sz w:val="24"/>
                <w:szCs w:val="24"/>
              </w:rPr>
            </w:pPr>
            <w:r>
              <w:rPr>
                <w:rFonts w:hint="eastAsia" w:ascii="SimHei" w:hAnsi="SimHei" w:eastAsia="黑体" w:cs="楷体"/>
                <w:b/>
                <w:bCs/>
                <w:kern w:val="0"/>
                <w:sz w:val="24"/>
                <w:szCs w:val="24"/>
              </w:rPr>
              <w:t xml:space="preserve">区域经理 </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b/>
                <w:bCs/>
                <w:kern w:val="0"/>
                <w:sz w:val="24"/>
                <w:szCs w:val="24"/>
              </w:rPr>
            </w:pPr>
            <w:r>
              <w:rPr>
                <w:rFonts w:hint="eastAsia" w:ascii="SimHei" w:hAnsi="SimHei" w:eastAsia="黑体" w:cs="楷体"/>
                <w:b/>
                <w:bCs/>
                <w:kern w:val="0"/>
                <w:sz w:val="24"/>
                <w:szCs w:val="24"/>
              </w:rPr>
              <w:t>分中心高级主管</w:t>
            </w:r>
          </w:p>
        </w:tc>
        <w:tc>
          <w:tcPr>
            <w:tcW w:w="2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b/>
                <w:bCs/>
                <w:kern w:val="0"/>
                <w:sz w:val="24"/>
                <w:szCs w:val="24"/>
              </w:rPr>
            </w:pPr>
            <w:r>
              <w:rPr>
                <w:rFonts w:hint="eastAsia" w:ascii="SimHei" w:hAnsi="SimHei" w:eastAsia="黑体" w:cs="楷体"/>
                <w:b/>
                <w:bCs/>
                <w:kern w:val="0"/>
                <w:sz w:val="24"/>
                <w:szCs w:val="24"/>
              </w:rPr>
              <w:t>所辖分中心</w:t>
            </w:r>
          </w:p>
        </w:tc>
        <w:tc>
          <w:tcPr>
            <w:tcW w:w="2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分中心助理主管</w:t>
            </w:r>
          </w:p>
        </w:tc>
        <w:tc>
          <w:tcPr>
            <w:tcW w:w="3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所辖校区</w:t>
            </w:r>
          </w:p>
        </w:tc>
        <w:tc>
          <w:tcPr>
            <w:tcW w:w="1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直接负责人</w:t>
            </w:r>
          </w:p>
        </w:tc>
        <w:tc>
          <w:tcPr>
            <w:tcW w:w="33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预算核算口径</w:t>
            </w:r>
          </w:p>
        </w:tc>
      </w:tr>
      <w:tr>
        <w:tblPrEx>
          <w:tblCellMar>
            <w:top w:w="0" w:type="dxa"/>
            <w:left w:w="108" w:type="dxa"/>
            <w:bottom w:w="0" w:type="dxa"/>
            <w:right w:w="108" w:type="dxa"/>
          </w:tblCellMar>
        </w:tblPrEx>
        <w:trPr>
          <w:trHeight w:val="360" w:hRule="atLeast"/>
          <w:jc w:val="center"/>
        </w:trPr>
        <w:tc>
          <w:tcPr>
            <w:tcW w:w="12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1400" w:type="dxa"/>
            <w:tcBorders>
              <w:top w:val="nil"/>
              <w:left w:val="nil"/>
              <w:bottom w:val="nil"/>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2320" w:type="dxa"/>
            <w:tcBorders>
              <w:top w:val="nil"/>
              <w:left w:val="nil"/>
              <w:bottom w:val="nil"/>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朝阳望京校区</w:t>
            </w:r>
          </w:p>
        </w:tc>
        <w:tc>
          <w:tcPr>
            <w:tcW w:w="2040" w:type="dxa"/>
            <w:tcBorders>
              <w:top w:val="nil"/>
              <w:left w:val="nil"/>
              <w:bottom w:val="nil"/>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3100" w:type="dxa"/>
            <w:tcBorders>
              <w:top w:val="nil"/>
              <w:left w:val="nil"/>
              <w:bottom w:val="nil"/>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1540" w:type="dxa"/>
            <w:tcBorders>
              <w:top w:val="nil"/>
              <w:left w:val="nil"/>
              <w:bottom w:val="nil"/>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tcBorders>
              <w:top w:val="nil"/>
              <w:left w:val="nil"/>
              <w:bottom w:val="nil"/>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朝阳望京校区</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23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顺义便民街石门校区</w:t>
            </w:r>
          </w:p>
        </w:tc>
        <w:tc>
          <w:tcPr>
            <w:tcW w:w="20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3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顺义便民街校区</w:t>
            </w:r>
          </w:p>
        </w:tc>
        <w:tc>
          <w:tcPr>
            <w:tcW w:w="15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顺义便民街石门校区</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3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0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顺义石门校区</w:t>
            </w:r>
          </w:p>
        </w:tc>
        <w:tc>
          <w:tcPr>
            <w:tcW w:w="15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3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朝阳安贞伯纳德校区</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朝阳安贞伯纳德校区</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朝阳亚运村校区</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朝阳亚运村校区</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lang w:val="en-US" w:eastAsia="zh-CN"/>
              </w:rPr>
              <w:t xml:space="preserve"> </w:t>
            </w:r>
            <w:r>
              <w:rPr>
                <w:rFonts w:hint="eastAsia" w:ascii="SimHei" w:hAnsi="SimHei" w:eastAsia="黑体" w:cs="楷体"/>
                <w:color w:val="000000"/>
                <w:kern w:val="0"/>
                <w:sz w:val="24"/>
                <w:szCs w:val="24"/>
              </w:rPr>
              <w:t>（管培生）</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西坝河校区</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西坝河校区</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23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交道口分中心</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交道口校区</w:t>
            </w:r>
          </w:p>
        </w:tc>
        <w:tc>
          <w:tcPr>
            <w:tcW w:w="15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交道口校区、东四校区</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32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东四校区</w:t>
            </w:r>
          </w:p>
        </w:tc>
        <w:tc>
          <w:tcPr>
            <w:tcW w:w="15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3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32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团结湖校区</w:t>
            </w:r>
          </w:p>
        </w:tc>
        <w:tc>
          <w:tcPr>
            <w:tcW w:w="1540" w:type="dxa"/>
            <w:tcBorders>
              <w:top w:val="nil"/>
              <w:left w:val="nil"/>
              <w:bottom w:val="nil"/>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tcBorders>
              <w:top w:val="nil"/>
              <w:left w:val="nil"/>
              <w:bottom w:val="nil"/>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团结湖校区</w:t>
            </w:r>
          </w:p>
        </w:tc>
      </w:tr>
      <w:tr>
        <w:tblPrEx>
          <w:tblCellMar>
            <w:top w:w="0" w:type="dxa"/>
            <w:left w:w="108" w:type="dxa"/>
            <w:bottom w:w="0" w:type="dxa"/>
            <w:right w:w="108" w:type="dxa"/>
          </w:tblCellMar>
        </w:tblPrEx>
        <w:trPr>
          <w:trHeight w:val="360" w:hRule="atLeast"/>
          <w:jc w:val="center"/>
        </w:trPr>
        <w:tc>
          <w:tcPr>
            <w:tcW w:w="12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1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通州分中心</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通州贵友大厦校区</w:t>
            </w:r>
          </w:p>
        </w:tc>
        <w:tc>
          <w:tcPr>
            <w:tcW w:w="15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通州贵友大厦校区</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通州新华大街校区</w:t>
            </w:r>
          </w:p>
        </w:tc>
        <w:tc>
          <w:tcPr>
            <w:tcW w:w="15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通州新华大街校区</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崇文珠市口校区</w:t>
            </w:r>
          </w:p>
        </w:tc>
        <w:tc>
          <w:tcPr>
            <w:tcW w:w="1540" w:type="dxa"/>
            <w:tcBorders>
              <w:top w:val="nil"/>
              <w:left w:val="nil"/>
              <w:bottom w:val="nil"/>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tcBorders>
              <w:top w:val="nil"/>
              <w:left w:val="nil"/>
              <w:bottom w:val="nil"/>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崇文珠市口校区</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刘家窑分中心</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1540" w:type="dxa"/>
            <w:tcBorders>
              <w:top w:val="single" w:color="auto" w:sz="4" w:space="0"/>
              <w:left w:val="nil"/>
              <w:bottom w:val="nil"/>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tcBorders>
              <w:top w:val="single" w:color="auto" w:sz="4" w:space="0"/>
              <w:left w:val="nil"/>
              <w:bottom w:val="nil"/>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刘家窑分中心</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劲松国贸分中心</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朝阳国贸校区</w:t>
            </w:r>
          </w:p>
        </w:tc>
        <w:tc>
          <w:tcPr>
            <w:tcW w:w="1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朝阳国贸校区</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朝阳劲松大厦校区</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朝阳劲松大厦校区</w:t>
            </w:r>
          </w:p>
        </w:tc>
      </w:tr>
      <w:tr>
        <w:tblPrEx>
          <w:tblCellMar>
            <w:top w:w="0" w:type="dxa"/>
            <w:left w:w="108" w:type="dxa"/>
            <w:bottom w:w="0" w:type="dxa"/>
            <w:right w:w="108" w:type="dxa"/>
          </w:tblCellMar>
        </w:tblPrEx>
        <w:trPr>
          <w:trHeight w:val="360" w:hRule="atLeast"/>
          <w:jc w:val="center"/>
        </w:trPr>
        <w:tc>
          <w:tcPr>
            <w:tcW w:w="12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1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海淀知春路分中心</w:t>
            </w:r>
          </w:p>
        </w:tc>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海淀知春路校区</w:t>
            </w:r>
          </w:p>
        </w:tc>
        <w:tc>
          <w:tcPr>
            <w:tcW w:w="15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海淀知春路分中心</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大运村校区</w:t>
            </w:r>
          </w:p>
        </w:tc>
        <w:tc>
          <w:tcPr>
            <w:tcW w:w="15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3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海淀蓝旗营校区</w:t>
            </w:r>
          </w:p>
        </w:tc>
        <w:tc>
          <w:tcPr>
            <w:tcW w:w="15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3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上地科实校区</w:t>
            </w:r>
          </w:p>
        </w:tc>
        <w:tc>
          <w:tcPr>
            <w:tcW w:w="15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3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海淀水清木华校区</w:t>
            </w:r>
          </w:p>
        </w:tc>
        <w:tc>
          <w:tcPr>
            <w:tcW w:w="15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3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鸿城拓展分中心</w:t>
            </w:r>
          </w:p>
        </w:tc>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鸿城拓展大厦校区</w:t>
            </w:r>
          </w:p>
        </w:tc>
        <w:tc>
          <w:tcPr>
            <w:tcW w:w="15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鸿城拓展分中心</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中关村新东方总部南楼校区</w:t>
            </w:r>
          </w:p>
        </w:tc>
        <w:tc>
          <w:tcPr>
            <w:tcW w:w="15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3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海龙大厦校区</w:t>
            </w:r>
          </w:p>
        </w:tc>
        <w:tc>
          <w:tcPr>
            <w:tcW w:w="15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3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中关村E世界校区A座</w:t>
            </w:r>
          </w:p>
        </w:tc>
        <w:tc>
          <w:tcPr>
            <w:tcW w:w="15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3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海淀艾瑟顿万柳海淀桥校区</w:t>
            </w:r>
          </w:p>
        </w:tc>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海淀苏州街校区艾瑟顿</w:t>
            </w:r>
          </w:p>
        </w:tc>
        <w:tc>
          <w:tcPr>
            <w:tcW w:w="15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海淀艾瑟顿万柳海淀桥校区</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海淀万柳青少学习中心</w:t>
            </w:r>
          </w:p>
        </w:tc>
        <w:tc>
          <w:tcPr>
            <w:tcW w:w="15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3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海淀桥校区</w:t>
            </w:r>
          </w:p>
        </w:tc>
        <w:tc>
          <w:tcPr>
            <w:tcW w:w="15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3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西城新外大街校区</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西城新外大街校区</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23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魏公村分中心</w:t>
            </w:r>
          </w:p>
        </w:tc>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海淀魏公村校区</w:t>
            </w:r>
          </w:p>
        </w:tc>
        <w:tc>
          <w:tcPr>
            <w:tcW w:w="15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魏公村分中心</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32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韦伯时代校区</w:t>
            </w:r>
          </w:p>
        </w:tc>
        <w:tc>
          <w:tcPr>
            <w:tcW w:w="15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3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32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韦伯豪校区</w:t>
            </w:r>
          </w:p>
        </w:tc>
        <w:tc>
          <w:tcPr>
            <w:tcW w:w="15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3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23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昌平政府街分中心</w:t>
            </w:r>
          </w:p>
        </w:tc>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昌平政府街校区</w:t>
            </w:r>
          </w:p>
        </w:tc>
        <w:tc>
          <w:tcPr>
            <w:tcW w:w="15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昌平政府街分中心</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32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昌平京科苑校区</w:t>
            </w:r>
          </w:p>
        </w:tc>
        <w:tc>
          <w:tcPr>
            <w:tcW w:w="154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3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海淀大钟寺校区</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海淀大钟寺校区</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lang w:val="en-US" w:eastAsia="zh-CN"/>
              </w:rPr>
              <w:t xml:space="preserve"> </w:t>
            </w:r>
            <w:r>
              <w:rPr>
                <w:rFonts w:hint="eastAsia" w:ascii="SimHei" w:hAnsi="SimHei" w:eastAsia="黑体" w:cs="楷体"/>
                <w:color w:val="000000"/>
                <w:kern w:val="0"/>
                <w:sz w:val="24"/>
                <w:szCs w:val="24"/>
              </w:rPr>
              <w:t>（咨询顾问）</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海淀远大路校区</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海淀远大路校区</w:t>
            </w:r>
          </w:p>
        </w:tc>
      </w:tr>
      <w:tr>
        <w:tblPrEx>
          <w:tblCellMar>
            <w:top w:w="0" w:type="dxa"/>
            <w:left w:w="108" w:type="dxa"/>
            <w:bottom w:w="0" w:type="dxa"/>
            <w:right w:w="108" w:type="dxa"/>
          </w:tblCellMar>
        </w:tblPrEx>
        <w:trPr>
          <w:trHeight w:val="360" w:hRule="atLeast"/>
          <w:jc w:val="center"/>
        </w:trPr>
        <w:tc>
          <w:tcPr>
            <w:tcW w:w="12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房山良乡分中心</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房山良乡分中心</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石景山八角校区</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石景山八角校区</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石景山金顶街校区</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石景山金顶街校区</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公主坟分中心</w:t>
            </w:r>
          </w:p>
        </w:tc>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海淀公主坟华鹰校区</w:t>
            </w:r>
          </w:p>
        </w:tc>
        <w:tc>
          <w:tcPr>
            <w:tcW w:w="15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海淀公主坟华鹰校区</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海淀公主坟荣华校区</w:t>
            </w:r>
          </w:p>
        </w:tc>
        <w:tc>
          <w:tcPr>
            <w:tcW w:w="15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海淀公主坟荣华校区</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玉泉路分中心</w:t>
            </w:r>
          </w:p>
        </w:tc>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海淀玉泉路青少学习中心</w:t>
            </w:r>
          </w:p>
        </w:tc>
        <w:tc>
          <w:tcPr>
            <w:tcW w:w="15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海淀玉泉路青少学习中心</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玉泉路景藏校区</w:t>
            </w:r>
          </w:p>
        </w:tc>
        <w:tc>
          <w:tcPr>
            <w:tcW w:w="15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玉泉路景藏校区</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大兴分中心</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大兴帝园校区</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大兴分中心</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w:t>
            </w:r>
          </w:p>
        </w:tc>
        <w:tc>
          <w:tcPr>
            <w:tcW w:w="2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花园桥分中心</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海淀花园桥校区</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海淀花园桥校区</w:t>
            </w:r>
          </w:p>
        </w:tc>
      </w:tr>
      <w:tr>
        <w:tblPrEx>
          <w:tblCellMar>
            <w:top w:w="0" w:type="dxa"/>
            <w:left w:w="108" w:type="dxa"/>
            <w:bottom w:w="0" w:type="dxa"/>
            <w:right w:w="108" w:type="dxa"/>
          </w:tblCellMar>
        </w:tblPrEx>
        <w:trPr>
          <w:trHeight w:val="36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3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楷体" w:hAnsi="楷体" w:eastAsia="楷体" w:cs="楷体"/>
                <w:color w:val="000000"/>
                <w:kern w:val="0"/>
                <w:sz w:val="24"/>
                <w:szCs w:val="24"/>
              </w:rPr>
            </w:pP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10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西城西四校区</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lang w:eastAsia="zh-CN"/>
              </w:rPr>
            </w:pPr>
            <w:r>
              <w:rPr>
                <w:rFonts w:hint="eastAsia" w:ascii="SimHei" w:hAnsi="SimHei" w:eastAsia="黑体" w:cs="楷体"/>
                <w:color w:val="000000"/>
                <w:kern w:val="0"/>
                <w:sz w:val="24"/>
                <w:szCs w:val="24"/>
                <w:lang w:val="en-US" w:eastAsia="zh-CN"/>
              </w:rPr>
              <w:t xml:space="preserve"> </w:t>
            </w:r>
          </w:p>
        </w:tc>
        <w:tc>
          <w:tcPr>
            <w:tcW w:w="338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西城西四校区</w:t>
            </w:r>
          </w:p>
        </w:tc>
      </w:tr>
    </w:tbl>
    <w:p>
      <w:pPr>
        <w:rPr>
          <w:rFonts w:hint="eastAsia" w:ascii="楷体" w:hAnsi="楷体" w:eastAsia="楷体" w:cs="楷体"/>
          <w:sz w:val="24"/>
          <w:szCs w:val="24"/>
        </w:rPr>
      </w:pPr>
    </w:p>
    <w:p>
      <w:pPr>
        <w:rPr>
          <w:rFonts w:hint="eastAsia" w:ascii="楷体" w:hAnsi="楷体" w:eastAsia="楷体" w:cs="楷体"/>
          <w:sz w:val="24"/>
          <w:szCs w:val="24"/>
        </w:rPr>
      </w:pPr>
    </w:p>
    <w:tbl>
      <w:tblPr>
        <w:tblStyle w:val="11"/>
        <w:tblW w:w="14221" w:type="dxa"/>
        <w:tblInd w:w="89" w:type="dxa"/>
        <w:tblLayout w:type="autofit"/>
        <w:tblCellMar>
          <w:top w:w="0" w:type="dxa"/>
          <w:left w:w="108" w:type="dxa"/>
          <w:bottom w:w="0" w:type="dxa"/>
          <w:right w:w="108" w:type="dxa"/>
        </w:tblCellMar>
      </w:tblPr>
      <w:tblGrid>
        <w:gridCol w:w="337"/>
        <w:gridCol w:w="4289"/>
        <w:gridCol w:w="1164"/>
        <w:gridCol w:w="1531"/>
        <w:gridCol w:w="6947"/>
      </w:tblGrid>
      <w:tr>
        <w:tblPrEx>
          <w:tblCellMar>
            <w:top w:w="0" w:type="dxa"/>
            <w:left w:w="108" w:type="dxa"/>
            <w:bottom w:w="0" w:type="dxa"/>
            <w:right w:w="108" w:type="dxa"/>
          </w:tblCellMar>
        </w:tblPrEx>
        <w:trPr>
          <w:trHeight w:val="600" w:hRule="atLeast"/>
        </w:trPr>
        <w:tc>
          <w:tcPr>
            <w:tcW w:w="14221" w:type="dxa"/>
            <w:gridSpan w:val="5"/>
            <w:tcBorders>
              <w:top w:val="nil"/>
              <w:left w:val="nil"/>
              <w:bottom w:val="nil"/>
              <w:right w:val="nil"/>
            </w:tcBorders>
            <w:shd w:val="clear" w:color="auto" w:fill="auto"/>
            <w:noWrap/>
            <w:vAlign w:val="bottom"/>
          </w:tcPr>
          <w:p>
            <w:pPr>
              <w:pStyle w:val="4"/>
              <w:rPr>
                <w:rFonts w:hint="eastAsia" w:ascii="楷体" w:hAnsi="楷体" w:eastAsia="楷体" w:cs="楷体"/>
                <w:kern w:val="0"/>
              </w:rPr>
            </w:pPr>
            <w:bookmarkStart w:id="11" w:name="_Toc428624948"/>
            <w:bookmarkStart w:id="12" w:name="RANGE!B2:F15"/>
            <w:r>
              <w:rPr>
                <w:rFonts w:hint="eastAsia" w:ascii="SimHei" w:hAnsi="SimHei" w:eastAsia="黑体" w:cs="楷体"/>
                <w:kern w:val="0"/>
              </w:rPr>
              <w:t>2、</w:t>
            </w:r>
            <w:r>
              <w:rPr>
                <w:rFonts w:hint="eastAsia" w:ascii="SimHei" w:hAnsi="SimHei" w:eastAsia="黑体" w:cs="楷体"/>
                <w:kern w:val="0"/>
                <w:lang w:eastAsia="zh-CN"/>
              </w:rPr>
              <w:t>XX</w:t>
            </w:r>
            <w:r>
              <w:rPr>
                <w:rFonts w:hint="eastAsia" w:ascii="SimHei" w:hAnsi="SimHei" w:eastAsia="黑体" w:cs="楷体"/>
                <w:kern w:val="0"/>
              </w:rPr>
              <w:t>中学部走读区域员工月度绩效考核办法-20</w:t>
            </w:r>
            <w:r>
              <w:rPr>
                <w:rFonts w:hint="eastAsia" w:ascii="SimHei" w:hAnsi="SimHei" w:eastAsia="黑体" w:cs="楷体"/>
                <w:kern w:val="0"/>
                <w:lang w:val="en-US" w:eastAsia="zh-CN"/>
              </w:rPr>
              <w:t>XX</w:t>
            </w:r>
            <w:r>
              <w:rPr>
                <w:rFonts w:hint="eastAsia" w:ascii="SimHei" w:hAnsi="SimHei" w:eastAsia="黑体" w:cs="楷体"/>
                <w:kern w:val="0"/>
              </w:rPr>
              <w:t>财年8月版</w:t>
            </w:r>
            <w:bookmarkEnd w:id="11"/>
            <w:bookmarkEnd w:id="12"/>
          </w:p>
        </w:tc>
      </w:tr>
      <w:tr>
        <w:tblPrEx>
          <w:tblCellMar>
            <w:top w:w="0" w:type="dxa"/>
            <w:left w:w="108" w:type="dxa"/>
            <w:bottom w:w="0" w:type="dxa"/>
            <w:right w:w="108" w:type="dxa"/>
          </w:tblCellMar>
        </w:tblPrEx>
        <w:trPr>
          <w:trHeight w:val="540" w:hRule="atLeast"/>
        </w:trPr>
        <w:tc>
          <w:tcPr>
            <w:tcW w:w="290" w:type="dxa"/>
            <w:vMerge w:val="restart"/>
            <w:tcBorders>
              <w:top w:val="single" w:color="auto" w:sz="8" w:space="0"/>
              <w:left w:val="single" w:color="auto" w:sz="8" w:space="0"/>
              <w:bottom w:val="single" w:color="000000" w:sz="8" w:space="0"/>
              <w:right w:val="single" w:color="auto" w:sz="8" w:space="0"/>
            </w:tcBorders>
            <w:shd w:val="clear" w:color="auto" w:fill="auto"/>
            <w:noWrap/>
            <w:vAlign w:val="bottom"/>
          </w:tcPr>
          <w:p>
            <w:pPr>
              <w:widowControl/>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 xml:space="preserve">　</w:t>
            </w:r>
          </w:p>
        </w:tc>
        <w:tc>
          <w:tcPr>
            <w:tcW w:w="13931" w:type="dxa"/>
            <w:gridSpan w:val="4"/>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员工月考核规则初稿（基本分100分，总分上不封顶）</w:t>
            </w:r>
          </w:p>
        </w:tc>
      </w:tr>
      <w:tr>
        <w:tblPrEx>
          <w:tblCellMar>
            <w:top w:w="0" w:type="dxa"/>
            <w:left w:w="108" w:type="dxa"/>
            <w:bottom w:w="0" w:type="dxa"/>
            <w:right w:w="108" w:type="dxa"/>
          </w:tblCellMar>
        </w:tblPrEx>
        <w:trPr>
          <w:trHeight w:val="420" w:hRule="atLeast"/>
        </w:trPr>
        <w:tc>
          <w:tcPr>
            <w:tcW w:w="29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楷体" w:hAnsi="楷体" w:eastAsia="楷体" w:cs="楷体"/>
                <w:color w:val="000000"/>
                <w:kern w:val="0"/>
                <w:sz w:val="24"/>
                <w:szCs w:val="24"/>
              </w:rPr>
            </w:pPr>
          </w:p>
        </w:tc>
        <w:tc>
          <w:tcPr>
            <w:tcW w:w="4289"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考核项目</w:t>
            </w:r>
          </w:p>
        </w:tc>
        <w:tc>
          <w:tcPr>
            <w:tcW w:w="116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总分值</w:t>
            </w:r>
          </w:p>
        </w:tc>
        <w:tc>
          <w:tcPr>
            <w:tcW w:w="153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 xml:space="preserve">　</w:t>
            </w:r>
          </w:p>
        </w:tc>
        <w:tc>
          <w:tcPr>
            <w:tcW w:w="6947"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细则</w:t>
            </w:r>
          </w:p>
        </w:tc>
      </w:tr>
      <w:tr>
        <w:tblPrEx>
          <w:tblCellMar>
            <w:top w:w="0" w:type="dxa"/>
            <w:left w:w="108" w:type="dxa"/>
            <w:bottom w:w="0" w:type="dxa"/>
            <w:right w:w="108" w:type="dxa"/>
          </w:tblCellMar>
        </w:tblPrEx>
        <w:trPr>
          <w:trHeight w:val="1995" w:hRule="atLeast"/>
        </w:trPr>
        <w:tc>
          <w:tcPr>
            <w:tcW w:w="29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1</w:t>
            </w:r>
          </w:p>
        </w:tc>
        <w:tc>
          <w:tcPr>
            <w:tcW w:w="4289"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考勤</w:t>
            </w:r>
          </w:p>
        </w:tc>
        <w:tc>
          <w:tcPr>
            <w:tcW w:w="116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20</w:t>
            </w:r>
          </w:p>
        </w:tc>
        <w:tc>
          <w:tcPr>
            <w:tcW w:w="153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所有人员</w:t>
            </w:r>
          </w:p>
        </w:tc>
        <w:tc>
          <w:tcPr>
            <w:tcW w:w="6947" w:type="dxa"/>
            <w:tcBorders>
              <w:top w:val="nil"/>
              <w:left w:val="nil"/>
              <w:bottom w:val="single" w:color="auto" w:sz="8" w:space="0"/>
              <w:right w:val="single" w:color="auto" w:sz="8" w:space="0"/>
            </w:tcBorders>
            <w:shd w:val="clear" w:color="auto" w:fill="auto"/>
            <w:vAlign w:val="center"/>
          </w:tcPr>
          <w:p>
            <w:pPr>
              <w:widowControl/>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1.本周正常出勤获得5分</w:t>
            </w:r>
            <w:r>
              <w:rPr>
                <w:rFonts w:hint="eastAsia" w:ascii="SimHei" w:hAnsi="SimHei" w:eastAsia="黑体" w:cs="楷体"/>
                <w:color w:val="000000"/>
                <w:kern w:val="0"/>
                <w:sz w:val="24"/>
                <w:szCs w:val="24"/>
              </w:rPr>
              <w:br/>
            </w:r>
            <w:r>
              <w:rPr>
                <w:rFonts w:hint="eastAsia" w:ascii="SimHei" w:hAnsi="SimHei" w:eastAsia="黑体" w:cs="楷体"/>
                <w:color w:val="000000"/>
                <w:kern w:val="0"/>
                <w:sz w:val="24"/>
                <w:szCs w:val="24"/>
              </w:rPr>
              <w:t>2.</w:t>
            </w:r>
            <w:bookmarkStart w:id="14" w:name="_GoBack"/>
            <w:bookmarkEnd w:id="14"/>
            <w:r>
              <w:rPr>
                <w:rFonts w:hint="eastAsia" w:ascii="SimHei" w:hAnsi="SimHei" w:eastAsia="黑体" w:cs="楷体"/>
                <w:color w:val="000000"/>
                <w:kern w:val="0"/>
                <w:sz w:val="24"/>
                <w:szCs w:val="24"/>
              </w:rPr>
              <w:t>每缺勤1次扣5分（扣分按照周进行计算）</w:t>
            </w:r>
            <w:r>
              <w:rPr>
                <w:rFonts w:hint="eastAsia" w:ascii="SimHei" w:hAnsi="SimHei" w:eastAsia="黑体" w:cs="楷体"/>
                <w:color w:val="000000"/>
                <w:kern w:val="0"/>
                <w:sz w:val="24"/>
                <w:szCs w:val="24"/>
              </w:rPr>
              <w:br/>
            </w:r>
            <w:r>
              <w:rPr>
                <w:rFonts w:hint="eastAsia" w:ascii="SimHei" w:hAnsi="SimHei" w:eastAsia="黑体" w:cs="楷体"/>
                <w:color w:val="000000"/>
                <w:kern w:val="0"/>
                <w:sz w:val="24"/>
                <w:szCs w:val="24"/>
              </w:rPr>
              <w:t>3.每迟到或早退1次扣2分（扣分按照周进行计算）</w:t>
            </w:r>
            <w:r>
              <w:rPr>
                <w:rFonts w:hint="eastAsia" w:ascii="SimHei" w:hAnsi="SimHei" w:eastAsia="黑体" w:cs="楷体"/>
                <w:color w:val="000000"/>
                <w:kern w:val="0"/>
                <w:sz w:val="24"/>
                <w:szCs w:val="24"/>
              </w:rPr>
              <w:br/>
            </w:r>
            <w:r>
              <w:rPr>
                <w:rFonts w:hint="eastAsia" w:ascii="SimHei" w:hAnsi="SimHei" w:eastAsia="黑体" w:cs="楷体"/>
                <w:color w:val="000000"/>
                <w:kern w:val="0"/>
                <w:sz w:val="24"/>
                <w:szCs w:val="24"/>
              </w:rPr>
              <w:t>4.每加班3小时增加1分（按周进行计算）</w:t>
            </w:r>
            <w:r>
              <w:rPr>
                <w:rFonts w:hint="eastAsia" w:ascii="SimHei" w:hAnsi="SimHei" w:eastAsia="黑体" w:cs="楷体"/>
                <w:color w:val="000000"/>
                <w:kern w:val="0"/>
                <w:sz w:val="24"/>
                <w:szCs w:val="24"/>
              </w:rPr>
              <w:br/>
            </w:r>
            <w:r>
              <w:rPr>
                <w:rFonts w:hint="eastAsia" w:ascii="SimHei" w:hAnsi="SimHei" w:eastAsia="黑体" w:cs="楷体"/>
                <w:color w:val="000000"/>
                <w:kern w:val="0"/>
                <w:sz w:val="24"/>
                <w:szCs w:val="24"/>
              </w:rPr>
              <w:t>5.每周的出勤分数不超过6分</w:t>
            </w:r>
          </w:p>
        </w:tc>
      </w:tr>
      <w:tr>
        <w:tblPrEx>
          <w:tblCellMar>
            <w:top w:w="0" w:type="dxa"/>
            <w:left w:w="108" w:type="dxa"/>
            <w:bottom w:w="0" w:type="dxa"/>
            <w:right w:w="108" w:type="dxa"/>
          </w:tblCellMar>
        </w:tblPrEx>
        <w:trPr>
          <w:trHeight w:val="1635" w:hRule="atLeast"/>
        </w:trPr>
        <w:tc>
          <w:tcPr>
            <w:tcW w:w="290"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2</w:t>
            </w:r>
          </w:p>
        </w:tc>
        <w:tc>
          <w:tcPr>
            <w:tcW w:w="4289"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组织活动（校内or校外）</w:t>
            </w:r>
          </w:p>
        </w:tc>
        <w:tc>
          <w:tcPr>
            <w:tcW w:w="1164"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30</w:t>
            </w:r>
          </w:p>
        </w:tc>
        <w:tc>
          <w:tcPr>
            <w:tcW w:w="153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市场人员</w:t>
            </w:r>
          </w:p>
        </w:tc>
        <w:tc>
          <w:tcPr>
            <w:tcW w:w="6947" w:type="dxa"/>
            <w:tcBorders>
              <w:top w:val="nil"/>
              <w:left w:val="nil"/>
              <w:bottom w:val="single" w:color="auto" w:sz="8" w:space="0"/>
              <w:right w:val="single" w:color="auto" w:sz="8" w:space="0"/>
            </w:tcBorders>
            <w:shd w:val="clear" w:color="auto" w:fill="auto"/>
            <w:vAlign w:val="center"/>
          </w:tcPr>
          <w:p>
            <w:pPr>
              <w:widowControl/>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1、每月组织一场活动，且至少5组家长到场获得30分                                       2、举办活动人数不足5人扣20分                                                                                                     3、 没有举办任意活动扣除30分</w:t>
            </w:r>
            <w:r>
              <w:rPr>
                <w:rFonts w:hint="eastAsia" w:ascii="SimHei" w:hAnsi="SimHei" w:eastAsia="黑体" w:cs="楷体"/>
                <w:color w:val="000000"/>
                <w:kern w:val="0"/>
                <w:sz w:val="24"/>
                <w:szCs w:val="24"/>
              </w:rPr>
              <w:br/>
            </w:r>
            <w:r>
              <w:rPr>
                <w:rFonts w:hint="eastAsia" w:ascii="SimHei" w:hAnsi="SimHei" w:eastAsia="黑体" w:cs="楷体"/>
                <w:color w:val="000000"/>
                <w:kern w:val="0"/>
                <w:sz w:val="24"/>
                <w:szCs w:val="24"/>
              </w:rPr>
              <w:t>4、每月每多一场相关讲座加5分（包含校内或校外）</w:t>
            </w:r>
            <w:r>
              <w:rPr>
                <w:rFonts w:hint="eastAsia" w:ascii="SimHei" w:hAnsi="SimHei" w:eastAsia="黑体" w:cs="楷体"/>
                <w:color w:val="000000"/>
                <w:kern w:val="0"/>
                <w:sz w:val="24"/>
                <w:szCs w:val="24"/>
              </w:rPr>
              <w:br/>
            </w:r>
            <w:r>
              <w:rPr>
                <w:rFonts w:hint="eastAsia" w:ascii="SimHei" w:hAnsi="SimHei" w:eastAsia="黑体" w:cs="楷体"/>
                <w:color w:val="000000"/>
                <w:kern w:val="0"/>
                <w:sz w:val="24"/>
                <w:szCs w:val="24"/>
              </w:rPr>
              <w:t>5、每月总分不超过40分</w:t>
            </w:r>
          </w:p>
        </w:tc>
      </w:tr>
      <w:tr>
        <w:tblPrEx>
          <w:tblCellMar>
            <w:top w:w="0" w:type="dxa"/>
            <w:left w:w="108" w:type="dxa"/>
            <w:bottom w:w="0" w:type="dxa"/>
            <w:right w:w="108" w:type="dxa"/>
          </w:tblCellMar>
        </w:tblPrEx>
        <w:trPr>
          <w:trHeight w:val="1455" w:hRule="atLeast"/>
        </w:trPr>
        <w:tc>
          <w:tcPr>
            <w:tcW w:w="290"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楷体" w:hAnsi="楷体" w:eastAsia="楷体" w:cs="楷体"/>
                <w:b/>
                <w:bCs/>
                <w:color w:val="000000"/>
                <w:kern w:val="0"/>
                <w:sz w:val="24"/>
                <w:szCs w:val="24"/>
              </w:rPr>
            </w:pPr>
          </w:p>
        </w:tc>
        <w:tc>
          <w:tcPr>
            <w:tcW w:w="4289"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rPr>
            </w:pPr>
          </w:p>
        </w:tc>
        <w:tc>
          <w:tcPr>
            <w:tcW w:w="1164"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rPr>
            </w:pPr>
          </w:p>
        </w:tc>
        <w:tc>
          <w:tcPr>
            <w:tcW w:w="153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客服人员</w:t>
            </w:r>
          </w:p>
        </w:tc>
        <w:tc>
          <w:tcPr>
            <w:tcW w:w="6947" w:type="dxa"/>
            <w:tcBorders>
              <w:top w:val="nil"/>
              <w:left w:val="nil"/>
              <w:bottom w:val="single" w:color="auto" w:sz="8" w:space="0"/>
              <w:right w:val="single" w:color="auto" w:sz="8" w:space="0"/>
            </w:tcBorders>
            <w:shd w:val="clear" w:color="auto" w:fill="auto"/>
            <w:vAlign w:val="center"/>
          </w:tcPr>
          <w:p>
            <w:pPr>
              <w:widowControl/>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1、配合市场活动进行的电话邀并且邀约到场率达到15%获得30分                  2、电话外呼邀约率不足10%扣20分                                                                                 3、电话外呼邀约率不足5%扣30分                                                                     4、电话外呼邀约率超过20%加10分</w:t>
            </w:r>
          </w:p>
        </w:tc>
      </w:tr>
      <w:tr>
        <w:tblPrEx>
          <w:tblCellMar>
            <w:top w:w="0" w:type="dxa"/>
            <w:left w:w="108" w:type="dxa"/>
            <w:bottom w:w="0" w:type="dxa"/>
            <w:right w:w="108" w:type="dxa"/>
          </w:tblCellMar>
        </w:tblPrEx>
        <w:trPr>
          <w:trHeight w:val="1740" w:hRule="atLeast"/>
        </w:trPr>
        <w:tc>
          <w:tcPr>
            <w:tcW w:w="290"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3</w:t>
            </w:r>
          </w:p>
        </w:tc>
        <w:tc>
          <w:tcPr>
            <w:tcW w:w="4289"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发单量及电话邀约成功率</w:t>
            </w:r>
          </w:p>
        </w:tc>
        <w:tc>
          <w:tcPr>
            <w:tcW w:w="1164"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20</w:t>
            </w:r>
          </w:p>
        </w:tc>
        <w:tc>
          <w:tcPr>
            <w:tcW w:w="153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市场人员</w:t>
            </w:r>
          </w:p>
        </w:tc>
        <w:tc>
          <w:tcPr>
            <w:tcW w:w="6947" w:type="dxa"/>
            <w:tcBorders>
              <w:top w:val="nil"/>
              <w:left w:val="nil"/>
              <w:bottom w:val="single" w:color="auto" w:sz="8" w:space="0"/>
              <w:right w:val="single" w:color="auto" w:sz="8" w:space="0"/>
            </w:tcBorders>
            <w:shd w:val="clear" w:color="auto" w:fill="auto"/>
            <w:vAlign w:val="center"/>
          </w:tcPr>
          <w:p>
            <w:pPr>
              <w:widowControl/>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1、当月</w:t>
            </w:r>
            <w:r>
              <w:rPr>
                <w:rFonts w:hint="eastAsia" w:ascii="SimHei" w:hAnsi="SimHei" w:eastAsia="黑体" w:cs="楷体"/>
                <w:b/>
                <w:bCs/>
                <w:color w:val="000000"/>
                <w:kern w:val="0"/>
                <w:sz w:val="24"/>
                <w:szCs w:val="24"/>
              </w:rPr>
              <w:t>本人</w:t>
            </w:r>
            <w:r>
              <w:rPr>
                <w:rFonts w:hint="eastAsia" w:ascii="SimHei" w:hAnsi="SimHei" w:eastAsia="黑体" w:cs="楷体"/>
                <w:color w:val="000000"/>
                <w:kern w:val="0"/>
                <w:sz w:val="24"/>
                <w:szCs w:val="24"/>
              </w:rPr>
              <w:t>发单5000份 以上获得20分                                                               2、当月发单量不足3000份，扣10分，                                                                3、当月发当量不足2000份，扣20分                                                                          4、当月发单量超过10000分，加10分</w:t>
            </w:r>
          </w:p>
        </w:tc>
      </w:tr>
      <w:tr>
        <w:tblPrEx>
          <w:tblCellMar>
            <w:top w:w="0" w:type="dxa"/>
            <w:left w:w="108" w:type="dxa"/>
            <w:bottom w:w="0" w:type="dxa"/>
            <w:right w:w="108" w:type="dxa"/>
          </w:tblCellMar>
        </w:tblPrEx>
        <w:trPr>
          <w:trHeight w:val="1830" w:hRule="atLeast"/>
        </w:trPr>
        <w:tc>
          <w:tcPr>
            <w:tcW w:w="290"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楷体" w:hAnsi="楷体" w:eastAsia="楷体" w:cs="楷体"/>
                <w:b/>
                <w:bCs/>
                <w:color w:val="000000"/>
                <w:kern w:val="0"/>
                <w:sz w:val="24"/>
                <w:szCs w:val="24"/>
              </w:rPr>
            </w:pPr>
          </w:p>
        </w:tc>
        <w:tc>
          <w:tcPr>
            <w:tcW w:w="4289"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rPr>
            </w:pPr>
          </w:p>
        </w:tc>
        <w:tc>
          <w:tcPr>
            <w:tcW w:w="1164"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rPr>
            </w:pPr>
          </w:p>
        </w:tc>
        <w:tc>
          <w:tcPr>
            <w:tcW w:w="153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客服人员</w:t>
            </w:r>
          </w:p>
        </w:tc>
        <w:tc>
          <w:tcPr>
            <w:tcW w:w="6947" w:type="dxa"/>
            <w:tcBorders>
              <w:top w:val="nil"/>
              <w:left w:val="nil"/>
              <w:bottom w:val="single" w:color="auto" w:sz="8" w:space="0"/>
              <w:right w:val="single" w:color="auto" w:sz="8" w:space="0"/>
            </w:tcBorders>
            <w:shd w:val="clear" w:color="auto" w:fill="auto"/>
            <w:vAlign w:val="center"/>
          </w:tcPr>
          <w:p>
            <w:pPr>
              <w:widowControl/>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当月电话外呼新数据数量50条以上（到店成功率＞15%） 获得20分                     2、当月到店成功率不足10%，扣10分，                                                                3、当月到店成功率不足5%，扣20分                                                                          4、当月到店成功率超过20%，加10分</w:t>
            </w:r>
          </w:p>
        </w:tc>
      </w:tr>
      <w:tr>
        <w:tblPrEx>
          <w:tblCellMar>
            <w:top w:w="0" w:type="dxa"/>
            <w:left w:w="108" w:type="dxa"/>
            <w:bottom w:w="0" w:type="dxa"/>
            <w:right w:w="108" w:type="dxa"/>
          </w:tblCellMar>
        </w:tblPrEx>
        <w:trPr>
          <w:trHeight w:val="900" w:hRule="atLeast"/>
        </w:trPr>
        <w:tc>
          <w:tcPr>
            <w:tcW w:w="29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4</w:t>
            </w:r>
          </w:p>
        </w:tc>
        <w:tc>
          <w:tcPr>
            <w:tcW w:w="4289"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工作中的创新能力</w:t>
            </w:r>
          </w:p>
        </w:tc>
        <w:tc>
          <w:tcPr>
            <w:tcW w:w="116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10</w:t>
            </w:r>
          </w:p>
        </w:tc>
        <w:tc>
          <w:tcPr>
            <w:tcW w:w="153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所有人员</w:t>
            </w:r>
          </w:p>
        </w:tc>
        <w:tc>
          <w:tcPr>
            <w:tcW w:w="6947" w:type="dxa"/>
            <w:tcBorders>
              <w:top w:val="nil"/>
              <w:left w:val="nil"/>
              <w:bottom w:val="single" w:color="auto" w:sz="8" w:space="0"/>
              <w:right w:val="single" w:color="auto" w:sz="8" w:space="0"/>
            </w:tcBorders>
            <w:shd w:val="clear" w:color="auto" w:fill="auto"/>
            <w:vAlign w:val="center"/>
          </w:tcPr>
          <w:p>
            <w:pPr>
              <w:widowControl/>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对现有的工作进行创新，大胆进行尝试</w:t>
            </w:r>
          </w:p>
        </w:tc>
      </w:tr>
      <w:tr>
        <w:tblPrEx>
          <w:tblCellMar>
            <w:top w:w="0" w:type="dxa"/>
            <w:left w:w="108" w:type="dxa"/>
            <w:bottom w:w="0" w:type="dxa"/>
            <w:right w:w="108" w:type="dxa"/>
          </w:tblCellMar>
        </w:tblPrEx>
        <w:trPr>
          <w:trHeight w:val="2205" w:hRule="atLeast"/>
        </w:trPr>
        <w:tc>
          <w:tcPr>
            <w:tcW w:w="29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5</w:t>
            </w:r>
          </w:p>
        </w:tc>
        <w:tc>
          <w:tcPr>
            <w:tcW w:w="4289"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工作态度及作风</w:t>
            </w:r>
          </w:p>
        </w:tc>
        <w:tc>
          <w:tcPr>
            <w:tcW w:w="1164"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20</w:t>
            </w:r>
          </w:p>
        </w:tc>
        <w:tc>
          <w:tcPr>
            <w:tcW w:w="153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所有人员</w:t>
            </w:r>
          </w:p>
        </w:tc>
        <w:tc>
          <w:tcPr>
            <w:tcW w:w="6947" w:type="dxa"/>
            <w:tcBorders>
              <w:top w:val="nil"/>
              <w:left w:val="nil"/>
              <w:bottom w:val="single" w:color="auto" w:sz="8" w:space="0"/>
              <w:right w:val="single" w:color="auto" w:sz="8" w:space="0"/>
            </w:tcBorders>
            <w:shd w:val="clear" w:color="auto" w:fill="auto"/>
            <w:vAlign w:val="center"/>
          </w:tcPr>
          <w:p>
            <w:pPr>
              <w:widowControl/>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工作态度积极性（包含前台主动联推等，主动加班、以及主动接受额外挑战任务等）每周5分</w:t>
            </w:r>
          </w:p>
        </w:tc>
      </w:tr>
      <w:tr>
        <w:tblPrEx>
          <w:tblCellMar>
            <w:top w:w="0" w:type="dxa"/>
            <w:left w:w="108" w:type="dxa"/>
            <w:bottom w:w="0" w:type="dxa"/>
            <w:right w:w="108" w:type="dxa"/>
          </w:tblCellMar>
        </w:tblPrEx>
        <w:trPr>
          <w:trHeight w:val="330" w:hRule="atLeast"/>
        </w:trPr>
        <w:tc>
          <w:tcPr>
            <w:tcW w:w="290" w:type="dxa"/>
            <w:tcBorders>
              <w:top w:val="nil"/>
              <w:left w:val="nil"/>
              <w:bottom w:val="nil"/>
              <w:right w:val="nil"/>
            </w:tcBorders>
            <w:shd w:val="clear" w:color="auto" w:fill="auto"/>
            <w:noWrap/>
            <w:vAlign w:val="bottom"/>
          </w:tcPr>
          <w:p>
            <w:pPr>
              <w:widowControl/>
              <w:jc w:val="left"/>
              <w:rPr>
                <w:rFonts w:hint="eastAsia" w:ascii="楷体" w:hAnsi="楷体" w:eastAsia="楷体" w:cs="楷体"/>
                <w:color w:val="000000"/>
                <w:kern w:val="0"/>
                <w:sz w:val="24"/>
                <w:szCs w:val="24"/>
              </w:rPr>
            </w:pPr>
          </w:p>
        </w:tc>
        <w:tc>
          <w:tcPr>
            <w:tcW w:w="13931" w:type="dxa"/>
            <w:gridSpan w:val="4"/>
            <w:vMerge w:val="restart"/>
            <w:tcBorders>
              <w:top w:val="single" w:color="auto" w:sz="8" w:space="0"/>
              <w:left w:val="nil"/>
              <w:bottom w:val="nil"/>
              <w:right w:val="nil"/>
            </w:tcBorders>
            <w:shd w:val="clear" w:color="auto" w:fill="auto"/>
          </w:tcPr>
          <w:p>
            <w:pPr>
              <w:widowControl/>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1、考核指标1和考核指标5按照周来进行考核（每周的结果占5分），其他考核指标按周进行考核                                                                     2、正常得分满分为100分、最低分为0分，月得分低于60分，员工写1000字检讨，连续2个月低于60分，部门通报批评，连续3个月低于60分，连续3个月得分为部门所有人前三，部门通报表扬。</w:t>
            </w:r>
            <w:r>
              <w:rPr>
                <w:rFonts w:hint="eastAsia" w:ascii="SimHei" w:hAnsi="SimHei" w:eastAsia="黑体" w:cs="楷体"/>
                <w:color w:val="000000"/>
                <w:kern w:val="0"/>
                <w:sz w:val="24"/>
                <w:szCs w:val="24"/>
              </w:rPr>
              <w:br/>
            </w:r>
            <w:r>
              <w:rPr>
                <w:rFonts w:hint="eastAsia" w:ascii="SimHei" w:hAnsi="SimHei" w:eastAsia="黑体" w:cs="楷体"/>
                <w:color w:val="000000"/>
                <w:kern w:val="0"/>
                <w:sz w:val="24"/>
                <w:szCs w:val="24"/>
              </w:rPr>
              <w:t>3、全年的综合得分，并且作为财年末绩效考核、学校优秀员工、集团优秀员工评选的重要参照指标</w:t>
            </w:r>
          </w:p>
        </w:tc>
      </w:tr>
      <w:tr>
        <w:tblPrEx>
          <w:tblCellMar>
            <w:top w:w="0" w:type="dxa"/>
            <w:left w:w="108" w:type="dxa"/>
            <w:bottom w:w="0" w:type="dxa"/>
            <w:right w:w="108" w:type="dxa"/>
          </w:tblCellMar>
        </w:tblPrEx>
        <w:trPr>
          <w:trHeight w:val="330" w:hRule="atLeast"/>
        </w:trPr>
        <w:tc>
          <w:tcPr>
            <w:tcW w:w="290" w:type="dxa"/>
            <w:tcBorders>
              <w:top w:val="nil"/>
              <w:left w:val="nil"/>
              <w:bottom w:val="nil"/>
              <w:right w:val="nil"/>
            </w:tcBorders>
            <w:shd w:val="clear" w:color="auto" w:fill="auto"/>
            <w:noWrap/>
            <w:vAlign w:val="bottom"/>
          </w:tcPr>
          <w:p>
            <w:pPr>
              <w:widowControl/>
              <w:jc w:val="left"/>
              <w:rPr>
                <w:rFonts w:hint="eastAsia" w:ascii="楷体" w:hAnsi="楷体" w:eastAsia="楷体" w:cs="楷体"/>
                <w:color w:val="000000"/>
                <w:kern w:val="0"/>
                <w:sz w:val="24"/>
                <w:szCs w:val="24"/>
              </w:rPr>
            </w:pPr>
          </w:p>
        </w:tc>
        <w:tc>
          <w:tcPr>
            <w:tcW w:w="13931" w:type="dxa"/>
            <w:gridSpan w:val="4"/>
            <w:vMerge w:val="continue"/>
            <w:tcBorders>
              <w:top w:val="nil"/>
              <w:left w:val="nil"/>
              <w:bottom w:val="nil"/>
              <w:right w:val="nil"/>
            </w:tcBorders>
            <w:vAlign w:val="center"/>
          </w:tcPr>
          <w:p>
            <w:pPr>
              <w:widowControl/>
              <w:jc w:val="left"/>
              <w:rPr>
                <w:rFonts w:hint="eastAsia" w:ascii="楷体" w:hAnsi="楷体" w:eastAsia="楷体" w:cs="楷体"/>
                <w:color w:val="000000"/>
                <w:kern w:val="0"/>
                <w:sz w:val="24"/>
                <w:szCs w:val="24"/>
              </w:rPr>
            </w:pPr>
          </w:p>
        </w:tc>
      </w:tr>
      <w:tr>
        <w:tblPrEx>
          <w:tblCellMar>
            <w:top w:w="0" w:type="dxa"/>
            <w:left w:w="108" w:type="dxa"/>
            <w:bottom w:w="0" w:type="dxa"/>
            <w:right w:w="108" w:type="dxa"/>
          </w:tblCellMar>
        </w:tblPrEx>
        <w:trPr>
          <w:trHeight w:val="330" w:hRule="atLeast"/>
        </w:trPr>
        <w:tc>
          <w:tcPr>
            <w:tcW w:w="290" w:type="dxa"/>
            <w:tcBorders>
              <w:top w:val="nil"/>
              <w:left w:val="nil"/>
              <w:bottom w:val="nil"/>
              <w:right w:val="nil"/>
            </w:tcBorders>
            <w:shd w:val="clear" w:color="auto" w:fill="auto"/>
            <w:noWrap/>
            <w:vAlign w:val="bottom"/>
          </w:tcPr>
          <w:p>
            <w:pPr>
              <w:widowControl/>
              <w:jc w:val="left"/>
              <w:rPr>
                <w:rFonts w:hint="eastAsia" w:ascii="楷体" w:hAnsi="楷体" w:eastAsia="楷体" w:cs="楷体"/>
                <w:color w:val="000000"/>
                <w:kern w:val="0"/>
                <w:sz w:val="24"/>
                <w:szCs w:val="24"/>
              </w:rPr>
            </w:pPr>
          </w:p>
        </w:tc>
        <w:tc>
          <w:tcPr>
            <w:tcW w:w="13931" w:type="dxa"/>
            <w:gridSpan w:val="4"/>
            <w:vMerge w:val="continue"/>
            <w:tcBorders>
              <w:top w:val="nil"/>
              <w:left w:val="nil"/>
              <w:bottom w:val="nil"/>
              <w:right w:val="nil"/>
            </w:tcBorders>
            <w:vAlign w:val="center"/>
          </w:tcPr>
          <w:p>
            <w:pPr>
              <w:widowControl/>
              <w:jc w:val="left"/>
              <w:rPr>
                <w:rFonts w:hint="eastAsia" w:ascii="楷体" w:hAnsi="楷体" w:eastAsia="楷体" w:cs="楷体"/>
                <w:color w:val="000000"/>
                <w:kern w:val="0"/>
                <w:sz w:val="24"/>
                <w:szCs w:val="24"/>
              </w:rPr>
            </w:pPr>
          </w:p>
        </w:tc>
      </w:tr>
      <w:tr>
        <w:tblPrEx>
          <w:tblCellMar>
            <w:top w:w="0" w:type="dxa"/>
            <w:left w:w="108" w:type="dxa"/>
            <w:bottom w:w="0" w:type="dxa"/>
            <w:right w:w="108" w:type="dxa"/>
          </w:tblCellMar>
        </w:tblPrEx>
        <w:trPr>
          <w:trHeight w:val="330" w:hRule="atLeast"/>
        </w:trPr>
        <w:tc>
          <w:tcPr>
            <w:tcW w:w="290" w:type="dxa"/>
            <w:tcBorders>
              <w:top w:val="nil"/>
              <w:left w:val="nil"/>
              <w:bottom w:val="nil"/>
              <w:right w:val="nil"/>
            </w:tcBorders>
            <w:shd w:val="clear" w:color="auto" w:fill="auto"/>
            <w:noWrap/>
            <w:vAlign w:val="bottom"/>
          </w:tcPr>
          <w:p>
            <w:pPr>
              <w:widowControl/>
              <w:jc w:val="left"/>
              <w:rPr>
                <w:rFonts w:hint="eastAsia" w:ascii="楷体" w:hAnsi="楷体" w:eastAsia="楷体" w:cs="楷体"/>
                <w:color w:val="000000"/>
                <w:kern w:val="0"/>
                <w:sz w:val="24"/>
                <w:szCs w:val="24"/>
              </w:rPr>
            </w:pPr>
          </w:p>
        </w:tc>
        <w:tc>
          <w:tcPr>
            <w:tcW w:w="13931" w:type="dxa"/>
            <w:gridSpan w:val="4"/>
            <w:vMerge w:val="continue"/>
            <w:tcBorders>
              <w:top w:val="nil"/>
              <w:left w:val="nil"/>
              <w:bottom w:val="nil"/>
              <w:right w:val="nil"/>
            </w:tcBorders>
            <w:vAlign w:val="center"/>
          </w:tcPr>
          <w:p>
            <w:pPr>
              <w:widowControl/>
              <w:jc w:val="left"/>
              <w:rPr>
                <w:rFonts w:hint="eastAsia" w:ascii="楷体" w:hAnsi="楷体" w:eastAsia="楷体" w:cs="楷体"/>
                <w:color w:val="000000"/>
                <w:kern w:val="0"/>
                <w:sz w:val="24"/>
                <w:szCs w:val="24"/>
              </w:rPr>
            </w:pPr>
          </w:p>
        </w:tc>
      </w:tr>
    </w:tbl>
    <w:p>
      <w:pPr>
        <w:rPr>
          <w:rFonts w:hint="eastAsia" w:ascii="楷体" w:hAnsi="楷体" w:eastAsia="楷体" w:cs="楷体"/>
          <w:sz w:val="24"/>
          <w:szCs w:val="24"/>
        </w:rPr>
      </w:pPr>
    </w:p>
    <w:p>
      <w:pPr>
        <w:pStyle w:val="4"/>
        <w:rPr>
          <w:rFonts w:hint="eastAsia" w:ascii="楷体" w:hAnsi="楷体" w:eastAsia="楷体" w:cs="楷体"/>
          <w:szCs w:val="40"/>
        </w:rPr>
      </w:pPr>
      <w:bookmarkStart w:id="13" w:name="_Toc428624949"/>
      <w:r>
        <w:rPr>
          <w:rFonts w:hint="eastAsia" w:ascii="SimHei" w:hAnsi="SimHei" w:eastAsia="黑体" w:cs="楷体"/>
          <w:szCs w:val="24"/>
        </w:rPr>
        <w:t>3、</w:t>
      </w:r>
      <w:r>
        <w:rPr>
          <w:rFonts w:hint="eastAsia" w:ascii="SimHei" w:hAnsi="SimHei" w:eastAsia="黑体" w:cs="楷体"/>
          <w:szCs w:val="40"/>
        </w:rPr>
        <w:t>20</w:t>
      </w:r>
      <w:r>
        <w:rPr>
          <w:rFonts w:hint="eastAsia" w:ascii="SimHei" w:hAnsi="SimHei" w:eastAsia="黑体" w:cs="楷体"/>
          <w:szCs w:val="40"/>
          <w:lang w:val="en-US" w:eastAsia="zh-CN"/>
        </w:rPr>
        <w:t>XX</w:t>
      </w:r>
      <w:r>
        <w:rPr>
          <w:rFonts w:hint="eastAsia" w:ascii="SimHei" w:hAnsi="SimHei" w:eastAsia="黑体" w:cs="楷体"/>
          <w:szCs w:val="40"/>
        </w:rPr>
        <w:t>财年高考名师大班的收入划分法则</w:t>
      </w:r>
      <w:bookmarkEnd w:id="13"/>
    </w:p>
    <w:p>
      <w:pPr>
        <w:pStyle w:val="18"/>
        <w:widowControl/>
        <w:numPr>
          <w:ilvl w:val="0"/>
          <w:numId w:val="10"/>
        </w:numPr>
        <w:autoSpaceDE w:val="0"/>
        <w:autoSpaceDN w:val="0"/>
        <w:adjustRightInd w:val="0"/>
        <w:ind w:firstLineChars="0"/>
        <w:jc w:val="left"/>
        <w:rPr>
          <w:rFonts w:hint="eastAsia" w:ascii="楷体" w:hAnsi="楷体" w:eastAsia="楷体" w:cs="楷体"/>
          <w:kern w:val="0"/>
          <w:sz w:val="24"/>
          <w:szCs w:val="24"/>
        </w:rPr>
      </w:pPr>
      <w:r>
        <w:rPr>
          <w:rFonts w:hint="eastAsia" w:ascii="SimHei" w:hAnsi="SimHei" w:eastAsia="黑体" w:cs="楷体"/>
          <w:kern w:val="0"/>
          <w:sz w:val="24"/>
          <w:szCs w:val="24"/>
        </w:rPr>
        <w:t>设定名师大班校区辐射区域（昌平、顺义、通州、大兴不处于辐射地段）：</w:t>
      </w:r>
    </w:p>
    <w:p>
      <w:pPr>
        <w:widowControl/>
        <w:autoSpaceDE w:val="0"/>
        <w:autoSpaceDN w:val="0"/>
        <w:adjustRightInd w:val="0"/>
        <w:ind w:left="1611" w:leftChars="200" w:hanging="1191"/>
        <w:rPr>
          <w:rFonts w:hint="eastAsia" w:ascii="楷体" w:hAnsi="楷体" w:eastAsia="楷体" w:cs="楷体"/>
          <w:kern w:val="0"/>
          <w:sz w:val="24"/>
          <w:szCs w:val="24"/>
        </w:rPr>
      </w:pPr>
      <w:r>
        <w:rPr>
          <w:rFonts w:hint="eastAsia" w:ascii="SimHei" w:hAnsi="SimHei" w:eastAsia="黑体" w:cs="楷体"/>
          <w:kern w:val="0"/>
          <w:sz w:val="24"/>
          <w:szCs w:val="24"/>
        </w:rPr>
        <w:t>大钟寺——中关村（万柳、艾瑟顿、欧美汇、E世界）、魏公村、西城新外、知春路、亚运村、国展西坝河、望京</w:t>
      </w:r>
    </w:p>
    <w:p>
      <w:pPr>
        <w:widowControl/>
        <w:autoSpaceDE w:val="0"/>
        <w:autoSpaceDN w:val="0"/>
        <w:adjustRightInd w:val="0"/>
        <w:ind w:firstLine="480" w:firstLineChars="200"/>
        <w:rPr>
          <w:rFonts w:hint="eastAsia" w:ascii="楷体" w:hAnsi="楷体" w:eastAsia="楷体" w:cs="楷体"/>
          <w:kern w:val="0"/>
          <w:sz w:val="24"/>
          <w:szCs w:val="24"/>
        </w:rPr>
      </w:pPr>
      <w:r>
        <w:rPr>
          <w:rFonts w:hint="eastAsia" w:ascii="SimHei" w:hAnsi="SimHei" w:eastAsia="黑体" w:cs="楷体"/>
          <w:kern w:val="0"/>
          <w:sz w:val="24"/>
          <w:szCs w:val="24"/>
        </w:rPr>
        <w:t>公主坟——远大路、石景山、玉泉路、花园桥</w:t>
      </w:r>
    </w:p>
    <w:p>
      <w:pPr>
        <w:widowControl/>
        <w:autoSpaceDE w:val="0"/>
        <w:autoSpaceDN w:val="0"/>
        <w:adjustRightInd w:val="0"/>
        <w:ind w:firstLine="480" w:firstLineChars="200"/>
        <w:rPr>
          <w:rFonts w:hint="eastAsia" w:ascii="楷体" w:hAnsi="楷体" w:eastAsia="楷体" w:cs="楷体"/>
          <w:kern w:val="0"/>
          <w:sz w:val="24"/>
          <w:szCs w:val="24"/>
        </w:rPr>
      </w:pPr>
      <w:r>
        <w:rPr>
          <w:rFonts w:hint="eastAsia" w:ascii="SimHei" w:hAnsi="SimHei" w:eastAsia="黑体" w:cs="楷体"/>
          <w:kern w:val="0"/>
          <w:sz w:val="24"/>
          <w:szCs w:val="24"/>
        </w:rPr>
        <w:t>珠市口——国贸、刘家窑、劲松、东四、交道口、团结湖</w:t>
      </w:r>
    </w:p>
    <w:p>
      <w:pPr>
        <w:pStyle w:val="18"/>
        <w:widowControl/>
        <w:numPr>
          <w:ilvl w:val="0"/>
          <w:numId w:val="10"/>
        </w:numPr>
        <w:autoSpaceDE w:val="0"/>
        <w:autoSpaceDN w:val="0"/>
        <w:adjustRightInd w:val="0"/>
        <w:ind w:firstLineChars="0"/>
        <w:jc w:val="left"/>
        <w:rPr>
          <w:rFonts w:hint="eastAsia" w:ascii="楷体" w:hAnsi="楷体" w:eastAsia="楷体" w:cs="楷体"/>
          <w:kern w:val="0"/>
          <w:sz w:val="24"/>
          <w:szCs w:val="24"/>
        </w:rPr>
      </w:pPr>
      <w:r>
        <w:rPr>
          <w:rFonts w:hint="eastAsia" w:ascii="SimHei" w:hAnsi="SimHei" w:eastAsia="黑体" w:cs="楷体"/>
          <w:kern w:val="0"/>
          <w:sz w:val="24"/>
          <w:szCs w:val="24"/>
        </w:rPr>
        <w:t>名师大班范围：</w:t>
      </w:r>
    </w:p>
    <w:p>
      <w:pPr>
        <w:widowControl/>
        <w:autoSpaceDE w:val="0"/>
        <w:autoSpaceDN w:val="0"/>
        <w:adjustRightInd w:val="0"/>
        <w:ind w:firstLine="480" w:firstLineChars="200"/>
        <w:jc w:val="left"/>
        <w:rPr>
          <w:rFonts w:hint="eastAsia" w:ascii="楷体" w:hAnsi="楷体" w:eastAsia="楷体" w:cs="楷体"/>
          <w:kern w:val="0"/>
          <w:sz w:val="24"/>
          <w:szCs w:val="24"/>
        </w:rPr>
      </w:pPr>
      <w:r>
        <w:rPr>
          <w:rFonts w:hint="eastAsia" w:ascii="SimHei" w:hAnsi="SimHei" w:eastAsia="黑体" w:cs="楷体"/>
          <w:kern w:val="0"/>
          <w:sz w:val="24"/>
          <w:szCs w:val="24"/>
        </w:rPr>
        <w:t>大钟寺、公主坟、珠市口校区的高考英语、高考语文、高考数学（理）、高考物理、高考化学。不包括高考数学（文）高考生物高考历史高考地理高考政治，也不包括高考自主招生班和全日制艺考班。包括五一班十一班和春节班。</w:t>
      </w:r>
    </w:p>
    <w:p>
      <w:pPr>
        <w:pStyle w:val="18"/>
        <w:widowControl/>
        <w:numPr>
          <w:ilvl w:val="0"/>
          <w:numId w:val="10"/>
        </w:numPr>
        <w:autoSpaceDE w:val="0"/>
        <w:autoSpaceDN w:val="0"/>
        <w:adjustRightInd w:val="0"/>
        <w:ind w:firstLineChars="0"/>
        <w:jc w:val="left"/>
        <w:rPr>
          <w:rFonts w:hint="eastAsia" w:ascii="楷体" w:hAnsi="楷体" w:eastAsia="楷体" w:cs="楷体"/>
          <w:kern w:val="0"/>
          <w:sz w:val="24"/>
          <w:szCs w:val="24"/>
        </w:rPr>
      </w:pPr>
      <w:r>
        <w:rPr>
          <w:rFonts w:hint="eastAsia" w:ascii="SimHei" w:hAnsi="SimHei" w:eastAsia="黑体" w:cs="楷体"/>
          <w:kern w:val="0"/>
          <w:sz w:val="24"/>
          <w:szCs w:val="24"/>
        </w:rPr>
        <w:t>分配法则：</w:t>
      </w:r>
    </w:p>
    <w:p>
      <w:pPr>
        <w:widowControl/>
        <w:autoSpaceDE w:val="0"/>
        <w:autoSpaceDN w:val="0"/>
        <w:adjustRightInd w:val="0"/>
        <w:ind w:firstLine="480" w:firstLineChars="200"/>
        <w:rPr>
          <w:rFonts w:hint="eastAsia" w:ascii="楷体" w:hAnsi="楷体" w:eastAsia="楷体" w:cs="楷体"/>
          <w:kern w:val="0"/>
          <w:sz w:val="24"/>
          <w:szCs w:val="24"/>
        </w:rPr>
      </w:pPr>
      <w:r>
        <w:rPr>
          <w:rFonts w:hint="eastAsia" w:ascii="SimHei" w:hAnsi="SimHei" w:eastAsia="黑体" w:cs="楷体"/>
          <w:kern w:val="0"/>
          <w:sz w:val="24"/>
          <w:szCs w:val="24"/>
        </w:rPr>
        <w:t>名师大班区域的名师大班收入的75%直接归名师大班区域所有，剩下的25%的收入分配到名师大班区域以及其辐射区域中去。分配比例按照名师大班校区辐射区域的非高考班收入的比例来确定。按季度收入来分配。</w:t>
      </w:r>
    </w:p>
    <w:p>
      <w:pPr>
        <w:pStyle w:val="18"/>
        <w:widowControl/>
        <w:numPr>
          <w:ilvl w:val="0"/>
          <w:numId w:val="10"/>
        </w:numPr>
        <w:autoSpaceDE w:val="0"/>
        <w:autoSpaceDN w:val="0"/>
        <w:adjustRightInd w:val="0"/>
        <w:ind w:firstLineChars="0"/>
        <w:jc w:val="left"/>
        <w:rPr>
          <w:rFonts w:hint="eastAsia" w:ascii="楷体" w:hAnsi="楷体" w:eastAsia="楷体" w:cs="楷体"/>
          <w:kern w:val="0"/>
          <w:sz w:val="24"/>
          <w:szCs w:val="24"/>
        </w:rPr>
      </w:pPr>
      <w:r>
        <w:rPr>
          <w:rFonts w:hint="eastAsia" w:ascii="SimHei" w:hAnsi="SimHei" w:eastAsia="黑体" w:cs="楷体"/>
          <w:kern w:val="0"/>
          <w:sz w:val="24"/>
          <w:szCs w:val="24"/>
        </w:rPr>
        <w:t>分配举例：</w:t>
      </w:r>
    </w:p>
    <w:p>
      <w:pPr>
        <w:ind w:firstLine="480" w:firstLineChars="200"/>
        <w:rPr>
          <w:rFonts w:hint="eastAsia" w:ascii="楷体" w:hAnsi="楷体" w:eastAsia="楷体" w:cs="楷体"/>
          <w:kern w:val="0"/>
          <w:sz w:val="24"/>
          <w:szCs w:val="24"/>
        </w:rPr>
      </w:pPr>
      <w:r>
        <w:rPr>
          <w:rFonts w:hint="eastAsia" w:ascii="SimHei" w:hAnsi="SimHei" w:eastAsia="黑体" w:cs="楷体"/>
          <w:kern w:val="0"/>
          <w:sz w:val="24"/>
          <w:szCs w:val="24"/>
        </w:rPr>
        <w:t>以珠市口为例，某季度珠市口名师大班收入为1000万，珠市口国贸劲松刘家窑非高考班的收入为600万，东四交道口团结湖高一高二高中单项的收入为400万，则卜兴华区域获得250万+750万*0.6=700万，靳浩区域获得750万*0.4=300万。</w:t>
      </w:r>
    </w:p>
    <w:p>
      <w:pPr>
        <w:rPr>
          <w:rFonts w:hint="eastAsia" w:ascii="楷体" w:hAnsi="楷体" w:eastAsia="楷体" w:cs="楷体"/>
          <w:sz w:val="24"/>
          <w:szCs w:val="24"/>
        </w:rPr>
      </w:pPr>
    </w:p>
    <w:p>
      <w:pPr>
        <w:rPr>
          <w:rFonts w:hint="eastAsia" w:ascii="楷体" w:hAnsi="楷体" w:eastAsia="楷体" w:cs="楷体"/>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E67B0"/>
    <w:multiLevelType w:val="multilevel"/>
    <w:tmpl w:val="05BE67B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5E35C3A"/>
    <w:multiLevelType w:val="multilevel"/>
    <w:tmpl w:val="15E35C3A"/>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9A605D1"/>
    <w:multiLevelType w:val="multilevel"/>
    <w:tmpl w:val="29A605D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lvlText w:val="（%3）"/>
      <w:lvlJc w:val="left"/>
      <w:pPr>
        <w:ind w:left="1560" w:hanging="720"/>
      </w:pPr>
      <w:rPr>
        <w:rFonts w:hint="default"/>
      </w:rPr>
    </w:lvl>
    <w:lvl w:ilvl="3" w:tentative="0">
      <w:start w:val="1"/>
      <w:numFmt w:val="decimal"/>
      <w:lvlText w:val="%4、"/>
      <w:lvlJc w:val="left"/>
      <w:pPr>
        <w:ind w:left="1620" w:hanging="36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F96792"/>
    <w:multiLevelType w:val="multilevel"/>
    <w:tmpl w:val="38F96792"/>
    <w:lvl w:ilvl="0" w:tentative="0">
      <w:start w:val="1"/>
      <w:numFmt w:val="decimal"/>
      <w:lvlText w:val="%1)"/>
      <w:lvlJc w:val="left"/>
      <w:pPr>
        <w:ind w:left="48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4">
    <w:nsid w:val="41ED6213"/>
    <w:multiLevelType w:val="multilevel"/>
    <w:tmpl w:val="41ED621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45A16823"/>
    <w:multiLevelType w:val="multilevel"/>
    <w:tmpl w:val="45A16823"/>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69D26619"/>
    <w:multiLevelType w:val="multilevel"/>
    <w:tmpl w:val="69D26619"/>
    <w:lvl w:ilvl="0" w:tentative="0">
      <w:start w:val="1"/>
      <w:numFmt w:val="bullet"/>
      <w:lvlText w:val=""/>
      <w:lvlJc w:val="left"/>
      <w:pPr>
        <w:ind w:left="1220" w:hanging="420"/>
      </w:pPr>
      <w:rPr>
        <w:rFonts w:hint="default" w:ascii="Wingdings" w:hAnsi="Wingdings"/>
      </w:rPr>
    </w:lvl>
    <w:lvl w:ilvl="1" w:tentative="0">
      <w:start w:val="1"/>
      <w:numFmt w:val="bullet"/>
      <w:lvlText w:val=""/>
      <w:lvlJc w:val="left"/>
      <w:pPr>
        <w:ind w:left="1640" w:hanging="420"/>
      </w:pPr>
      <w:rPr>
        <w:rFonts w:hint="default" w:ascii="Wingdings" w:hAnsi="Wingdings"/>
      </w:rPr>
    </w:lvl>
    <w:lvl w:ilvl="2" w:tentative="0">
      <w:start w:val="1"/>
      <w:numFmt w:val="bullet"/>
      <w:lvlText w:val=""/>
      <w:lvlJc w:val="left"/>
      <w:pPr>
        <w:ind w:left="2060" w:hanging="420"/>
      </w:pPr>
      <w:rPr>
        <w:rFonts w:hint="default" w:ascii="Wingdings" w:hAnsi="Wingdings"/>
      </w:rPr>
    </w:lvl>
    <w:lvl w:ilvl="3" w:tentative="0">
      <w:start w:val="1"/>
      <w:numFmt w:val="bullet"/>
      <w:lvlText w:val=""/>
      <w:lvlJc w:val="left"/>
      <w:pPr>
        <w:ind w:left="2480" w:hanging="420"/>
      </w:pPr>
      <w:rPr>
        <w:rFonts w:hint="default" w:ascii="Wingdings" w:hAnsi="Wingdings"/>
      </w:rPr>
    </w:lvl>
    <w:lvl w:ilvl="4" w:tentative="0">
      <w:start w:val="1"/>
      <w:numFmt w:val="bullet"/>
      <w:lvlText w:val=""/>
      <w:lvlJc w:val="left"/>
      <w:pPr>
        <w:ind w:left="2900" w:hanging="420"/>
      </w:pPr>
      <w:rPr>
        <w:rFonts w:hint="default" w:ascii="Wingdings" w:hAnsi="Wingdings"/>
      </w:rPr>
    </w:lvl>
    <w:lvl w:ilvl="5" w:tentative="0">
      <w:start w:val="1"/>
      <w:numFmt w:val="bullet"/>
      <w:lvlText w:val=""/>
      <w:lvlJc w:val="left"/>
      <w:pPr>
        <w:ind w:left="3320" w:hanging="420"/>
      </w:pPr>
      <w:rPr>
        <w:rFonts w:hint="default" w:ascii="Wingdings" w:hAnsi="Wingdings"/>
      </w:rPr>
    </w:lvl>
    <w:lvl w:ilvl="6" w:tentative="0">
      <w:start w:val="1"/>
      <w:numFmt w:val="bullet"/>
      <w:lvlText w:val=""/>
      <w:lvlJc w:val="left"/>
      <w:pPr>
        <w:ind w:left="3740" w:hanging="420"/>
      </w:pPr>
      <w:rPr>
        <w:rFonts w:hint="default" w:ascii="Wingdings" w:hAnsi="Wingdings"/>
      </w:rPr>
    </w:lvl>
    <w:lvl w:ilvl="7" w:tentative="0">
      <w:start w:val="1"/>
      <w:numFmt w:val="bullet"/>
      <w:lvlText w:val=""/>
      <w:lvlJc w:val="left"/>
      <w:pPr>
        <w:ind w:left="4160" w:hanging="420"/>
      </w:pPr>
      <w:rPr>
        <w:rFonts w:hint="default" w:ascii="Wingdings" w:hAnsi="Wingdings"/>
      </w:rPr>
    </w:lvl>
    <w:lvl w:ilvl="8" w:tentative="0">
      <w:start w:val="1"/>
      <w:numFmt w:val="bullet"/>
      <w:lvlText w:val=""/>
      <w:lvlJc w:val="left"/>
      <w:pPr>
        <w:ind w:left="4580" w:hanging="420"/>
      </w:pPr>
      <w:rPr>
        <w:rFonts w:hint="default" w:ascii="Wingdings" w:hAnsi="Wingdings"/>
      </w:rPr>
    </w:lvl>
  </w:abstractNum>
  <w:abstractNum w:abstractNumId="7">
    <w:nsid w:val="705B3004"/>
    <w:multiLevelType w:val="multilevel"/>
    <w:tmpl w:val="705B300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0640101"/>
    <w:multiLevelType w:val="multilevel"/>
    <w:tmpl w:val="7064010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731405ED"/>
    <w:multiLevelType w:val="multilevel"/>
    <w:tmpl w:val="731405E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num>
  <w:num w:numId="2">
    <w:abstractNumId w:val="2"/>
  </w:num>
  <w:num w:numId="3">
    <w:abstractNumId w:val="8"/>
  </w:num>
  <w:num w:numId="4">
    <w:abstractNumId w:val="4"/>
  </w:num>
  <w:num w:numId="5">
    <w:abstractNumId w:val="9"/>
  </w:num>
  <w:num w:numId="6">
    <w:abstractNumId w:val="5"/>
  </w:num>
  <w:num w:numId="7">
    <w:abstractNumId w:val="6"/>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494C"/>
    <w:rsid w:val="00222306"/>
    <w:rsid w:val="0055494C"/>
    <w:rsid w:val="005D7AE2"/>
    <w:rsid w:val="00814CC6"/>
    <w:rsid w:val="0087015F"/>
    <w:rsid w:val="009A225A"/>
    <w:rsid w:val="00BF21F2"/>
    <w:rsid w:val="00BF6A53"/>
    <w:rsid w:val="00CF343E"/>
    <w:rsid w:val="00D97F6D"/>
    <w:rsid w:val="00F332C9"/>
    <w:rsid w:val="0B395FEB"/>
    <w:rsid w:val="664A0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uiPriority w:val="39"/>
    <w:pPr>
      <w:ind w:left="840" w:leftChars="400"/>
    </w:pPr>
  </w:style>
  <w:style w:type="paragraph" w:styleId="6">
    <w:name w:val="Balloon Text"/>
    <w:basedOn w:val="1"/>
    <w:link w:val="17"/>
    <w:semiHidden/>
    <w:unhideWhenUsed/>
    <w:uiPriority w:val="99"/>
    <w:rPr>
      <w:sz w:val="18"/>
      <w:szCs w:val="18"/>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table" w:styleId="12">
    <w:name w:val="Table Grid"/>
    <w:basedOn w:val="11"/>
    <w:qFormat/>
    <w:uiPriority w:val="5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themeColor="hyperlink"/>
      <w:u w:val="single"/>
    </w:rPr>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semiHidden/>
    <w:uiPriority w:val="99"/>
    <w:rPr>
      <w:sz w:val="18"/>
      <w:szCs w:val="18"/>
    </w:rPr>
  </w:style>
  <w:style w:type="character" w:customStyle="1" w:styleId="17">
    <w:name w:val="批注框文本 Char"/>
    <w:basedOn w:val="13"/>
    <w:link w:val="6"/>
    <w:semiHidden/>
    <w:qFormat/>
    <w:uiPriority w:val="99"/>
    <w:rPr>
      <w:rFonts w:ascii="Calibri" w:hAnsi="Calibri"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标题 1 Char"/>
    <w:basedOn w:val="13"/>
    <w:link w:val="2"/>
    <w:uiPriority w:val="9"/>
    <w:rPr>
      <w:rFonts w:ascii="Calibri" w:hAnsi="Calibri" w:eastAsia="宋体" w:cs="Times New Roman"/>
      <w:b/>
      <w:bCs/>
      <w:kern w:val="44"/>
      <w:sz w:val="44"/>
      <w:szCs w:val="44"/>
    </w:rPr>
  </w:style>
  <w:style w:type="character" w:customStyle="1" w:styleId="20">
    <w:name w:val="标题 2 Char"/>
    <w:basedOn w:val="13"/>
    <w:link w:val="3"/>
    <w:qFormat/>
    <w:uiPriority w:val="9"/>
    <w:rPr>
      <w:rFonts w:asciiTheme="majorHAnsi" w:hAnsiTheme="majorHAnsi" w:eastAsiaTheme="majorEastAsia" w:cstheme="majorBidi"/>
      <w:b/>
      <w:bCs/>
      <w:sz w:val="32"/>
      <w:szCs w:val="32"/>
    </w:rPr>
  </w:style>
  <w:style w:type="character" w:customStyle="1" w:styleId="21">
    <w:name w:val="标题 3 Char"/>
    <w:basedOn w:val="13"/>
    <w:link w:val="4"/>
    <w:qFormat/>
    <w:uiPriority w:val="9"/>
    <w:rPr>
      <w:rFonts w:ascii="Calibri" w:hAnsi="Calibri"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6B7DBF-1CA2-4C6C-B3C5-035273433660}">
  <ds:schemaRefs/>
</ds:datastoreItem>
</file>

<file path=docProps/app.xml><?xml version="1.0" encoding="utf-8"?>
<Properties xmlns="http://schemas.openxmlformats.org/officeDocument/2006/extended-properties" xmlns:vt="http://schemas.openxmlformats.org/officeDocument/2006/docPropsVTypes">
  <Template>Normal</Template>
  <Pages>14</Pages>
  <Words>1045</Words>
  <Characters>5959</Characters>
  <Lines>49</Lines>
  <Paragraphs>13</Paragraphs>
  <TotalTime>32</TotalTime>
  <ScaleCrop>false</ScaleCrop>
  <LinksUpToDate>false</LinksUpToDate>
  <CharactersWithSpaces>6991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2015-08-29T06:48:00Z</dcterms:created>
  <dc:creator>唐元生</dc:creator>
  <cp:lastModifiedBy>91方案网～齐志锁</cp:lastModifiedBy>
  <dcterms:modified xsi:type="dcterms:W3CDTF">2020-04-28T04:08:32Z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