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pageBreakBefore w:val="false"/>
        <w:widowControl/>
        <w:kinsoku w:val="true"/>
        <w:overflowPunct w:val="true"/>
        <w:autoSpaceDE w:val="true"/>
        <w:bidi w:val="0"/>
        <w:snapToGrid w:val="true"/>
        <w:spacing w:lineRule="auto" w:line="360" w:before="260" w:after="260"/>
        <w:textAlignment w:val="auto"/>
        <w:rPr>
          <w:rFonts w:ascii="楷体" w:hAnsi="楷体" w:eastAsia="楷体" w:cs="楷体"/>
          <w:b/>
          <w:b/>
          <w:sz w:val="36"/>
          <w:szCs w:val="36"/>
        </w:rPr>
      </w:pPr>
      <w:r>
        <w:rPr>
          <w:rFonts w:ascii="SimHei" w:hAnsi="SimHei" w:cs="楷体" w:eastAsia="黑体"/>
          <w:b/>
          <w:sz w:val="36"/>
          <w:szCs w:val="36"/>
        </w:rPr>
        <w:t>技术岗位薪酬制度</w:t>
      </w:r>
    </w:p>
    <w:p>
      <w:pPr>
        <w:pStyle w:val="Style15"/>
        <w:pageBreakBefore w:val="false"/>
        <w:widowControl/>
        <w:kinsoku w:val="true"/>
        <w:overflowPunct w:val="true"/>
        <w:autoSpaceDE w:val="true"/>
        <w:bidi w:val="0"/>
        <w:snapToGrid w:val="true"/>
        <w:spacing w:lineRule="auto" w:line="360"/>
        <w:textAlignment w:val="auto"/>
        <w:rPr>
          <w:rFonts w:ascii="楷体" w:hAnsi="楷体" w:eastAsia="楷体" w:cs="楷体"/>
          <w:b/>
          <w:b/>
          <w:sz w:val="28"/>
          <w:szCs w:val="28"/>
        </w:rPr>
      </w:pPr>
      <w:r>
        <w:rPr>
          <w:rFonts w:ascii="SimHei" w:hAnsi="SimHei" w:cs="楷体" w:eastAsia="黑体"/>
          <w:b/>
          <w:sz w:val="28"/>
          <w:szCs w:val="28"/>
        </w:rPr>
        <w:t>第一节  总则</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目的</w:t>
      </w:r>
    </w:p>
    <w:p>
      <w:pPr>
        <w:pStyle w:val="Normal"/>
        <w:pageBreakBefore w:val="false"/>
        <w:widowControl/>
        <w:kinsoku w:val="true"/>
        <w:overflowPunct w:val="true"/>
        <w:autoSpaceDE w:val="true"/>
        <w:bidi w:val="0"/>
        <w:snapToGrid w:val="true"/>
        <w:spacing w:lineRule="auto" w:line="360"/>
        <w:ind w:firstLine="480"/>
        <w:textAlignment w:val="auto"/>
        <w:rPr>
          <w:rFonts w:ascii="楷体" w:hAnsi="楷体" w:eastAsia="楷体" w:cs="楷体"/>
          <w:b w:val="false"/>
          <w:b w:val="false"/>
          <w:sz w:val="24"/>
        </w:rPr>
      </w:pPr>
      <w:r>
        <w:rPr>
          <w:rFonts w:ascii="SimHei" w:hAnsi="SimHei" w:cs="楷体" w:eastAsia="黑体"/>
          <w:b w:val="false"/>
          <w:sz w:val="24"/>
        </w:rPr>
        <w:t>为适应公司以业绩、能力和岗位为导向的员工薪酬管理模式，充分调动员工的工</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作积极性，增强企业的管理水平，促进企业经营效益的增长，特制定本办法。</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薪酬分配的原则</w:t>
      </w:r>
    </w:p>
    <w:p>
      <w:pPr>
        <w:pStyle w:val="Normal"/>
        <w:pageBreakBefore w:val="false"/>
        <w:widowControl/>
        <w:kinsoku w:val="true"/>
        <w:overflowPunct w:val="true"/>
        <w:autoSpaceDE w:val="true"/>
        <w:bidi w:val="0"/>
        <w:snapToGrid w:val="true"/>
        <w:spacing w:lineRule="auto" w:line="360"/>
        <w:ind w:firstLine="480"/>
        <w:textAlignment w:val="auto"/>
        <w:rPr>
          <w:rFonts w:ascii="楷体" w:hAnsi="楷体" w:eastAsia="楷体" w:cs="楷体"/>
          <w:b w:val="false"/>
          <w:b w:val="false"/>
          <w:sz w:val="24"/>
        </w:rPr>
      </w:pPr>
      <w:r>
        <w:rPr>
          <w:rFonts w:ascii="SimHei" w:hAnsi="SimHei" w:cs="楷体" w:eastAsia="黑体"/>
          <w:b w:val="false"/>
          <w:sz w:val="24"/>
        </w:rPr>
        <w:t>薪酬作为分配价值形式之一，遵循按劳分配、效率优先、兼顾公平及可持续发展</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的原则。</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薪酬分配的依据</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薪酬分配的依据是：岗位价值、个人能力和业绩。</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薪酬体系</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依据岗位性质和工作特点，公司对不同人员实行不同的工资制度，构成公司的薪酬体系，包括岗位工资制、岗位绩效工资制和协议工资制。</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适用范围</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本制度适用于公司除董事会任命的总经理、副总经理以外的全体员工。</w:t>
      </w:r>
    </w:p>
    <w:p>
      <w:pPr>
        <w:pStyle w:val="Style15"/>
        <w:pageBreakBefore w:val="false"/>
        <w:widowControl/>
        <w:kinsoku w:val="true"/>
        <w:overflowPunct w:val="true"/>
        <w:autoSpaceDE w:val="true"/>
        <w:bidi w:val="0"/>
        <w:snapToGrid w:val="true"/>
        <w:spacing w:lineRule="auto" w:line="360"/>
        <w:textAlignment w:val="auto"/>
        <w:rPr>
          <w:rFonts w:ascii="楷体" w:hAnsi="楷体" w:eastAsia="楷体" w:cs="楷体"/>
          <w:sz w:val="32"/>
        </w:rPr>
      </w:pPr>
      <w:r>
        <w:rPr>
          <w:rFonts w:ascii="SimHei" w:hAnsi="SimHei" w:cs="楷体" w:eastAsia="黑体"/>
          <w:b/>
          <w:sz w:val="32"/>
        </w:rPr>
        <w:t>第二节</w:t>
      </w:r>
      <w:r>
        <w:rPr>
          <w:rFonts w:ascii="SimHei" w:hAnsi="SimHei" w:cs="楷体" w:eastAsia="黑体"/>
          <w:sz w:val="32"/>
        </w:rPr>
        <w:t xml:space="preserve"> </w:t>
      </w:r>
      <w:r>
        <w:rPr>
          <w:rFonts w:ascii="SimHei" w:hAnsi="SimHei" w:cs="楷体" w:eastAsia="黑体"/>
          <w:b/>
          <w:sz w:val="32"/>
        </w:rPr>
        <w:t>薪酬总额</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公司对薪酬总额进行控制。每年薪酬总额（不含奖金）的增长应控制</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在上年度薪酬总额（不含奖金）的</w:t>
      </w:r>
      <w:r>
        <w:rPr>
          <w:rFonts w:eastAsia="黑体" w:cs="楷体" w:ascii="SimHei" w:hAnsi="SimHei"/>
          <w:b w:val="false"/>
          <w:sz w:val="24"/>
        </w:rPr>
        <w:t>10%</w:t>
      </w:r>
      <w:r>
        <w:rPr>
          <w:rFonts w:ascii="SimHei" w:hAnsi="SimHei" w:cs="楷体" w:eastAsia="黑体"/>
          <w:b w:val="false"/>
          <w:sz w:val="24"/>
        </w:rPr>
        <w:t>以内，奖金总额的增长比例不应超过当年效益的增长比例。</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根据公司本地区企业和机电行业的薪资水平，结合本公司的历史收入水</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平，同时考虑公司的人才战略和薪酬战略决定的薪酬总量、结构等影响因素，制定薪</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酬政策。</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人力资源部应在每年年底，根据公司上年度的薪酬总额，做出下一年度</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薪酬预算。</w:t>
      </w:r>
    </w:p>
    <w:p>
      <w:pPr>
        <w:pStyle w:val="Style15"/>
        <w:pageBreakBefore w:val="false"/>
        <w:widowControl/>
        <w:kinsoku w:val="true"/>
        <w:overflowPunct w:val="true"/>
        <w:autoSpaceDE w:val="true"/>
        <w:bidi w:val="0"/>
        <w:snapToGrid w:val="true"/>
        <w:spacing w:lineRule="auto" w:line="360"/>
        <w:textAlignment w:val="auto"/>
        <w:rPr>
          <w:rFonts w:ascii="楷体" w:hAnsi="楷体" w:eastAsia="楷体" w:cs="楷体"/>
        </w:rPr>
      </w:pPr>
      <w:r>
        <w:rPr>
          <w:rFonts w:ascii="SimHei" w:hAnsi="SimHei" w:cs="楷体" w:eastAsia="黑体"/>
          <w:b/>
          <w:sz w:val="32"/>
        </w:rPr>
        <w:t>第三节</w:t>
      </w:r>
      <w:r>
        <w:rPr>
          <w:rFonts w:ascii="SimHei" w:hAnsi="SimHei" w:cs="楷体" w:eastAsia="黑体"/>
        </w:rPr>
        <w:t xml:space="preserve">  </w:t>
      </w:r>
      <w:r>
        <w:rPr>
          <w:rFonts w:ascii="SimHei" w:hAnsi="SimHei" w:cs="楷体" w:eastAsia="黑体"/>
          <w:b/>
          <w:sz w:val="32"/>
        </w:rPr>
        <w:t>薪酬元素</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公司员工的薪酬结构从整体上包括下列元素：岗位工资、工龄工资、绩</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效工资、奖金和福利。</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一、岗位工资：依据岗位的相对价值，确定薪等薪级；</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二、工龄工资：为鼓励员工长期为公司服务，公司工龄满一年的员工均可享受工</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龄工资；</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三、绩效工资：根据员工通过努力而取得的工作业绩来确定，每月发放；</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四、奖金：根据公司整体绩效和员工的工作业绩来确定。包括：半年奖金、年终</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奖金和其他特殊奖金；</w:t>
      </w:r>
    </w:p>
    <w:p>
      <w:pPr>
        <w:pStyle w:val="Normal"/>
        <w:pageBreakBefore w:val="false"/>
        <w:widowControl/>
        <w:kinsoku w:val="true"/>
        <w:overflowPunct w:val="true"/>
        <w:autoSpaceDE w:val="true"/>
        <w:bidi w:val="0"/>
        <w:snapToGrid w:val="true"/>
        <w:spacing w:lineRule="auto" w:line="360"/>
        <w:ind w:start="962" w:hanging="480"/>
        <w:jc w:val="start"/>
        <w:textAlignment w:val="auto"/>
        <w:rPr>
          <w:rFonts w:ascii="楷体" w:hAnsi="楷体" w:eastAsia="楷体" w:cs="楷体"/>
          <w:b w:val="false"/>
          <w:b w:val="false"/>
          <w:sz w:val="24"/>
        </w:rPr>
      </w:pPr>
      <w:r>
        <w:rPr>
          <w:rFonts w:ascii="SimHei" w:hAnsi="SimHei" w:cs="楷体" w:eastAsia="黑体"/>
          <w:b w:val="false"/>
          <w:sz w:val="24"/>
        </w:rPr>
        <w:t>五、福利：包括社会保险、补充保险、通讯费、房租补帖、司机补帖、午餐补帖等。</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岗位工资</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在工作分析和岗位评价的基础上，确定公司职类职等系统。新增岗位或岗位性质发生变化后，根据岗位的实际情况相应植入（见附件一）。</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根据对同行业及武汉市工资水平的调查，结合公司人力资源成本的承受能力和岗</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位相对价值确定出公司各薪等和薪级的薪点数（见附件二）。</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岗位工资</w:t>
      </w:r>
      <w:r>
        <w:rPr>
          <w:rFonts w:eastAsia="黑体" w:cs="楷体" w:ascii="SimHei" w:hAnsi="SimHei"/>
          <w:b w:val="false"/>
          <w:sz w:val="24"/>
        </w:rPr>
        <w:t>=</w:t>
      </w:r>
      <w:r>
        <w:rPr>
          <w:rFonts w:ascii="SimHei" w:hAnsi="SimHei" w:cs="楷体" w:eastAsia="黑体"/>
          <w:b w:val="false"/>
          <w:sz w:val="24"/>
        </w:rPr>
        <w:t>薪点数</w:t>
      </w:r>
      <w:r>
        <w:rPr>
          <w:rFonts w:eastAsia="黑体" w:cs="楷体" w:ascii="SimHei" w:hAnsi="SimHei"/>
          <w:b w:val="false"/>
          <w:bCs/>
          <w:sz w:val="24"/>
        </w:rPr>
        <w:t>×</w:t>
      </w:r>
      <w:r>
        <w:rPr>
          <w:rFonts w:ascii="SimHei" w:hAnsi="SimHei" w:cs="楷体" w:eastAsia="黑体"/>
          <w:b w:val="false"/>
          <w:sz w:val="24"/>
        </w:rPr>
        <w:t>固定薪点值</w:t>
      </w:r>
      <w:r>
        <w:rPr>
          <w:rFonts w:eastAsia="黑体" w:cs="楷体" w:ascii="SimHei" w:hAnsi="SimHei"/>
          <w:b w:val="false"/>
          <w:bCs/>
          <w:sz w:val="24"/>
        </w:rPr>
        <w:t>×</w:t>
      </w:r>
      <w:r>
        <w:rPr>
          <w:rFonts w:eastAsia="黑体" w:cs="楷体" w:ascii="SimHei" w:hAnsi="SimHei"/>
          <w:b w:val="false"/>
          <w:sz w:val="24"/>
        </w:rPr>
        <w:t>n%</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eastAsia="黑体" w:cs="楷体" w:ascii="SimHei" w:hAnsi="SimHei"/>
          <w:b w:val="false"/>
          <w:sz w:val="24"/>
        </w:rPr>
        <w:t>1</w:t>
      </w:r>
      <w:r>
        <w:rPr>
          <w:rFonts w:ascii="SimHei" w:hAnsi="SimHei" w:cs="楷体" w:eastAsia="黑体"/>
          <w:b w:val="false"/>
          <w:sz w:val="24"/>
        </w:rPr>
        <w:t>．根据岗位的不同，</w:t>
      </w:r>
      <w:r>
        <w:rPr>
          <w:rFonts w:eastAsia="黑体" w:cs="楷体" w:ascii="SimHei" w:hAnsi="SimHei"/>
          <w:b w:val="false"/>
          <w:sz w:val="24"/>
        </w:rPr>
        <w:t>n</w:t>
      </w:r>
      <w:r>
        <w:rPr>
          <w:rFonts w:ascii="SimHei" w:hAnsi="SimHei" w:cs="楷体" w:eastAsia="黑体"/>
          <w:b w:val="false"/>
          <w:sz w:val="24"/>
        </w:rPr>
        <w:t>的取值不同。</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eastAsia="黑体" w:cs="楷体" w:ascii="SimHei" w:hAnsi="SimHei"/>
          <w:b w:val="false"/>
          <w:sz w:val="24"/>
        </w:rPr>
        <w:t>2</w:t>
      </w:r>
      <w:r>
        <w:rPr>
          <w:rFonts w:ascii="SimHei" w:hAnsi="SimHei" w:cs="楷体" w:eastAsia="黑体"/>
          <w:b w:val="false"/>
          <w:sz w:val="24"/>
        </w:rPr>
        <w:t>．第一年固定薪点值为</w:t>
      </w:r>
      <w:r>
        <w:rPr>
          <w:rFonts w:eastAsia="黑体" w:cs="楷体" w:ascii="SimHei" w:hAnsi="SimHei"/>
          <w:b w:val="false"/>
          <w:sz w:val="24"/>
        </w:rPr>
        <w:t>1</w:t>
      </w:r>
      <w:r>
        <w:rPr>
          <w:rFonts w:ascii="SimHei" w:hAnsi="SimHei" w:cs="楷体" w:eastAsia="黑体"/>
          <w:b w:val="false"/>
          <w:sz w:val="24"/>
        </w:rPr>
        <w:t>，第二年以后将根据公司的效益、武汉地区和行业的薪</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资水平等因素调整固定薪点值的大小。</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sz w:val="24"/>
        </w:rPr>
        <w:t>工龄工资</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员工的工龄工资随着公司工龄的增加而逐年增加。公司工龄每增加一年，工龄工资增加</w:t>
      </w:r>
      <w:r>
        <w:rPr>
          <w:rFonts w:eastAsia="黑体" w:cs="楷体" w:ascii="SimHei" w:hAnsi="SimHei"/>
          <w:b w:val="false"/>
          <w:sz w:val="24"/>
        </w:rPr>
        <w:t>20</w:t>
      </w:r>
      <w:r>
        <w:rPr>
          <w:rFonts w:ascii="SimHei" w:hAnsi="SimHei" w:cs="楷体" w:eastAsia="黑体"/>
          <w:b w:val="false"/>
          <w:sz w:val="24"/>
        </w:rPr>
        <w:t>元。工龄工资每月实际发放</w:t>
      </w:r>
      <w:r>
        <w:rPr>
          <w:rFonts w:eastAsia="黑体" w:cs="楷体" w:ascii="SimHei" w:hAnsi="SimHei"/>
          <w:b w:val="false"/>
          <w:sz w:val="24"/>
        </w:rPr>
        <w:t>1/2</w:t>
      </w:r>
      <w:r>
        <w:rPr>
          <w:rFonts w:ascii="SimHei" w:hAnsi="SimHei" w:cs="楷体" w:eastAsia="黑体"/>
          <w:b w:val="false"/>
          <w:sz w:val="24"/>
        </w:rPr>
        <w:t>，另</w:t>
      </w:r>
      <w:r>
        <w:rPr>
          <w:rFonts w:eastAsia="黑体" w:cs="楷体" w:ascii="SimHei" w:hAnsi="SimHei"/>
          <w:b w:val="false"/>
          <w:sz w:val="24"/>
        </w:rPr>
        <w:t>1/2</w:t>
      </w:r>
      <w:r>
        <w:rPr>
          <w:rFonts w:ascii="SimHei" w:hAnsi="SimHei" w:cs="楷体" w:eastAsia="黑体"/>
          <w:b w:val="false"/>
          <w:sz w:val="24"/>
        </w:rPr>
        <w:t>成立个人工龄账户，每五年支付一次。员工未到五年因个人原因离职的，发放个人工龄账户金额的</w:t>
      </w:r>
      <w:r>
        <w:rPr>
          <w:rFonts w:eastAsia="黑体" w:cs="楷体" w:ascii="SimHei" w:hAnsi="SimHei"/>
          <w:b w:val="false"/>
          <w:sz w:val="24"/>
        </w:rPr>
        <w:t>60%</w:t>
      </w:r>
      <w:r>
        <w:rPr>
          <w:rFonts w:ascii="SimHei" w:hAnsi="SimHei" w:cs="楷体" w:eastAsia="黑体"/>
          <w:b w:val="false"/>
          <w:sz w:val="24"/>
        </w:rPr>
        <w:t>；员工因公司经</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营需要提前离开公司的，发放个人工龄账户金额的</w:t>
      </w:r>
      <w:r>
        <w:rPr>
          <w:rFonts w:eastAsia="黑体" w:cs="楷体" w:ascii="SimHei" w:hAnsi="SimHei"/>
          <w:b w:val="false"/>
          <w:sz w:val="24"/>
        </w:rPr>
        <w:t>100%</w:t>
      </w:r>
      <w:r>
        <w:rPr>
          <w:rFonts w:ascii="SimHei" w:hAnsi="SimHei" w:cs="楷体" w:eastAsia="黑体"/>
          <w:b w:val="false"/>
          <w:sz w:val="24"/>
        </w:rPr>
        <w:t>。</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sz w:val="24"/>
        </w:rPr>
        <w:t>绩效工资</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 xml:space="preserve">实行月绩效考核的部门员工，根据相应的月绩效考核结果来发放月绩效工资。 </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sz w:val="24"/>
        </w:rPr>
        <w:t>半年奖金和年终奖金</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公司每半年对员工的工作表现进行绩效考核，并根据公司的效益，发放半年（年</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终）奖金。</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sz w:val="24"/>
        </w:rPr>
        <w:t>其他特殊奖金</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特殊奖金的目的在于对员工的优秀表现予以正强化，以激励员工自觉地关心公司</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的发展，维护公司的形象。特殊奖金包括以下各项：</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一．创新奖</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员工在工作方法、工作思路或开拓业务等方面有较大的突破和创新，对改善工作、提高工作效率或管理水平有突出贡献，由部门申报由总经理批准后给予一次性奖励并</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计入考核档案。奖励金额</w:t>
      </w:r>
      <w:r>
        <w:rPr>
          <w:rFonts w:eastAsia="黑体" w:cs="楷体" w:ascii="SimHei" w:hAnsi="SimHei"/>
          <w:b w:val="false"/>
          <w:sz w:val="24"/>
        </w:rPr>
        <w:t>100</w:t>
      </w:r>
      <w:r>
        <w:rPr>
          <w:rFonts w:ascii="SimHei" w:hAnsi="SimHei" w:cs="楷体" w:eastAsia="黑体"/>
          <w:b w:val="false"/>
          <w:sz w:val="24"/>
        </w:rPr>
        <w:t>～</w:t>
      </w:r>
      <w:r>
        <w:rPr>
          <w:rFonts w:eastAsia="黑体" w:cs="楷体" w:ascii="SimHei" w:hAnsi="SimHei"/>
          <w:b w:val="false"/>
          <w:sz w:val="24"/>
        </w:rPr>
        <w:t>2000</w:t>
      </w:r>
      <w:r>
        <w:rPr>
          <w:rFonts w:ascii="SimHei" w:hAnsi="SimHei" w:cs="楷体" w:eastAsia="黑体"/>
          <w:b w:val="false"/>
          <w:sz w:val="24"/>
        </w:rPr>
        <w:t>元。</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二．最佳建言奖</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对公司的发展或管理等问题提出了很好的建议并被公司采纳的员工，经总经理批准，给予最佳建言奖并计入考核档案。一等奖</w:t>
      </w:r>
      <w:r>
        <w:rPr>
          <w:rFonts w:eastAsia="黑体" w:cs="楷体" w:ascii="SimHei" w:hAnsi="SimHei"/>
          <w:b w:val="false"/>
          <w:sz w:val="24"/>
        </w:rPr>
        <w:t>1</w:t>
      </w:r>
      <w:r>
        <w:rPr>
          <w:rFonts w:ascii="SimHei" w:hAnsi="SimHei" w:cs="楷体" w:eastAsia="黑体"/>
          <w:b w:val="false"/>
          <w:sz w:val="24"/>
        </w:rPr>
        <w:t>名，二等奖</w:t>
      </w:r>
      <w:r>
        <w:rPr>
          <w:rFonts w:eastAsia="黑体" w:cs="楷体" w:ascii="SimHei" w:hAnsi="SimHei"/>
          <w:b w:val="false"/>
          <w:sz w:val="24"/>
        </w:rPr>
        <w:t>2</w:t>
      </w:r>
      <w:r>
        <w:rPr>
          <w:rFonts w:ascii="SimHei" w:hAnsi="SimHei" w:cs="楷体" w:eastAsia="黑体"/>
          <w:b w:val="false"/>
          <w:sz w:val="24"/>
        </w:rPr>
        <w:t>名，三等奖</w:t>
      </w:r>
      <w:r>
        <w:rPr>
          <w:rFonts w:eastAsia="黑体" w:cs="楷体" w:ascii="SimHei" w:hAnsi="SimHei"/>
          <w:b w:val="false"/>
          <w:sz w:val="24"/>
        </w:rPr>
        <w:t>5</w:t>
      </w:r>
      <w:r>
        <w:rPr>
          <w:rFonts w:ascii="SimHei" w:hAnsi="SimHei" w:cs="楷体" w:eastAsia="黑体"/>
          <w:b w:val="false"/>
          <w:sz w:val="24"/>
        </w:rPr>
        <w:t>名，奖励</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金额</w:t>
      </w:r>
      <w:r>
        <w:rPr>
          <w:rFonts w:eastAsia="黑体" w:cs="楷体" w:ascii="SimHei" w:hAnsi="SimHei"/>
          <w:b w:val="false"/>
          <w:sz w:val="24"/>
        </w:rPr>
        <w:t>100</w:t>
      </w:r>
      <w:r>
        <w:rPr>
          <w:rFonts w:ascii="SimHei" w:hAnsi="SimHei" w:cs="楷体" w:eastAsia="黑体"/>
          <w:b w:val="false"/>
          <w:sz w:val="24"/>
        </w:rPr>
        <w:t>～</w:t>
      </w:r>
      <w:r>
        <w:rPr>
          <w:rFonts w:eastAsia="黑体" w:cs="楷体" w:ascii="SimHei" w:hAnsi="SimHei"/>
          <w:b w:val="false"/>
          <w:sz w:val="24"/>
        </w:rPr>
        <w:t>1000</w:t>
      </w:r>
      <w:r>
        <w:rPr>
          <w:rFonts w:ascii="SimHei" w:hAnsi="SimHei" w:cs="楷体" w:eastAsia="黑体"/>
          <w:b w:val="false"/>
          <w:sz w:val="24"/>
        </w:rPr>
        <w:t>元。</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三．伯乐奖</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为公司推荐公司急需人才经聘用后证明能够为公司带来预期的价值和贡献的员工或对下属积极培养并使其迅速成长为公司优秀人才的上级，由部门申报经总经理批准</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给予一次性奖励并计入考核档案。奖励金额在</w:t>
      </w:r>
      <w:r>
        <w:rPr>
          <w:rFonts w:eastAsia="黑体" w:cs="楷体" w:ascii="SimHei" w:hAnsi="SimHei"/>
          <w:b w:val="false"/>
          <w:sz w:val="24"/>
        </w:rPr>
        <w:t>100</w:t>
      </w:r>
      <w:r>
        <w:rPr>
          <w:rFonts w:ascii="SimHei" w:hAnsi="SimHei" w:cs="楷体" w:eastAsia="黑体"/>
          <w:b w:val="false"/>
          <w:sz w:val="24"/>
        </w:rPr>
        <w:t>～</w:t>
      </w:r>
      <w:r>
        <w:rPr>
          <w:rFonts w:eastAsia="黑体" w:cs="楷体" w:ascii="SimHei" w:hAnsi="SimHei"/>
          <w:b w:val="false"/>
          <w:sz w:val="24"/>
        </w:rPr>
        <w:t>2000</w:t>
      </w:r>
      <w:r>
        <w:rPr>
          <w:rFonts w:ascii="SimHei" w:hAnsi="SimHei" w:cs="楷体" w:eastAsia="黑体"/>
          <w:b w:val="false"/>
          <w:sz w:val="24"/>
        </w:rPr>
        <w:t>元。</w:t>
      </w:r>
    </w:p>
    <w:p>
      <w:pPr>
        <w:pStyle w:val="Normal"/>
        <w:pageBreakBefore w:val="false"/>
        <w:widowControl/>
        <w:kinsoku w:val="true"/>
        <w:overflowPunct w:val="true"/>
        <w:autoSpaceDE w:val="true"/>
        <w:bidi w:val="0"/>
        <w:snapToGrid w:val="true"/>
        <w:spacing w:lineRule="auto" w:line="360"/>
        <w:ind w:firstLine="480"/>
        <w:jc w:val="start"/>
        <w:textAlignment w:val="auto"/>
        <w:rPr>
          <w:rFonts w:ascii="楷体" w:hAnsi="楷体" w:eastAsia="楷体" w:cs="楷体"/>
          <w:b w:val="false"/>
          <w:b w:val="false"/>
          <w:sz w:val="24"/>
        </w:rPr>
      </w:pPr>
      <w:r>
        <w:rPr>
          <w:rFonts w:ascii="SimHei" w:hAnsi="SimHei" w:cs="楷体" w:eastAsia="黑体"/>
          <w:b w:val="false"/>
          <w:sz w:val="24"/>
        </w:rPr>
        <w:t>四．突出表现奖</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对在工作中表现突出的员工，由部门申报，经总经理批准，给予一次性奖励并记</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入考核档案。奖励金额在</w:t>
      </w:r>
      <w:r>
        <w:rPr>
          <w:rFonts w:eastAsia="黑体" w:cs="楷体" w:ascii="SimHei" w:hAnsi="SimHei"/>
          <w:b w:val="false"/>
          <w:sz w:val="24"/>
        </w:rPr>
        <w:t>100</w:t>
      </w:r>
      <w:r>
        <w:rPr>
          <w:rFonts w:ascii="SimHei" w:hAnsi="SimHei" w:cs="楷体" w:eastAsia="黑体"/>
          <w:b w:val="false"/>
          <w:sz w:val="24"/>
        </w:rPr>
        <w:t>～</w:t>
      </w:r>
      <w:r>
        <w:rPr>
          <w:rFonts w:eastAsia="黑体" w:cs="楷体" w:ascii="SimHei" w:hAnsi="SimHei"/>
          <w:b w:val="false"/>
          <w:sz w:val="24"/>
        </w:rPr>
        <w:t>1000</w:t>
      </w:r>
      <w:r>
        <w:rPr>
          <w:rFonts w:ascii="SimHei" w:hAnsi="SimHei" w:cs="楷体" w:eastAsia="黑体"/>
          <w:b w:val="false"/>
          <w:sz w:val="24"/>
        </w:rPr>
        <w:t>元。</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sz w:val="24"/>
        </w:rPr>
        <w:t>福利</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为吸引和留住优秀人才，增强公司的凝聚力，公司为员工提供了多种福利待遇，</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员工视其所在岗位可以得到多项或全部福利：</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一．社会保险：含养老保险、医疗保险、失业保险、生育保险等。社会保险按国</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家和武汉市的相关政策规定及公司的相关规定办理。</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二．通讯补贴：公司为不同岗位的员工提供不同额度的通讯补贴。具体见《通讯</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费用管理制度》。</w:t>
      </w:r>
    </w:p>
    <w:p>
      <w:pPr>
        <w:pStyle w:val="Normal"/>
        <w:pageBreakBefore w:val="false"/>
        <w:widowControl/>
        <w:kinsoku w:val="true"/>
        <w:overflowPunct w:val="true"/>
        <w:autoSpaceDE w:val="true"/>
        <w:bidi w:val="0"/>
        <w:snapToGrid w:val="true"/>
        <w:spacing w:lineRule="auto" w:line="360"/>
        <w:ind w:firstLine="480"/>
        <w:textAlignment w:val="auto"/>
        <w:rPr>
          <w:rFonts w:ascii="楷体" w:hAnsi="楷体" w:eastAsia="楷体" w:cs="楷体"/>
          <w:b w:val="false"/>
          <w:b w:val="false"/>
          <w:sz w:val="24"/>
        </w:rPr>
      </w:pPr>
      <w:r>
        <w:rPr>
          <w:rFonts w:ascii="SimHei" w:hAnsi="SimHei" w:cs="楷体" w:eastAsia="黑体"/>
          <w:b w:val="false"/>
          <w:sz w:val="24"/>
        </w:rPr>
        <w:t>三．午餐补帖：公司的员工均享受每月</w:t>
      </w:r>
      <w:r>
        <w:rPr>
          <w:rFonts w:eastAsia="黑体" w:cs="楷体" w:ascii="SimHei" w:hAnsi="SimHei"/>
          <w:b w:val="false"/>
          <w:sz w:val="24"/>
        </w:rPr>
        <w:t>110</w:t>
      </w:r>
      <w:r>
        <w:rPr>
          <w:rFonts w:ascii="SimHei" w:hAnsi="SimHei" w:cs="楷体" w:eastAsia="黑体"/>
          <w:b w:val="false"/>
          <w:sz w:val="24"/>
        </w:rPr>
        <w:t xml:space="preserve">元的午餐补帖。午餐补帖随工资一起       </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发放。如因个人原因未能到岗超过半天，则扣除当天的午餐补帖（每天</w:t>
      </w:r>
      <w:r>
        <w:rPr>
          <w:rFonts w:eastAsia="黑体" w:cs="楷体" w:ascii="SimHei" w:hAnsi="SimHei"/>
          <w:b w:val="false"/>
          <w:sz w:val="24"/>
        </w:rPr>
        <w:t>5</w:t>
      </w:r>
      <w:r>
        <w:rPr>
          <w:rFonts w:ascii="SimHei" w:hAnsi="SimHei" w:cs="楷体" w:eastAsia="黑体"/>
          <w:b w:val="false"/>
          <w:sz w:val="24"/>
        </w:rPr>
        <w:t>元）。</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如因工作需要，加班超过半天，则补助一天午餐补帖，出差时不享受加班的</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午餐补帖。</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四．司机补帖：公司任命的兼职司机或司机主管（除管理人员外）均享受</w:t>
      </w:r>
      <w:r>
        <w:rPr>
          <w:rFonts w:eastAsia="黑体" w:cs="楷体" w:ascii="SimHei" w:hAnsi="SimHei"/>
          <w:b w:val="false"/>
          <w:sz w:val="24"/>
        </w:rPr>
        <w:t>150-300</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元的司机补帖。具体补帖金额根据具体情况确定。</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五．生日补帖：正式员工生日期间可享受价值</w:t>
      </w:r>
      <w:r>
        <w:rPr>
          <w:rFonts w:eastAsia="黑体" w:cs="楷体" w:ascii="SimHei" w:hAnsi="SimHei"/>
          <w:b w:val="false"/>
          <w:sz w:val="24"/>
        </w:rPr>
        <w:t>200</w:t>
      </w:r>
      <w:r>
        <w:rPr>
          <w:rFonts w:ascii="SimHei" w:hAnsi="SimHei" w:cs="楷体" w:eastAsia="黑体"/>
          <w:b w:val="false"/>
          <w:sz w:val="24"/>
        </w:rPr>
        <w:t>元的生日补帖，过生日的员工</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可凭购物发票报销生日补帖。</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六．节日津贴：元旦、三八妇女节、五一、十一、中秋等重大节日，发放不同额</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度的过节费。</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七．带薪休假：视员工在公司工作年限的不同享受不同级别的带薪休假。具体规</w:t>
      </w:r>
    </w:p>
    <w:p>
      <w:pPr>
        <w:pStyle w:val="Normal"/>
        <w:pageBreakBefore w:val="false"/>
        <w:widowControl/>
        <w:kinsoku w:val="true"/>
        <w:overflowPunct w:val="true"/>
        <w:autoSpaceDE w:val="true"/>
        <w:bidi w:val="0"/>
        <w:snapToGrid w:val="true"/>
        <w:spacing w:lineRule="auto" w:line="360"/>
        <w:ind w:firstLine="960"/>
        <w:jc w:val="start"/>
        <w:textAlignment w:val="auto"/>
        <w:rPr>
          <w:rFonts w:cs="楷体"/>
        </w:rPr>
      </w:pPr>
      <w:r>
        <w:rPr>
          <w:rFonts w:ascii="SimHei" w:hAnsi="SimHei" w:cs="楷体" w:eastAsia="黑体"/>
          <w:b w:val="false"/>
          <w:sz w:val="24"/>
        </w:rPr>
        <w:t>定见《考勤管理制度》。</w:t>
      </w:r>
    </w:p>
    <w:tbl>
      <w:tblPr>
        <w:tblW w:w="4860" w:type="dxa"/>
        <w:jc w:val="center"/>
        <w:tblInd w:w="0" w:type="dxa"/>
        <w:tblLayout w:type="fixed"/>
        <w:tblCellMar>
          <w:top w:w="0" w:type="dxa"/>
          <w:start w:w="108" w:type="dxa"/>
          <w:bottom w:w="0" w:type="dxa"/>
          <w:end w:w="108" w:type="dxa"/>
        </w:tblCellMar>
      </w:tblPr>
      <w:tblGrid>
        <w:gridCol w:w="2536"/>
        <w:gridCol w:w="2324"/>
      </w:tblGrid>
      <w:tr>
        <w:trPr/>
        <w:tc>
          <w:tcPr>
            <w:tcW w:w="2536" w:type="dxa"/>
            <w:tcBorders>
              <w:top w:val="single" w:sz="4" w:space="0" w:color="000000"/>
              <w:start w:val="single" w:sz="4" w:space="0" w:color="000000"/>
              <w:bottom w:val="single" w:sz="4" w:space="0" w:color="000000"/>
              <w:end w:val="single" w:sz="4" w:space="0" w:color="000000"/>
            </w:tcBorders>
            <w:vAlign w:val="center"/>
          </w:tcPr>
          <w:p>
            <w:pPr>
              <w:pStyle w:val="Normal"/>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工作年限</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休假级别</w:t>
            </w:r>
          </w:p>
        </w:tc>
      </w:tr>
      <w:tr>
        <w:trPr/>
        <w:tc>
          <w:tcPr>
            <w:tcW w:w="2536" w:type="dxa"/>
            <w:tcBorders>
              <w:top w:val="single" w:sz="4" w:space="0" w:color="000000"/>
              <w:start w:val="single" w:sz="4" w:space="0" w:color="000000"/>
              <w:bottom w:val="single" w:sz="4" w:space="0" w:color="000000"/>
              <w:end w:val="single" w:sz="4" w:space="0" w:color="000000"/>
            </w:tcBorders>
            <w:vAlign w:val="center"/>
          </w:tcPr>
          <w:p>
            <w:pPr>
              <w:pStyle w:val="Normal"/>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满</w:t>
            </w:r>
            <w:r>
              <w:rPr>
                <w:rFonts w:eastAsia="黑体" w:cs="楷体" w:ascii="SimHei" w:hAnsi="SimHei"/>
                <w:b w:val="false"/>
                <w:sz w:val="24"/>
              </w:rPr>
              <w:t>1</w:t>
            </w:r>
            <w:r>
              <w:rPr>
                <w:rFonts w:ascii="SimHei" w:hAnsi="SimHei" w:cs="楷体" w:eastAsia="黑体"/>
                <w:b w:val="false"/>
                <w:sz w:val="24"/>
              </w:rPr>
              <w:t>年</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黑体" w:cs="楷体" w:ascii="SimHei" w:hAnsi="SimHei"/>
                <w:b w:val="false"/>
                <w:sz w:val="24"/>
              </w:rPr>
              <w:t>5</w:t>
            </w:r>
            <w:r>
              <w:rPr>
                <w:rFonts w:ascii="SimHei" w:hAnsi="SimHei" w:cs="楷体" w:eastAsia="黑体"/>
                <w:b w:val="false"/>
                <w:sz w:val="24"/>
              </w:rPr>
              <w:t>天</w:t>
            </w:r>
            <w:r>
              <w:rPr>
                <w:rFonts w:eastAsia="黑体" w:cs="楷体" w:ascii="SimHei" w:hAnsi="SimHei"/>
                <w:b w:val="false"/>
                <w:sz w:val="24"/>
              </w:rPr>
              <w:t>/</w:t>
            </w:r>
            <w:r>
              <w:rPr>
                <w:rFonts w:ascii="SimHei" w:hAnsi="SimHei" w:cs="楷体" w:eastAsia="黑体"/>
                <w:b w:val="false"/>
                <w:sz w:val="24"/>
              </w:rPr>
              <w:t>年</w:t>
            </w:r>
          </w:p>
        </w:tc>
      </w:tr>
      <w:tr>
        <w:trPr/>
        <w:tc>
          <w:tcPr>
            <w:tcW w:w="2536" w:type="dxa"/>
            <w:tcBorders>
              <w:top w:val="single" w:sz="4" w:space="0" w:color="000000"/>
              <w:start w:val="single" w:sz="4" w:space="0" w:color="000000"/>
              <w:bottom w:val="single" w:sz="4" w:space="0" w:color="000000"/>
              <w:end w:val="single" w:sz="4" w:space="0" w:color="000000"/>
            </w:tcBorders>
            <w:vAlign w:val="center"/>
          </w:tcPr>
          <w:p>
            <w:pPr>
              <w:pStyle w:val="Normal"/>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满</w:t>
            </w:r>
            <w:r>
              <w:rPr>
                <w:rFonts w:eastAsia="黑体" w:cs="楷体" w:ascii="SimHei" w:hAnsi="SimHei"/>
                <w:b w:val="false"/>
                <w:sz w:val="24"/>
              </w:rPr>
              <w:t>3</w:t>
            </w:r>
            <w:r>
              <w:rPr>
                <w:rFonts w:ascii="SimHei" w:hAnsi="SimHei" w:cs="楷体" w:eastAsia="黑体"/>
                <w:b w:val="false"/>
                <w:sz w:val="24"/>
              </w:rPr>
              <w:t>年</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黑体" w:cs="楷体" w:ascii="SimHei" w:hAnsi="SimHei"/>
                <w:b w:val="false"/>
                <w:sz w:val="24"/>
              </w:rPr>
              <w:t>7</w:t>
            </w:r>
            <w:r>
              <w:rPr>
                <w:rFonts w:ascii="SimHei" w:hAnsi="SimHei" w:cs="楷体" w:eastAsia="黑体"/>
                <w:b w:val="false"/>
                <w:sz w:val="24"/>
              </w:rPr>
              <w:t>天</w:t>
            </w:r>
            <w:r>
              <w:rPr>
                <w:rFonts w:eastAsia="黑体" w:cs="楷体" w:ascii="SimHei" w:hAnsi="SimHei"/>
                <w:b w:val="false"/>
                <w:sz w:val="24"/>
              </w:rPr>
              <w:t>/</w:t>
            </w:r>
            <w:r>
              <w:rPr>
                <w:rFonts w:ascii="SimHei" w:hAnsi="SimHei" w:cs="楷体" w:eastAsia="黑体"/>
                <w:b w:val="false"/>
                <w:sz w:val="24"/>
              </w:rPr>
              <w:t>年</w:t>
            </w:r>
          </w:p>
        </w:tc>
      </w:tr>
    </w:tbl>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八．车辆补贴：公司部分自购车的业务员和部门经理，可向公司申请车辆补帖，</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具体规定见《员工自购车的车辆补贴制度》。</w:t>
      </w:r>
    </w:p>
    <w:p>
      <w:pPr>
        <w:pStyle w:val="Normal"/>
        <w:pageBreakBefore w:val="false"/>
        <w:widowControl/>
        <w:kinsoku w:val="true"/>
        <w:overflowPunct w:val="true"/>
        <w:autoSpaceDE w:val="true"/>
        <w:bidi w:val="0"/>
        <w:snapToGrid w:val="true"/>
        <w:spacing w:lineRule="auto" w:line="360"/>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九．其他福利：公司根据员工的工种及公司的运营情况，决定是否为员工缴纳商</w:t>
      </w:r>
    </w:p>
    <w:p>
      <w:pPr>
        <w:pStyle w:val="Normal"/>
        <w:pageBreakBefore w:val="false"/>
        <w:widowControl/>
        <w:kinsoku w:val="true"/>
        <w:overflowPunct w:val="true"/>
        <w:autoSpaceDE w:val="true"/>
        <w:bidi w:val="0"/>
        <w:snapToGrid w:val="true"/>
        <w:spacing w:lineRule="auto" w:line="360"/>
        <w:ind w:firstLine="960"/>
        <w:jc w:val="start"/>
        <w:textAlignment w:val="auto"/>
        <w:rPr>
          <w:rFonts w:ascii="楷体" w:hAnsi="楷体" w:eastAsia="楷体" w:cs="楷体"/>
          <w:b w:val="false"/>
          <w:b w:val="false"/>
          <w:sz w:val="24"/>
        </w:rPr>
      </w:pPr>
      <w:r>
        <w:rPr>
          <w:rFonts w:ascii="SimHei" w:hAnsi="SimHei" w:cs="楷体" w:eastAsia="黑体"/>
          <w:b w:val="false"/>
          <w:sz w:val="24"/>
        </w:rPr>
        <w:t>业人身意外保险，保险额度根据公司的规定来定。</w:t>
      </w:r>
    </w:p>
    <w:p>
      <w:pPr>
        <w:pStyle w:val="Heading3"/>
        <w:pageBreakBefore w:val="false"/>
        <w:widowControl/>
        <w:kinsoku w:val="true"/>
        <w:overflowPunct w:val="true"/>
        <w:autoSpaceDE w:val="true"/>
        <w:bidi w:val="0"/>
        <w:snapToGrid w:val="true"/>
        <w:spacing w:lineRule="auto" w:line="360"/>
        <w:textAlignment w:val="auto"/>
        <w:rPr>
          <w:rFonts w:ascii="楷体" w:hAnsi="楷体" w:eastAsia="楷体" w:cs="楷体"/>
          <w:sz w:val="24"/>
        </w:rPr>
      </w:pPr>
      <w:r>
        <w:rPr>
          <w:rFonts w:ascii="SimHei" w:hAnsi="SimHei" w:cs="楷体" w:eastAsia="黑体"/>
          <w:b/>
          <w:bCs w:val="false"/>
        </w:rPr>
        <w:t>第四节</w:t>
      </w:r>
      <w:r>
        <w:rPr>
          <w:rFonts w:ascii="SimHei" w:hAnsi="SimHei" w:cs="楷体" w:eastAsia="黑体"/>
          <w:sz w:val="24"/>
        </w:rPr>
        <w:t xml:space="preserve">  </w:t>
      </w:r>
      <w:r>
        <w:rPr>
          <w:rFonts w:ascii="SimHei" w:hAnsi="SimHei" w:cs="楷体" w:eastAsia="黑体"/>
          <w:b/>
          <w:bCs w:val="false"/>
        </w:rPr>
        <w:t>岗位工资制</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sz w:val="24"/>
        </w:rPr>
        <w:t>适用范围</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主要适用于经营层、工程部技术人员以外的员工。</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薪酬结构</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薪酬构成</w:t>
      </w:r>
      <w:r>
        <w:rPr>
          <w:rFonts w:eastAsia="黑体" w:cs="楷体" w:ascii="SimHei" w:hAnsi="SimHei"/>
          <w:b w:val="false"/>
          <w:sz w:val="24"/>
        </w:rPr>
        <w:t>=</w:t>
      </w:r>
      <w:r>
        <w:rPr>
          <w:rFonts w:ascii="SimHei" w:hAnsi="SimHei" w:cs="楷体" w:eastAsia="黑体"/>
          <w:b w:val="false"/>
          <w:sz w:val="24"/>
        </w:rPr>
        <w:t>岗位工资</w:t>
      </w:r>
      <w:r>
        <w:rPr>
          <w:rFonts w:eastAsia="黑体" w:cs="楷体" w:ascii="SimHei" w:hAnsi="SimHei"/>
          <w:b w:val="false"/>
          <w:sz w:val="24"/>
        </w:rPr>
        <w:t>+</w:t>
      </w:r>
      <w:r>
        <w:rPr>
          <w:rFonts w:ascii="SimHei" w:hAnsi="SimHei" w:cs="楷体" w:eastAsia="黑体"/>
          <w:b w:val="false"/>
          <w:sz w:val="24"/>
        </w:rPr>
        <w:t>工龄工资</w:t>
      </w:r>
      <w:r>
        <w:rPr>
          <w:rFonts w:eastAsia="黑体" w:cs="楷体" w:ascii="SimHei" w:hAnsi="SimHei"/>
          <w:b w:val="false"/>
          <w:sz w:val="24"/>
        </w:rPr>
        <w:t>+</w:t>
      </w:r>
      <w:r>
        <w:rPr>
          <w:rFonts w:ascii="SimHei" w:hAnsi="SimHei" w:cs="楷体" w:eastAsia="黑体"/>
          <w:b w:val="false"/>
          <w:sz w:val="24"/>
        </w:rPr>
        <w:t>奖金</w:t>
      </w:r>
      <w:r>
        <w:rPr>
          <w:rFonts w:eastAsia="黑体" w:cs="楷体" w:ascii="SimHei" w:hAnsi="SimHei"/>
          <w:b w:val="false"/>
          <w:sz w:val="24"/>
        </w:rPr>
        <w:t>+</w:t>
      </w:r>
      <w:r>
        <w:rPr>
          <w:rFonts w:ascii="SimHei" w:hAnsi="SimHei" w:cs="楷体" w:eastAsia="黑体"/>
          <w:b w:val="false"/>
          <w:sz w:val="24"/>
        </w:rPr>
        <w:t>福利</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岗位工资</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岗位工资每月发放。</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岗位工资</w:t>
      </w:r>
      <w:r>
        <w:rPr>
          <w:rFonts w:eastAsia="黑体" w:cs="楷体" w:ascii="SimHei" w:hAnsi="SimHei"/>
          <w:b w:val="false"/>
          <w:sz w:val="24"/>
        </w:rPr>
        <w:t>=</w:t>
      </w:r>
      <w:r>
        <w:rPr>
          <w:rFonts w:ascii="SimHei" w:hAnsi="SimHei" w:cs="楷体" w:eastAsia="黑体"/>
          <w:b w:val="false"/>
          <w:sz w:val="24"/>
        </w:rPr>
        <w:t>薪点数</w:t>
      </w:r>
      <w:r>
        <w:rPr>
          <w:rFonts w:eastAsia="黑体" w:cs="楷体" w:ascii="SimHei" w:hAnsi="SimHei"/>
          <w:b w:val="false"/>
          <w:bCs/>
          <w:sz w:val="24"/>
        </w:rPr>
        <w:t>×</w:t>
      </w:r>
      <w:r>
        <w:rPr>
          <w:rFonts w:ascii="SimHei" w:hAnsi="SimHei" w:cs="楷体" w:eastAsia="黑体"/>
          <w:b w:val="false"/>
          <w:sz w:val="24"/>
        </w:rPr>
        <w:t>固定薪点值</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薪点数按本制度第十条的规定确定。</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工龄工资</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工龄工资按第十一条的规定确定，并发放。</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年终（半年）奖金</w:t>
      </w:r>
    </w:p>
    <w:p>
      <w:pPr>
        <w:pStyle w:val="2"/>
        <w:pageBreakBefore w:val="false"/>
        <w:widowControl/>
        <w:numPr>
          <w:ilvl w:val="0"/>
          <w:numId w:val="0"/>
        </w:numPr>
        <w:kinsoku w:val="true"/>
        <w:overflowPunct w:val="true"/>
        <w:autoSpaceDE w:val="true"/>
        <w:bidi w:val="0"/>
        <w:snapToGrid w:val="true"/>
        <w:spacing w:lineRule="auto" w:line="360"/>
        <w:ind w:start="417" w:firstLine="120"/>
        <w:jc w:val="both"/>
        <w:textAlignment w:val="auto"/>
        <w:rPr>
          <w:rFonts w:ascii="楷体" w:hAnsi="楷体" w:eastAsia="楷体" w:cs="楷体"/>
        </w:rPr>
      </w:pPr>
      <w:r>
        <w:rPr>
          <w:rFonts w:ascii="SimHei" w:hAnsi="SimHei" w:cs="楷体" w:eastAsia="黑体"/>
        </w:rPr>
        <w:t>一．销售部根据《业务员提成实施细则》和《业务经理提成实施细则》进行年度</w:t>
      </w:r>
    </w:p>
    <w:p>
      <w:pPr>
        <w:pStyle w:val="2"/>
        <w:pageBreakBefore w:val="false"/>
        <w:widowControl/>
        <w:numPr>
          <w:ilvl w:val="0"/>
          <w:numId w:val="0"/>
        </w:numPr>
        <w:kinsoku w:val="true"/>
        <w:overflowPunct w:val="true"/>
        <w:autoSpaceDE w:val="true"/>
        <w:bidi w:val="0"/>
        <w:snapToGrid w:val="true"/>
        <w:spacing w:lineRule="auto" w:line="360"/>
        <w:ind w:start="0" w:hanging="0"/>
        <w:jc w:val="both"/>
        <w:textAlignment w:val="auto"/>
        <w:rPr>
          <w:rFonts w:ascii="楷体" w:hAnsi="楷体" w:eastAsia="楷体" w:cs="楷体"/>
        </w:rPr>
      </w:pPr>
      <w:r>
        <w:rPr>
          <w:rFonts w:ascii="SimHei" w:hAnsi="SimHei" w:cs="楷体" w:eastAsia="黑体"/>
        </w:rPr>
        <w:t>考核，</w:t>
      </w:r>
      <w:r>
        <w:rPr>
          <w:rFonts w:ascii="SimHei" w:hAnsi="SimHei" w:cs="楷体" w:eastAsia="黑体"/>
          <w:color w:val="FF0000"/>
          <w:u w:val="single"/>
        </w:rPr>
        <w:t>半年考核时可根据实际的销售额预支</w:t>
      </w:r>
      <w:r>
        <w:rPr>
          <w:rFonts w:eastAsia="黑体" w:cs="楷体" w:ascii="SimHei" w:hAnsi="SimHei"/>
          <w:color w:val="FF0000"/>
          <w:u w:val="single"/>
        </w:rPr>
        <w:t>50%</w:t>
      </w:r>
      <w:r>
        <w:rPr>
          <w:rFonts w:ascii="SimHei" w:hAnsi="SimHei" w:cs="楷体" w:eastAsia="黑体"/>
          <w:color w:val="FF0000"/>
          <w:u w:val="single"/>
        </w:rPr>
        <w:t>的提成奖金作为半年奖金</w:t>
      </w:r>
      <w:r>
        <w:rPr>
          <w:rFonts w:ascii="SimHei" w:hAnsi="SimHei" w:cs="楷体" w:eastAsia="黑体"/>
        </w:rPr>
        <w:t>；</w:t>
      </w:r>
    </w:p>
    <w:p>
      <w:pPr>
        <w:pStyle w:val="TextBodyIndent"/>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Cs/>
        </w:rPr>
      </w:pPr>
      <w:r>
        <w:rPr>
          <w:rFonts w:ascii="SimHei" w:hAnsi="SimHei" w:cs="楷体" w:eastAsia="黑体"/>
        </w:rPr>
        <w:t>二．除销售部外的员工（含管理人员），其年终（半年）绩效考核及奖金发放</w:t>
      </w:r>
      <w:r>
        <w:rPr>
          <w:rFonts w:ascii="SimHei" w:hAnsi="SimHei" w:cs="楷体" w:eastAsia="黑体"/>
          <w:bCs/>
        </w:rPr>
        <w:t>见：</w:t>
      </w:r>
    </w:p>
    <w:p>
      <w:pPr>
        <w:pStyle w:val="TextBodyIndent"/>
        <w:pageBreakBefore w:val="false"/>
        <w:widowControl/>
        <w:kinsoku w:val="true"/>
        <w:overflowPunct w:val="true"/>
        <w:autoSpaceDE w:val="true"/>
        <w:bidi w:val="0"/>
        <w:snapToGrid w:val="true"/>
        <w:spacing w:lineRule="auto" w:line="360"/>
        <w:ind w:hanging="0"/>
        <w:jc w:val="both"/>
        <w:textAlignment w:val="auto"/>
        <w:rPr>
          <w:rFonts w:ascii="楷体" w:hAnsi="楷体" w:eastAsia="楷体" w:cs="楷体"/>
        </w:rPr>
      </w:pPr>
      <w:r>
        <w:rPr>
          <w:rFonts w:ascii="SimHei" w:hAnsi="SimHei" w:cs="楷体" w:eastAsia="黑体"/>
        </w:rPr>
        <w:t>《武汉信昌机电技术服务公司绩效考核管理办法》半年考核于每年七月份进行，半年奖金在考核完成后发放</w:t>
      </w:r>
      <w:r>
        <w:rPr>
          <w:rFonts w:eastAsia="黑体" w:cs="楷体" w:ascii="SimHei" w:hAnsi="SimHei"/>
        </w:rPr>
        <w:t>50%</w:t>
      </w:r>
      <w:r>
        <w:rPr>
          <w:rFonts w:ascii="SimHei" w:hAnsi="SimHei" w:cs="楷体" w:eastAsia="黑体"/>
        </w:rPr>
        <w:t>，余下的</w:t>
      </w:r>
      <w:r>
        <w:rPr>
          <w:rFonts w:eastAsia="黑体" w:cs="楷体" w:ascii="SimHei" w:hAnsi="SimHei"/>
        </w:rPr>
        <w:t>50%</w:t>
      </w:r>
      <w:r>
        <w:rPr>
          <w:rFonts w:ascii="SimHei" w:hAnsi="SimHei" w:cs="楷体" w:eastAsia="黑体"/>
        </w:rPr>
        <w:t>跟年终奖金一起发放。</w:t>
      </w:r>
    </w:p>
    <w:p>
      <w:pPr>
        <w:pStyle w:val="Normal"/>
        <w:pageBreakBefore w:val="false"/>
        <w:widowControl/>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年度考核于每年一月份进行，年终奖金在春节前发放。</w:t>
      </w:r>
    </w:p>
    <w:p>
      <w:pPr>
        <w:pStyle w:val="Heading3"/>
        <w:pageBreakBefore w:val="false"/>
        <w:widowControl/>
        <w:kinsoku w:val="true"/>
        <w:overflowPunct w:val="true"/>
        <w:autoSpaceDE w:val="true"/>
        <w:bidi w:val="0"/>
        <w:snapToGrid w:val="true"/>
        <w:spacing w:lineRule="auto" w:line="360"/>
        <w:textAlignment w:val="auto"/>
        <w:rPr>
          <w:rFonts w:ascii="楷体" w:hAnsi="楷体" w:eastAsia="楷体" w:cs="楷体"/>
          <w:b/>
          <w:b/>
        </w:rPr>
      </w:pPr>
      <w:r>
        <w:rPr>
          <w:rFonts w:ascii="SimHei" w:hAnsi="SimHei" w:cs="楷体" w:eastAsia="黑体"/>
          <w:b/>
          <w:bCs w:val="false"/>
        </w:rPr>
        <w:t>第五节</w:t>
      </w:r>
      <w:r>
        <w:rPr>
          <w:rFonts w:ascii="SimHei" w:hAnsi="SimHei" w:cs="楷体" w:eastAsia="黑体"/>
          <w:b/>
        </w:rPr>
        <w:t xml:space="preserve">  岗位绩效工资制</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sz w:val="24"/>
        </w:rPr>
      </w:pPr>
      <w:r>
        <w:rPr>
          <w:rFonts w:ascii="SimHei" w:hAnsi="SimHei" w:cs="楷体" w:eastAsia="黑体"/>
          <w:sz w:val="24"/>
        </w:rPr>
        <w:t>适用范围</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适用于工程部技术人员（不含管理人员）。</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薪酬结构</w:t>
      </w:r>
    </w:p>
    <w:p>
      <w:pPr>
        <w:pStyle w:val="Normal"/>
        <w:pageBreakBefore w:val="false"/>
        <w:widowControl/>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薪酬构成</w:t>
      </w:r>
      <w:r>
        <w:rPr>
          <w:rFonts w:eastAsia="黑体" w:cs="楷体" w:ascii="SimHei" w:hAnsi="SimHei"/>
          <w:b w:val="false"/>
          <w:sz w:val="24"/>
        </w:rPr>
        <w:t>=</w:t>
      </w:r>
      <w:r>
        <w:rPr>
          <w:rFonts w:ascii="SimHei" w:hAnsi="SimHei" w:cs="楷体" w:eastAsia="黑体"/>
          <w:b w:val="false"/>
          <w:sz w:val="24"/>
        </w:rPr>
        <w:t>岗位工资</w:t>
      </w:r>
      <w:r>
        <w:rPr>
          <w:rFonts w:eastAsia="黑体" w:cs="楷体" w:ascii="SimHei" w:hAnsi="SimHei"/>
          <w:b w:val="false"/>
          <w:sz w:val="24"/>
        </w:rPr>
        <w:t>+</w:t>
      </w:r>
      <w:r>
        <w:rPr>
          <w:rFonts w:ascii="SimHei" w:hAnsi="SimHei" w:cs="楷体" w:eastAsia="黑体"/>
          <w:b w:val="false"/>
          <w:sz w:val="24"/>
        </w:rPr>
        <w:t>工龄工资</w:t>
      </w:r>
      <w:r>
        <w:rPr>
          <w:rFonts w:eastAsia="黑体" w:cs="楷体" w:ascii="SimHei" w:hAnsi="SimHei"/>
          <w:b w:val="false"/>
          <w:sz w:val="24"/>
        </w:rPr>
        <w:t>+</w:t>
      </w:r>
      <w:r>
        <w:rPr>
          <w:rFonts w:ascii="SimHei" w:hAnsi="SimHei" w:cs="楷体" w:eastAsia="黑体"/>
          <w:b w:val="false"/>
          <w:sz w:val="24"/>
        </w:rPr>
        <w:t>绩效工资</w:t>
      </w:r>
      <w:r>
        <w:rPr>
          <w:rFonts w:eastAsia="黑体" w:cs="楷体" w:ascii="SimHei" w:hAnsi="SimHei"/>
          <w:b w:val="false"/>
          <w:sz w:val="24"/>
        </w:rPr>
        <w:t>+</w:t>
      </w:r>
      <w:r>
        <w:rPr>
          <w:rFonts w:ascii="SimHei" w:hAnsi="SimHei" w:cs="楷体" w:eastAsia="黑体"/>
          <w:b w:val="false"/>
          <w:sz w:val="24"/>
        </w:rPr>
        <w:t>奖金</w:t>
      </w:r>
      <w:r>
        <w:rPr>
          <w:rFonts w:eastAsia="黑体" w:cs="楷体" w:ascii="SimHei" w:hAnsi="SimHei"/>
          <w:b w:val="false"/>
          <w:sz w:val="24"/>
        </w:rPr>
        <w:t>+</w:t>
      </w:r>
      <w:r>
        <w:rPr>
          <w:rFonts w:ascii="SimHei" w:hAnsi="SimHei" w:cs="楷体" w:eastAsia="黑体"/>
          <w:b w:val="false"/>
          <w:sz w:val="24"/>
        </w:rPr>
        <w:t>福利</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岗位工资</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岗位工资每月发放。</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岗位工资</w:t>
      </w:r>
      <w:r>
        <w:rPr>
          <w:rFonts w:eastAsia="黑体" w:cs="楷体" w:ascii="SimHei" w:hAnsi="SimHei"/>
          <w:b w:val="false"/>
          <w:sz w:val="24"/>
        </w:rPr>
        <w:t>=</w:t>
      </w:r>
      <w:r>
        <w:rPr>
          <w:rFonts w:ascii="SimHei" w:hAnsi="SimHei" w:cs="楷体" w:eastAsia="黑体"/>
          <w:b w:val="false"/>
          <w:sz w:val="24"/>
        </w:rPr>
        <w:t>薪点数</w:t>
      </w:r>
      <w:r>
        <w:rPr>
          <w:rFonts w:eastAsia="黑体" w:cs="楷体" w:ascii="SimHei" w:hAnsi="SimHei"/>
          <w:b w:val="false"/>
          <w:bCs/>
          <w:sz w:val="24"/>
        </w:rPr>
        <w:t>×</w:t>
      </w:r>
      <w:r>
        <w:rPr>
          <w:rFonts w:ascii="SimHei" w:hAnsi="SimHei" w:cs="楷体" w:eastAsia="黑体"/>
          <w:b w:val="false"/>
          <w:sz w:val="24"/>
        </w:rPr>
        <w:t>固定薪点值</w:t>
      </w:r>
      <w:r>
        <w:rPr>
          <w:rFonts w:eastAsia="黑体" w:cs="楷体" w:ascii="SimHei" w:hAnsi="SimHei"/>
          <w:b w:val="false"/>
          <w:bCs/>
          <w:sz w:val="24"/>
        </w:rPr>
        <w:t>×70%</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薪点数按本制度第十条的规定确定。</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工龄工资</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工龄工资按第十一条的规定确定，并发放。</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绩效工资</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绩效工资</w:t>
      </w:r>
      <w:r>
        <w:rPr>
          <w:rFonts w:eastAsia="黑体" w:cs="楷体" w:ascii="SimHei" w:hAnsi="SimHei"/>
          <w:b w:val="false"/>
          <w:sz w:val="24"/>
        </w:rPr>
        <w:t>=</w:t>
      </w:r>
      <w:r>
        <w:rPr>
          <w:rFonts w:ascii="SimHei" w:hAnsi="SimHei" w:cs="楷体" w:eastAsia="黑体"/>
          <w:b w:val="false"/>
          <w:sz w:val="24"/>
        </w:rPr>
        <w:t>薪点数</w:t>
      </w:r>
      <w:r>
        <w:rPr>
          <w:rFonts w:eastAsia="黑体" w:cs="楷体" w:ascii="SimHei" w:hAnsi="SimHei"/>
          <w:b w:val="false"/>
          <w:bCs/>
          <w:sz w:val="24"/>
        </w:rPr>
        <w:t>×</w:t>
      </w:r>
      <w:r>
        <w:rPr>
          <w:rFonts w:ascii="SimHei" w:hAnsi="SimHei" w:cs="楷体" w:eastAsia="黑体"/>
          <w:b w:val="false"/>
          <w:sz w:val="24"/>
        </w:rPr>
        <w:t>固定薪点值</w:t>
      </w:r>
      <w:r>
        <w:rPr>
          <w:rFonts w:eastAsia="黑体" w:cs="楷体" w:ascii="SimHei" w:hAnsi="SimHei"/>
          <w:b w:val="false"/>
          <w:bCs/>
          <w:sz w:val="24"/>
        </w:rPr>
        <w:t>×30%×</w:t>
      </w:r>
      <w:r>
        <w:rPr>
          <w:rFonts w:ascii="SimHei" w:hAnsi="SimHei" w:cs="楷体" w:eastAsia="黑体"/>
          <w:b w:val="false"/>
          <w:bCs/>
          <w:sz w:val="24"/>
        </w:rPr>
        <w:t>月绩效系数</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月绩效系数在</w:t>
      </w:r>
      <w:r>
        <w:rPr>
          <w:rFonts w:eastAsia="黑体" w:cs="楷体" w:ascii="SimHei" w:hAnsi="SimHei"/>
          <w:b w:val="false"/>
          <w:sz w:val="24"/>
        </w:rPr>
        <w:t>0</w:t>
      </w:r>
      <w:r>
        <w:rPr>
          <w:rFonts w:ascii="SimHei" w:hAnsi="SimHei" w:cs="楷体" w:eastAsia="黑体"/>
          <w:b w:val="false"/>
          <w:sz w:val="24"/>
        </w:rPr>
        <w:t>～</w:t>
      </w:r>
      <w:r>
        <w:rPr>
          <w:rFonts w:eastAsia="黑体" w:cs="楷体" w:ascii="SimHei" w:hAnsi="SimHei"/>
          <w:b w:val="false"/>
          <w:sz w:val="24"/>
        </w:rPr>
        <w:t>1.5</w:t>
      </w:r>
      <w:r>
        <w:rPr>
          <w:rFonts w:ascii="SimHei" w:hAnsi="SimHei" w:cs="楷体" w:eastAsia="黑体"/>
          <w:b w:val="false"/>
          <w:sz w:val="24"/>
        </w:rPr>
        <w:t>之间，根据月度考核办法确定。具体的绩效考核方法见《武汉信昌机电技术服务公司绩效考核管理办法》</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部门员工工资总额控制</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工程技术人员平均月绩效系数一般不应超过</w:t>
      </w:r>
      <w:r>
        <w:rPr>
          <w:rFonts w:eastAsia="黑体" w:cs="楷体" w:ascii="SimHei" w:hAnsi="SimHei"/>
          <w:b w:val="false"/>
          <w:sz w:val="24"/>
        </w:rPr>
        <w:t>1</w:t>
      </w:r>
      <w:r>
        <w:rPr>
          <w:rFonts w:ascii="SimHei" w:hAnsi="SimHei" w:cs="楷体" w:eastAsia="黑体"/>
          <w:b w:val="false"/>
          <w:sz w:val="24"/>
        </w:rPr>
        <w:t>。在工作量大的月份，经部门经理申请，人事行政部进行核实，并报总经理批准，平均月绩效系数可以大于</w:t>
      </w:r>
      <w:r>
        <w:rPr>
          <w:rFonts w:eastAsia="黑体" w:cs="楷体" w:ascii="SimHei" w:hAnsi="SimHei"/>
          <w:b w:val="false"/>
          <w:sz w:val="24"/>
        </w:rPr>
        <w:t>1</w:t>
      </w:r>
      <w:r>
        <w:rPr>
          <w:rFonts w:ascii="SimHei" w:hAnsi="SimHei" w:cs="楷体" w:eastAsia="黑体"/>
          <w:b w:val="false"/>
          <w:sz w:val="24"/>
        </w:rPr>
        <w:t>，但不应大于</w:t>
      </w:r>
      <w:r>
        <w:rPr>
          <w:rFonts w:eastAsia="黑体" w:cs="楷体" w:ascii="SimHei" w:hAnsi="SimHei"/>
          <w:b w:val="false"/>
          <w:sz w:val="24"/>
        </w:rPr>
        <w:t>1.1</w:t>
      </w:r>
      <w:r>
        <w:rPr>
          <w:rFonts w:ascii="SimHei" w:hAnsi="SimHei" w:cs="楷体" w:eastAsia="黑体"/>
          <w:b w:val="false"/>
          <w:sz w:val="24"/>
        </w:rPr>
        <w:t>。（按目前</w:t>
      </w:r>
      <w:r>
        <w:rPr>
          <w:rFonts w:eastAsia="黑体" w:cs="楷体" w:ascii="SimHei" w:hAnsi="SimHei"/>
          <w:b w:val="false"/>
          <w:sz w:val="24"/>
        </w:rPr>
        <w:t>10</w:t>
      </w:r>
      <w:r>
        <w:rPr>
          <w:rFonts w:ascii="SimHei" w:hAnsi="SimHei" w:cs="楷体" w:eastAsia="黑体"/>
          <w:b w:val="false"/>
          <w:sz w:val="24"/>
        </w:rPr>
        <w:t>名员工的岗位工资总额</w:t>
      </w:r>
      <w:r>
        <w:rPr>
          <w:rFonts w:eastAsia="黑体" w:cs="楷体" w:ascii="SimHei" w:hAnsi="SimHei"/>
          <w:b w:val="false"/>
          <w:sz w:val="24"/>
        </w:rPr>
        <w:t>14000</w:t>
      </w:r>
      <w:r>
        <w:rPr>
          <w:rFonts w:ascii="SimHei" w:hAnsi="SimHei" w:cs="楷体" w:eastAsia="黑体"/>
          <w:b w:val="false"/>
          <w:sz w:val="24"/>
        </w:rPr>
        <w:t>左右计算（除陈彤李序杰外），用在绩效考核部分的工资总额为</w:t>
      </w:r>
      <w:r>
        <w:rPr>
          <w:rFonts w:eastAsia="黑体" w:cs="楷体" w:ascii="SimHei" w:hAnsi="SimHei"/>
          <w:b w:val="false"/>
          <w:sz w:val="24"/>
        </w:rPr>
        <w:t>4200</w:t>
      </w:r>
      <w:r>
        <w:rPr>
          <w:rFonts w:ascii="SimHei" w:hAnsi="SimHei" w:cs="楷体" w:eastAsia="黑体"/>
          <w:b w:val="false"/>
          <w:sz w:val="24"/>
        </w:rPr>
        <w:t>元左右。平均绩效系数增加</w:t>
      </w:r>
      <w:r>
        <w:rPr>
          <w:rFonts w:eastAsia="黑体" w:cs="楷体" w:ascii="SimHei" w:hAnsi="SimHei"/>
          <w:b w:val="false"/>
          <w:sz w:val="24"/>
        </w:rPr>
        <w:t>0.1</w:t>
      </w:r>
      <w:r>
        <w:rPr>
          <w:rFonts w:ascii="SimHei" w:hAnsi="SimHei" w:cs="楷体" w:eastAsia="黑体"/>
          <w:b w:val="false"/>
          <w:sz w:val="24"/>
        </w:rPr>
        <w:t>，月总工资成本大约增加</w:t>
      </w:r>
      <w:r>
        <w:rPr>
          <w:rFonts w:eastAsia="黑体" w:cs="楷体" w:ascii="SimHei" w:hAnsi="SimHei"/>
          <w:b w:val="false"/>
          <w:sz w:val="24"/>
        </w:rPr>
        <w:t>500</w:t>
      </w:r>
      <w:r>
        <w:rPr>
          <w:rFonts w:ascii="SimHei" w:hAnsi="SimHei" w:cs="楷体" w:eastAsia="黑体"/>
          <w:b w:val="false"/>
          <w:sz w:val="24"/>
        </w:rPr>
        <w:t>元左右，平均每位员工增加约</w:t>
      </w:r>
      <w:r>
        <w:rPr>
          <w:rFonts w:eastAsia="黑体" w:cs="楷体" w:ascii="SimHei" w:hAnsi="SimHei"/>
          <w:b w:val="false"/>
          <w:sz w:val="24"/>
        </w:rPr>
        <w:t>42</w:t>
      </w:r>
      <w:r>
        <w:rPr>
          <w:rFonts w:ascii="SimHei" w:hAnsi="SimHei" w:cs="楷体" w:eastAsia="黑体"/>
          <w:b w:val="false"/>
          <w:sz w:val="24"/>
        </w:rPr>
        <w:t>元工资，如果考虑岗位工资高的员工绩效系数也高的情况，整个工资的增加额还会大些）。</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同时，工程技术人员的年工资总额应符合公司薪酬管理制度的规定，年工资总额的增长不超过上年度工资总额的</w:t>
      </w:r>
      <w:r>
        <w:rPr>
          <w:rFonts w:eastAsia="黑体" w:cs="楷体" w:ascii="SimHei" w:hAnsi="SimHei"/>
          <w:b w:val="false"/>
          <w:sz w:val="24"/>
        </w:rPr>
        <w:t>10%</w:t>
      </w:r>
      <w:r>
        <w:rPr>
          <w:rFonts w:ascii="SimHei" w:hAnsi="SimHei" w:cs="楷体" w:eastAsia="黑体"/>
          <w:b w:val="false"/>
          <w:sz w:val="24"/>
        </w:rPr>
        <w:t>。</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人事行政部应根据工程部技术人员每月工资的实际发放情况，结合公司的相关规定，与工程部负责人及时沟通，并采取合适的调整方法，以保证合理控制工程部技术人员的工资总额。</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sz w:val="24"/>
        </w:rPr>
      </w:pPr>
      <w:r>
        <w:rPr>
          <w:rFonts w:ascii="SimHei" w:hAnsi="SimHei" w:cs="楷体" w:eastAsia="黑体"/>
          <w:sz w:val="24"/>
        </w:rPr>
        <w:t>年终（半年）奖金</w:t>
      </w:r>
    </w:p>
    <w:p>
      <w:pPr>
        <w:pStyle w:val="2"/>
        <w:pageBreakBefore w:val="false"/>
        <w:widowControl/>
        <w:numPr>
          <w:ilvl w:val="2"/>
          <w:numId w:val="2"/>
        </w:numPr>
        <w:kinsoku w:val="true"/>
        <w:overflowPunct w:val="true"/>
        <w:autoSpaceDE w:val="true"/>
        <w:bidi w:val="0"/>
        <w:snapToGrid w:val="true"/>
        <w:spacing w:lineRule="auto" w:line="360"/>
        <w:jc w:val="both"/>
        <w:textAlignment w:val="auto"/>
        <w:rPr>
          <w:rFonts w:ascii="楷体" w:hAnsi="楷体" w:eastAsia="楷体" w:cs="楷体"/>
        </w:rPr>
      </w:pPr>
      <w:r>
        <w:rPr>
          <w:rFonts w:ascii="SimHei" w:hAnsi="SimHei" w:cs="楷体" w:eastAsia="黑体"/>
        </w:rPr>
        <w:t>工程技术人员绩效考核管理办法及奖金发放见《武汉信昌机电技术服务公司绩效考核管理办法》，</w:t>
      </w:r>
    </w:p>
    <w:p>
      <w:pPr>
        <w:pStyle w:val="Heading3"/>
        <w:pageBreakBefore w:val="false"/>
        <w:widowControl/>
        <w:kinsoku w:val="true"/>
        <w:overflowPunct w:val="true"/>
        <w:autoSpaceDE w:val="true"/>
        <w:bidi w:val="0"/>
        <w:snapToGrid w:val="true"/>
        <w:spacing w:lineRule="auto" w:line="360"/>
        <w:textAlignment w:val="auto"/>
        <w:rPr>
          <w:rFonts w:ascii="楷体" w:hAnsi="楷体" w:eastAsia="楷体" w:cs="楷体"/>
          <w:sz w:val="24"/>
        </w:rPr>
      </w:pPr>
      <w:r>
        <w:rPr>
          <w:rFonts w:ascii="SimHei" w:hAnsi="SimHei" w:cs="楷体" w:eastAsia="黑体"/>
          <w:b/>
          <w:bCs w:val="false"/>
        </w:rPr>
        <w:t>第六节</w:t>
      </w:r>
      <w:r>
        <w:rPr>
          <w:rFonts w:ascii="SimHei" w:hAnsi="SimHei" w:cs="楷体" w:eastAsia="黑体"/>
          <w:sz w:val="24"/>
        </w:rPr>
        <w:t xml:space="preserve">  </w:t>
      </w:r>
      <w:r>
        <w:rPr>
          <w:rFonts w:ascii="SimHei" w:hAnsi="SimHei" w:cs="楷体" w:eastAsia="黑体"/>
          <w:b/>
          <w:bCs w:val="false"/>
        </w:rPr>
        <w:t>协议工资制</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设立协议工资的目的</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设立协议工资的目的是为了使工资政策重点向对企业有较大贡献、市场上稀缺的人力资源倾斜，吸引外部人才，留住内部优秀人才，使公司与外部人才市场接轨，增强公司在人才市场上的竞争力。</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设立协议工资制的原则</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一</w:t>
      </w:r>
      <w:r>
        <w:rPr>
          <w:rFonts w:eastAsia="黑体" w:cs="楷体" w:ascii="SimHei" w:hAnsi="SimHei"/>
          <w:b w:val="false"/>
          <w:sz w:val="24"/>
        </w:rPr>
        <w:t>.</w:t>
      </w:r>
      <w:r>
        <w:rPr>
          <w:rFonts w:ascii="SimHei" w:hAnsi="SimHei" w:cs="楷体" w:eastAsia="黑体"/>
          <w:b w:val="false"/>
          <w:sz w:val="24"/>
        </w:rPr>
        <w:t>谈判原则：协议工资以市场价格为基础，由双方谈判确定；</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二</w:t>
      </w:r>
      <w:r>
        <w:rPr>
          <w:rFonts w:eastAsia="黑体" w:cs="楷体" w:ascii="SimHei" w:hAnsi="SimHei"/>
          <w:b w:val="false"/>
          <w:sz w:val="24"/>
        </w:rPr>
        <w:t>.</w:t>
      </w:r>
      <w:r>
        <w:rPr>
          <w:rFonts w:ascii="SimHei" w:hAnsi="SimHei" w:cs="楷体" w:eastAsia="黑体"/>
          <w:b w:val="false"/>
          <w:sz w:val="24"/>
        </w:rPr>
        <w:t>保密原则：薪酬标准和支付方式由人力资源部和用人单位经过核实并与本人协商后报总经理审批，不设统一的工资标准，一岗一资，隐形发放；</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三</w:t>
      </w:r>
      <w:r>
        <w:rPr>
          <w:rFonts w:eastAsia="黑体" w:cs="楷体" w:ascii="SimHei" w:hAnsi="SimHei"/>
          <w:b w:val="false"/>
          <w:sz w:val="24"/>
        </w:rPr>
        <w:t>.</w:t>
      </w:r>
      <w:r>
        <w:rPr>
          <w:rFonts w:ascii="SimHei" w:hAnsi="SimHei" w:cs="楷体" w:eastAsia="黑体"/>
          <w:b w:val="false"/>
          <w:sz w:val="24"/>
        </w:rPr>
        <w:t>限额原则：对实行协议工资的人员数目进行动态管理，依据公司经营的实际需要而定。</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eastAsia="黑体" w:cs="楷体" w:ascii="SimHei" w:hAnsi="SimHei"/>
          <w:sz w:val="24"/>
        </w:rPr>
        <w:t xml:space="preserve">  </w:t>
      </w:r>
      <w:r>
        <w:rPr>
          <w:rFonts w:ascii="SimHei" w:hAnsi="SimHei" w:cs="楷体" w:eastAsia="黑体"/>
          <w:sz w:val="24"/>
        </w:rPr>
        <w:t>适用范围</w:t>
      </w:r>
    </w:p>
    <w:p>
      <w:pPr>
        <w:pStyle w:val="Normal"/>
        <w:pageBreakBefore w:val="false"/>
        <w:widowControl/>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主要适用于公司聘用的特殊技术人才、特殊专业人才和高级管理人才。协议工资的适用人员需经人事行政部提出，总经理批准。</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sz w:val="24"/>
        </w:rPr>
        <w:t>协议工资的确定与发放</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协议工资以市场价格为基础，由双方谈判确定，每月固定发放。实行协议工资制的员工与公司之间签订书面协议，明确规定薪酬总额、发放方式、工作内容和考核方法。实行协议工资制的员工若不能达到协议要求，将不再实行协议工资制，其薪酬将按照公司相应薪酬制度执行。</w:t>
      </w:r>
    </w:p>
    <w:p>
      <w:pPr>
        <w:pStyle w:val="Heading3"/>
        <w:pageBreakBefore w:val="false"/>
        <w:widowControl/>
        <w:kinsoku w:val="true"/>
        <w:overflowPunct w:val="true"/>
        <w:autoSpaceDE w:val="true"/>
        <w:bidi w:val="0"/>
        <w:snapToGrid w:val="true"/>
        <w:spacing w:lineRule="auto" w:line="360"/>
        <w:textAlignment w:val="auto"/>
        <w:rPr>
          <w:rFonts w:ascii="楷体" w:hAnsi="楷体" w:eastAsia="楷体" w:cs="楷体"/>
          <w:sz w:val="24"/>
        </w:rPr>
      </w:pPr>
      <w:r>
        <w:rPr>
          <w:rFonts w:ascii="SimHei" w:hAnsi="SimHei" w:cs="楷体" w:eastAsia="黑体"/>
          <w:b/>
          <w:bCs w:val="false"/>
        </w:rPr>
        <w:t>第七节</w:t>
      </w:r>
      <w:r>
        <w:rPr>
          <w:rFonts w:ascii="SimHei" w:hAnsi="SimHei" w:cs="楷体" w:eastAsia="黑体"/>
          <w:sz w:val="24"/>
        </w:rPr>
        <w:t xml:space="preserve">  </w:t>
      </w:r>
      <w:r>
        <w:rPr>
          <w:rFonts w:ascii="SimHei" w:hAnsi="SimHei" w:cs="楷体" w:eastAsia="黑体"/>
          <w:b/>
          <w:bCs w:val="false"/>
        </w:rPr>
        <w:t>薪酬调整</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薪酬调整包括工资的晋级和降级，分为整体调整和个别调整，个</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别调整分为自然调整和岗位变动调整。</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整体调整</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公司根据上一年年度的经营状况及下一年度的经营目标、公司战略的改变和薪酬策略的变化等因素，同时结合武汉市场工资水平的变化，调整固定薪点值的大小，以统一提高或降低公司的工资水平。</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薪酬的晋级通道</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为给不同岗位的员工薪酬提供合理的晋级空间，根据岗位性质将公司岗位划分为管理类、业务类、技术类和操作及事务类等四个职类，员工可以通过四条不同的通道实现薪酬的晋级。</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一</w:t>
      </w:r>
      <w:r>
        <w:rPr>
          <w:rFonts w:eastAsia="黑体" w:cs="楷体" w:ascii="SimHei" w:hAnsi="SimHei"/>
          <w:b w:val="false"/>
          <w:sz w:val="24"/>
        </w:rPr>
        <w:t>.</w:t>
      </w:r>
      <w:r>
        <w:rPr>
          <w:rFonts w:ascii="SimHei" w:hAnsi="SimHei" w:cs="楷体" w:eastAsia="黑体"/>
          <w:b w:val="false"/>
          <w:sz w:val="24"/>
        </w:rPr>
        <w:t>管理类：该职类包含了从主管到副总经理、总监、总工等管理岗位人员，从高到低共划分了四等，每一职等内划分了不同的薪级，为业绩优秀、技能持续提升的员工提供薪酬的晋级空间；当员工薪酬达到该职等所包含薪等的上限时，建议考虑通过岗位的晋升实现该员工薪酬的晋级或轮岗使用；</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二</w:t>
      </w:r>
      <w:r>
        <w:rPr>
          <w:rFonts w:eastAsia="黑体" w:cs="楷体" w:ascii="SimHei" w:hAnsi="SimHei"/>
          <w:b w:val="false"/>
          <w:sz w:val="24"/>
        </w:rPr>
        <w:t>.</w:t>
      </w:r>
      <w:r>
        <w:rPr>
          <w:rFonts w:ascii="SimHei" w:hAnsi="SimHei" w:cs="楷体" w:eastAsia="黑体"/>
          <w:b w:val="false"/>
          <w:sz w:val="24"/>
        </w:rPr>
        <w:t>业务类：该职类包含了公司从初级业务员到经理级业务员等岗位人员，从高到低划分了六等，员工可以随着经验的积累和业务的提高在其中获得持续的晋级；</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三</w:t>
      </w:r>
      <w:r>
        <w:rPr>
          <w:rFonts w:eastAsia="黑体" w:cs="楷体" w:ascii="SimHei" w:hAnsi="SimHei"/>
          <w:b w:val="false"/>
          <w:sz w:val="24"/>
        </w:rPr>
        <w:t>.</w:t>
      </w:r>
      <w:r>
        <w:rPr>
          <w:rFonts w:ascii="SimHei" w:hAnsi="SimHei" w:cs="楷体" w:eastAsia="黑体"/>
          <w:b w:val="false"/>
          <w:sz w:val="24"/>
        </w:rPr>
        <w:t>技术类：该职类包含了公司所有的技术人员。技术职系从低到高划分为六等，技术人员随着技能的提升和经验的积累可以在其中获得持续的晋级。</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四</w:t>
      </w:r>
      <w:r>
        <w:rPr>
          <w:rFonts w:eastAsia="黑体" w:cs="楷体" w:ascii="SimHei" w:hAnsi="SimHei"/>
          <w:b w:val="false"/>
          <w:sz w:val="24"/>
        </w:rPr>
        <w:t>.</w:t>
      </w:r>
      <w:r>
        <w:rPr>
          <w:rFonts w:ascii="SimHei" w:hAnsi="SimHei" w:cs="楷体" w:eastAsia="黑体"/>
          <w:b w:val="false"/>
          <w:sz w:val="24"/>
        </w:rPr>
        <w:t>操作及事务类：该职类包含了技术工人及仓库管理员等岗位人员。此职类从低到高划分为三等，随着技能的提升和经验的积累可以在其中获得相应的晋级。</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个别调整——自然调整</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公司根据员工的绩效及奖惩等情况，对员工薪酬进行自然调整：</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一</w:t>
      </w:r>
      <w:r>
        <w:rPr>
          <w:rFonts w:eastAsia="黑体" w:cs="楷体" w:ascii="SimHei" w:hAnsi="SimHei"/>
          <w:b w:val="false"/>
          <w:sz w:val="24"/>
        </w:rPr>
        <w:t>.</w:t>
      </w:r>
      <w:r>
        <w:rPr>
          <w:rFonts w:ascii="SimHei" w:hAnsi="SimHei" w:cs="楷体" w:eastAsia="黑体"/>
          <w:b w:val="false"/>
          <w:sz w:val="24"/>
        </w:rPr>
        <w:t>绩效考核调薪：年度考核为“优”或连续两年考核结果为“良”的员工，薪资在本岗位通道内直接晋升一级。年度考核为“不合格”或连续两年考核结果为“基本合格”的员工，薪资直接下降一级。连续两年考核为“不合格”或连续三年考核为“基本合格”的员工，直接解除劳动合同；</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二</w:t>
      </w:r>
      <w:r>
        <w:rPr>
          <w:rFonts w:eastAsia="黑体" w:cs="楷体" w:ascii="SimHei" w:hAnsi="SimHei"/>
          <w:b w:val="false"/>
          <w:sz w:val="24"/>
        </w:rPr>
        <w:t>.</w:t>
      </w:r>
      <w:r>
        <w:rPr>
          <w:rFonts w:ascii="SimHei" w:hAnsi="SimHei" w:cs="楷体" w:eastAsia="黑体"/>
          <w:b w:val="false"/>
          <w:sz w:val="24"/>
        </w:rPr>
        <w:t>奖励调薪：员工在公司受到书面嘉奖、记功等累计达两次，薪资可直接晋升一级。员工工作取得重大成绩，对公司有较大贡献者，经公司总经理决定，可以对员工实施奖励调薪，幅度最大不得超过两级；</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三</w:t>
      </w:r>
      <w:r>
        <w:rPr>
          <w:rFonts w:eastAsia="黑体" w:cs="楷体" w:ascii="SimHei" w:hAnsi="SimHei"/>
          <w:b w:val="false"/>
          <w:sz w:val="24"/>
        </w:rPr>
        <w:t>.</w:t>
      </w:r>
      <w:r>
        <w:rPr>
          <w:rFonts w:ascii="SimHei" w:hAnsi="SimHei" w:cs="楷体" w:eastAsia="黑体"/>
          <w:b w:val="false"/>
          <w:sz w:val="24"/>
        </w:rPr>
        <w:t>惩罚性调薪降级：员工受到书面通报批评次数累计达两次或者受到记过处分一次，薪资直接下降一级。员工因工作失误（失职），给公司的经济或形象造成较大损失者，经公司总经理决定，降低其薪酬档级，降薪的幅度视具体情况确定；</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四</w:t>
      </w:r>
      <w:r>
        <w:rPr>
          <w:rFonts w:eastAsia="黑体" w:cs="楷体" w:ascii="SimHei" w:hAnsi="SimHei"/>
          <w:b w:val="false"/>
          <w:sz w:val="24"/>
        </w:rPr>
        <w:t>.</w:t>
      </w:r>
      <w:r>
        <w:rPr>
          <w:rFonts w:ascii="SimHei" w:hAnsi="SimHei" w:cs="楷体" w:eastAsia="黑体"/>
          <w:b w:val="false"/>
          <w:sz w:val="24"/>
        </w:rPr>
        <w:t>其他公司应该给员工晋级或降级的情况。</w:t>
      </w:r>
    </w:p>
    <w:p>
      <w:pPr>
        <w:pStyle w:val="Normal"/>
        <w:pageBreakBefore w:val="false"/>
        <w:widowControl/>
        <w:kinsoku w:val="true"/>
        <w:overflowPunct w:val="true"/>
        <w:autoSpaceDE w:val="true"/>
        <w:bidi w:val="0"/>
        <w:snapToGrid w:val="true"/>
        <w:spacing w:lineRule="auto" w:line="360"/>
        <w:ind w:start="843" w:hanging="0"/>
        <w:jc w:val="both"/>
        <w:textAlignment w:val="auto"/>
        <w:rPr>
          <w:rFonts w:ascii="楷体" w:hAnsi="楷体" w:eastAsia="楷体" w:cs="楷体"/>
          <w:b w:val="false"/>
          <w:b w:val="false"/>
          <w:sz w:val="24"/>
        </w:rPr>
      </w:pPr>
      <w:r>
        <w:rPr>
          <w:rFonts w:ascii="SimHei" w:hAnsi="SimHei" w:cs="楷体" w:eastAsia="黑体"/>
          <w:b w:val="false"/>
          <w:sz w:val="24"/>
        </w:rPr>
        <w:t>员工在职等内可直接晋级，当晋级到职等内薪级的最高级时，员工若想晋升到高一级的岗位或薪级，需要有岗位的晋升。</w:t>
      </w:r>
    </w:p>
    <w:p>
      <w:pPr>
        <w:pStyle w:val="Normal"/>
        <w:pageBreakBefore w:val="false"/>
        <w:widowControl/>
        <w:kinsoku w:val="true"/>
        <w:overflowPunct w:val="true"/>
        <w:autoSpaceDE w:val="true"/>
        <w:bidi w:val="0"/>
        <w:snapToGrid w:val="true"/>
        <w:spacing w:lineRule="auto" w:line="360"/>
        <w:ind w:start="843" w:hanging="0"/>
        <w:jc w:val="both"/>
        <w:textAlignment w:val="auto"/>
        <w:rPr>
          <w:rFonts w:ascii="楷体" w:hAnsi="楷体" w:eastAsia="楷体" w:cs="楷体"/>
          <w:b w:val="false"/>
          <w:b w:val="false"/>
          <w:sz w:val="24"/>
        </w:rPr>
      </w:pPr>
      <w:r>
        <w:rPr>
          <w:rFonts w:ascii="SimHei" w:hAnsi="SimHei" w:cs="楷体" w:eastAsia="黑体"/>
          <w:b w:val="false"/>
          <w:sz w:val="24"/>
        </w:rPr>
        <w:t>员工在职等内可直接下降工资薪级，当下降到职等内最低档时，应考虑职等的下降。</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个别调整——岗位变动调整</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公司“以岗定薪、薪随岗变、同岗异薪”，实现薪酬和岗位价值的挂钩，当员工的岗位调整时，其薪资随之变动。</w:t>
      </w:r>
    </w:p>
    <w:p>
      <w:pPr>
        <w:pStyle w:val="Normal"/>
        <w:pageBreakBefore w:val="false"/>
        <w:widowControl/>
        <w:kinsoku w:val="true"/>
        <w:overflowPunct w:val="true"/>
        <w:autoSpaceDE w:val="true"/>
        <w:bidi w:val="0"/>
        <w:snapToGrid w:val="true"/>
        <w:spacing w:lineRule="auto" w:line="360"/>
        <w:ind w:start="842" w:hanging="360"/>
        <w:jc w:val="both"/>
        <w:textAlignment w:val="auto"/>
        <w:rPr>
          <w:rFonts w:ascii="楷体" w:hAnsi="楷体" w:eastAsia="楷体" w:cs="楷体"/>
          <w:b w:val="false"/>
          <w:b w:val="false"/>
          <w:sz w:val="24"/>
        </w:rPr>
      </w:pPr>
      <w:r>
        <w:rPr>
          <w:rFonts w:ascii="SimHei" w:hAnsi="SimHei" w:cs="楷体" w:eastAsia="黑体"/>
          <w:b w:val="false"/>
          <w:sz w:val="24"/>
        </w:rPr>
        <w:t>一</w:t>
      </w:r>
      <w:r>
        <w:rPr>
          <w:rFonts w:eastAsia="黑体" w:cs="楷体" w:ascii="SimHei" w:hAnsi="SimHei"/>
          <w:b w:val="false"/>
          <w:sz w:val="24"/>
        </w:rPr>
        <w:t>.</w:t>
      </w:r>
      <w:r>
        <w:rPr>
          <w:rFonts w:ascii="SimHei" w:hAnsi="SimHei" w:cs="楷体" w:eastAsia="黑体"/>
          <w:b w:val="false"/>
          <w:sz w:val="24"/>
        </w:rPr>
        <w:t>员工升职、在不同职类之间横向调动或轮岗使用，在新职类职等中以不低于原岗位工资的最靠近的级别起薪；</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二</w:t>
      </w:r>
      <w:r>
        <w:rPr>
          <w:rFonts w:eastAsia="黑体" w:cs="楷体" w:ascii="SimHei" w:hAnsi="SimHei"/>
          <w:b w:val="false"/>
          <w:sz w:val="24"/>
        </w:rPr>
        <w:t>.</w:t>
      </w:r>
      <w:r>
        <w:rPr>
          <w:rFonts w:ascii="SimHei" w:hAnsi="SimHei" w:cs="楷体" w:eastAsia="黑体"/>
          <w:b w:val="false"/>
          <w:sz w:val="24"/>
        </w:rPr>
        <w:t>员工降职使用，按新岗位确定其薪酬水平。</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薪酬调整的实现</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人事行政部根据员工的岗位变动、晋级、降级等情况，及时调整其薪资。变动后的薪酬发放标准从下一月度开始执行。</w:t>
      </w:r>
    </w:p>
    <w:p>
      <w:pPr>
        <w:pStyle w:val="Heading3"/>
        <w:pageBreakBefore w:val="false"/>
        <w:widowControl/>
        <w:kinsoku w:val="true"/>
        <w:overflowPunct w:val="true"/>
        <w:autoSpaceDE w:val="true"/>
        <w:bidi w:val="0"/>
        <w:snapToGrid w:val="true"/>
        <w:spacing w:lineRule="auto" w:line="360"/>
        <w:textAlignment w:val="auto"/>
        <w:rPr>
          <w:rFonts w:ascii="楷体" w:hAnsi="楷体" w:eastAsia="楷体" w:cs="楷体"/>
          <w:sz w:val="24"/>
        </w:rPr>
      </w:pPr>
      <w:r>
        <w:rPr>
          <w:rFonts w:ascii="SimHei" w:hAnsi="SimHei" w:cs="楷体" w:eastAsia="黑体"/>
          <w:b/>
          <w:bCs w:val="false"/>
        </w:rPr>
        <w:t>第八节</w:t>
      </w:r>
      <w:r>
        <w:rPr>
          <w:rFonts w:ascii="SimHei" w:hAnsi="SimHei" w:cs="楷体" w:eastAsia="黑体"/>
          <w:sz w:val="24"/>
        </w:rPr>
        <w:t xml:space="preserve">  </w:t>
      </w:r>
      <w:r>
        <w:rPr>
          <w:rFonts w:ascii="SimHei" w:hAnsi="SimHei" w:cs="楷体" w:eastAsia="黑体"/>
          <w:b/>
        </w:rPr>
        <w:t>其它规定</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每月工资扣款</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各部门根据公司的相关规定，将部门员工的扣款情况报到人事行政部。人事行政部每月核定每位员工的扣款情况，并在当月工资中直接扣除。工资中直接扣除的项目包括：</w:t>
      </w:r>
    </w:p>
    <w:p>
      <w:pPr>
        <w:pStyle w:val="Normal"/>
        <w:pageBreakBefore w:val="false"/>
        <w:widowControl/>
        <w:numPr>
          <w:ilvl w:val="0"/>
          <w:numId w:val="4"/>
        </w:numPr>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个人工资所得税；</w:t>
      </w:r>
    </w:p>
    <w:p>
      <w:pPr>
        <w:pStyle w:val="Normal"/>
        <w:pageBreakBefore w:val="false"/>
        <w:widowControl/>
        <w:numPr>
          <w:ilvl w:val="0"/>
          <w:numId w:val="4"/>
        </w:numPr>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社会保险个人负担部分；</w:t>
      </w:r>
    </w:p>
    <w:p>
      <w:pPr>
        <w:pStyle w:val="Normal"/>
        <w:pageBreakBefore w:val="false"/>
        <w:widowControl/>
        <w:numPr>
          <w:ilvl w:val="0"/>
          <w:numId w:val="4"/>
        </w:numPr>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考勤扣款；</w:t>
      </w:r>
    </w:p>
    <w:p>
      <w:pPr>
        <w:pStyle w:val="Normal"/>
        <w:pageBreakBefore w:val="false"/>
        <w:widowControl/>
        <w:numPr>
          <w:ilvl w:val="0"/>
          <w:numId w:val="4"/>
        </w:numPr>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销售部员工工作手册中规定的罚款；</w:t>
      </w:r>
    </w:p>
    <w:p>
      <w:pPr>
        <w:pStyle w:val="Normal"/>
        <w:pageBreakBefore w:val="false"/>
        <w:widowControl/>
        <w:numPr>
          <w:ilvl w:val="0"/>
          <w:numId w:val="4"/>
        </w:numPr>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车辆管理制度中规定的罚款；</w:t>
      </w:r>
    </w:p>
    <w:p>
      <w:pPr>
        <w:pStyle w:val="Normal"/>
        <w:pageBreakBefore w:val="false"/>
        <w:widowControl/>
        <w:numPr>
          <w:ilvl w:val="0"/>
          <w:numId w:val="4"/>
        </w:numPr>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员工手册中规定的处罚性罚款；</w:t>
      </w:r>
    </w:p>
    <w:p>
      <w:pPr>
        <w:pStyle w:val="Normal"/>
        <w:pageBreakBefore w:val="false"/>
        <w:widowControl/>
        <w:numPr>
          <w:ilvl w:val="0"/>
          <w:numId w:val="4"/>
        </w:numPr>
        <w:kinsoku w:val="true"/>
        <w:overflowPunct w:val="true"/>
        <w:autoSpaceDE w:val="true"/>
        <w:bidi w:val="0"/>
        <w:snapToGrid w:val="true"/>
        <w:spacing w:lineRule="auto" w:line="360"/>
        <w:jc w:val="both"/>
        <w:textAlignment w:val="auto"/>
        <w:rPr>
          <w:rFonts w:ascii="楷体" w:hAnsi="楷体" w:eastAsia="楷体" w:cs="楷体"/>
          <w:b w:val="false"/>
          <w:b w:val="false"/>
          <w:sz w:val="24"/>
        </w:rPr>
      </w:pPr>
      <w:r>
        <w:rPr>
          <w:rFonts w:ascii="SimHei" w:hAnsi="SimHei" w:cs="楷体" w:eastAsia="黑体"/>
          <w:b w:val="false"/>
          <w:sz w:val="24"/>
        </w:rPr>
        <w:t>员工借款等其它应扣除的项目。</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试用期工资标准</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试用期员工的岗位工资按其所担任岗位的岗位工资的</w:t>
      </w:r>
      <w:r>
        <w:rPr>
          <w:rFonts w:eastAsia="黑体" w:cs="楷体" w:ascii="SimHei" w:hAnsi="SimHei"/>
          <w:b w:val="false"/>
          <w:sz w:val="24"/>
        </w:rPr>
        <w:t>80</w:t>
      </w:r>
      <w:r>
        <w:rPr>
          <w:rFonts w:ascii="SimHei" w:hAnsi="SimHei" w:cs="楷体" w:eastAsia="黑体"/>
          <w:b w:val="false"/>
          <w:sz w:val="24"/>
        </w:rPr>
        <w:t>到</w:t>
      </w:r>
      <w:r>
        <w:rPr>
          <w:rFonts w:eastAsia="黑体" w:cs="楷体" w:ascii="SimHei" w:hAnsi="SimHei"/>
          <w:b w:val="false"/>
          <w:sz w:val="24"/>
        </w:rPr>
        <w:t>100%</w:t>
      </w:r>
      <w:r>
        <w:rPr>
          <w:rFonts w:ascii="SimHei" w:hAnsi="SimHei" w:cs="楷体" w:eastAsia="黑体"/>
          <w:b w:val="false"/>
          <w:sz w:val="24"/>
        </w:rPr>
        <w:t>确定，不参与绩效考核；期满合格后发放全额工资，参与绩效考核，享有正式员工的福利。</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eastAsia="黑体" w:cs="楷体" w:ascii="SimHei" w:hAnsi="SimHei"/>
          <w:b w:val="false"/>
          <w:sz w:val="24"/>
        </w:rPr>
        <w:t xml:space="preserve">  </w:t>
      </w:r>
      <w:r>
        <w:rPr>
          <w:rFonts w:ascii="SimHei" w:hAnsi="SimHei" w:cs="楷体" w:eastAsia="黑体"/>
          <w:b w:val="false"/>
          <w:sz w:val="24"/>
        </w:rPr>
        <w:t>带薪假期的工资发放标准</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根据公司考勤管理制度规定，经公司批准的婚假、丧假、带薪年假、工伤假、每月最多一天的病假为全薪假期，仅扣除假期间的午餐补帖；</w:t>
      </w:r>
    </w:p>
    <w:p>
      <w:pPr>
        <w:pStyle w:val="Normal"/>
        <w:pageBreakBefore w:val="false"/>
        <w:widowControl/>
        <w:kinsoku w:val="true"/>
        <w:overflowPunct w:val="true"/>
        <w:autoSpaceDE w:val="true"/>
        <w:bidi w:val="0"/>
        <w:snapToGrid w:val="true"/>
        <w:spacing w:lineRule="auto" w:line="360"/>
        <w:ind w:firstLine="480"/>
        <w:jc w:val="both"/>
        <w:textAlignment w:val="auto"/>
        <w:rPr>
          <w:rFonts w:ascii="楷体" w:hAnsi="楷体" w:eastAsia="楷体" w:cs="楷体"/>
          <w:b w:val="false"/>
          <w:b w:val="false"/>
          <w:sz w:val="24"/>
        </w:rPr>
      </w:pPr>
      <w:r>
        <w:rPr>
          <w:rFonts w:ascii="SimHei" w:hAnsi="SimHei" w:cs="楷体" w:eastAsia="黑体"/>
          <w:b w:val="false"/>
          <w:sz w:val="24"/>
        </w:rPr>
        <w:t>产假期间仅享受基本工资待遇。基本工资</w:t>
      </w:r>
      <w:r>
        <w:rPr>
          <w:rFonts w:eastAsia="黑体" w:cs="楷体" w:ascii="SimHei" w:hAnsi="SimHei"/>
          <w:b w:val="false"/>
          <w:sz w:val="24"/>
        </w:rPr>
        <w:t>=</w:t>
      </w:r>
      <w:r>
        <w:rPr>
          <w:rFonts w:ascii="SimHei" w:hAnsi="SimHei" w:cs="楷体" w:eastAsia="黑体"/>
          <w:b w:val="false"/>
          <w:sz w:val="24"/>
        </w:rPr>
        <w:t>薪点数</w:t>
      </w:r>
      <w:r>
        <w:rPr>
          <w:rFonts w:eastAsia="黑体" w:cs="楷体" w:ascii="SimHei" w:hAnsi="SimHei"/>
          <w:b w:val="false"/>
          <w:sz w:val="24"/>
        </w:rPr>
        <w:t>×</w:t>
      </w:r>
      <w:r>
        <w:rPr>
          <w:rFonts w:ascii="SimHei" w:hAnsi="SimHei" w:cs="楷体" w:eastAsia="黑体"/>
          <w:b w:val="false"/>
          <w:sz w:val="24"/>
        </w:rPr>
        <w:t>固定薪点值</w:t>
      </w:r>
      <w:r>
        <w:rPr>
          <w:rFonts w:eastAsia="黑体" w:cs="楷体" w:ascii="SimHei" w:hAnsi="SimHei"/>
          <w:b w:val="false"/>
          <w:sz w:val="24"/>
        </w:rPr>
        <w:t>×70%</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公司每月按</w:t>
      </w:r>
      <w:r>
        <w:rPr>
          <w:rFonts w:eastAsia="黑体" w:cs="楷体" w:ascii="SimHei" w:hAnsi="SimHei"/>
          <w:b w:val="false"/>
          <w:sz w:val="24"/>
        </w:rPr>
        <w:t>22.5</w:t>
      </w:r>
      <w:r>
        <w:rPr>
          <w:rFonts w:ascii="SimHei" w:hAnsi="SimHei" w:cs="楷体" w:eastAsia="黑体"/>
          <w:b w:val="false"/>
          <w:sz w:val="24"/>
        </w:rPr>
        <w:t>个标准工作日计算工资。</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公司的发薪日为每月</w:t>
      </w:r>
      <w:r>
        <w:rPr>
          <w:rFonts w:eastAsia="黑体" w:cs="楷体" w:ascii="SimHei" w:hAnsi="SimHei"/>
          <w:b w:val="false"/>
          <w:sz w:val="24"/>
        </w:rPr>
        <w:t>15</w:t>
      </w:r>
      <w:r>
        <w:rPr>
          <w:rFonts w:ascii="SimHei" w:hAnsi="SimHei" w:cs="楷体" w:eastAsia="黑体"/>
          <w:b w:val="false"/>
          <w:sz w:val="24"/>
        </w:rPr>
        <w:t>日，发放上一月度的工资。工资发放方式</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为自动划账到员工个人的浦发银行卡中。</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本制度由人事行政部负责解释。</w:t>
      </w:r>
    </w:p>
    <w:p>
      <w:pPr>
        <w:pStyle w:val="Normal"/>
        <w:pageBreakBefore w:val="false"/>
        <w:widowControl/>
        <w:numPr>
          <w:ilvl w:val="0"/>
          <w:numId w:val="3"/>
        </w:numPr>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本制度自颁布之日起实施。为维持公司工资体系的稳定，公司在</w:t>
      </w:r>
    </w:p>
    <w:p>
      <w:pPr>
        <w:pStyle w:val="Normal"/>
        <w:pageBreakBefore w:val="false"/>
        <w:widowControl/>
        <w:kinsoku w:val="true"/>
        <w:overflowPunct w:val="true"/>
        <w:autoSpaceDE w:val="true"/>
        <w:bidi w:val="0"/>
        <w:snapToGrid w:val="true"/>
        <w:spacing w:lineRule="auto" w:line="360"/>
        <w:jc w:val="start"/>
        <w:textAlignment w:val="auto"/>
        <w:rPr>
          <w:rFonts w:ascii="楷体" w:hAnsi="楷体" w:eastAsia="楷体" w:cs="楷体"/>
          <w:b w:val="false"/>
          <w:b w:val="false"/>
          <w:sz w:val="24"/>
        </w:rPr>
      </w:pPr>
      <w:r>
        <w:rPr>
          <w:rFonts w:ascii="SimHei" w:hAnsi="SimHei" w:cs="楷体" w:eastAsia="黑体"/>
          <w:b w:val="false"/>
          <w:sz w:val="24"/>
        </w:rPr>
        <w:t>职员工的现有工资总额均保持不变，仅对薪资结构进行调整。薪等薪级表（附件二）中的薪点数只对在职员工今后的工资调整、新入职员工的工资起作用。</w:t>
      </w:r>
    </w:p>
    <w:p>
      <w:pPr>
        <w:sectPr>
          <w:headerReference w:type="default" r:id="rId2"/>
          <w:headerReference w:type="first" r:id="rId3"/>
          <w:footerReference w:type="default" r:id="rId4"/>
          <w:footerReference w:type="first" r:id="rId5"/>
          <w:type w:val="nextPage"/>
          <w:pgSz w:w="11906" w:h="16838"/>
          <w:pgMar w:left="1474" w:right="1474" w:header="567" w:top="850" w:footer="567" w:bottom="850" w:gutter="0"/>
          <w:pgNumType w:start="0" w:fmt="decimal"/>
          <w:formProt w:val="false"/>
          <w:titlePg/>
          <w:textDirection w:val="lrTb"/>
          <w:docGrid w:type="lines" w:linePitch="312" w:charSpace="0"/>
        </w:sectPr>
        <w:pStyle w:val="Normal"/>
        <w:rPr>
          <w:b w:val="false"/>
          <w:b w:val="false"/>
          <w:sz w:val="24"/>
        </w:rPr>
      </w:pPr>
      <w:r>
        <w:rPr>
          <w:rFonts w:ascii="SimHei" w:hAnsi="SimHei" w:eastAsia="黑体"/>
          <w:b w:val="false"/>
          <w:sz w:val="24"/>
        </w:rPr>
        <w:t>——————————————————</w:t>
      </w:r>
    </w:p>
    <w:p>
      <w:pPr>
        <w:pStyle w:val="Normal"/>
        <w:rPr>
          <w:rFonts w:ascii="楷体" w:hAnsi="楷体" w:eastAsia="楷体" w:cs="楷体"/>
          <w:b w:val="false"/>
          <w:b w:val="false"/>
          <w:sz w:val="24"/>
        </w:rPr>
      </w:pPr>
      <w:r>
        <w:rPr>
          <w:rFonts w:ascii="SimHei" w:hAnsi="SimHei" w:cs="楷体" w:eastAsia="黑体"/>
          <w:b w:val="false"/>
          <w:sz w:val="24"/>
        </w:rPr>
        <w:t>附件一：职类职能等级表</w:t>
      </w:r>
    </w:p>
    <w:p>
      <w:pPr>
        <w:pStyle w:val="Normal"/>
        <w:rPr>
          <w:rFonts w:ascii="楷体" w:hAnsi="楷体" w:eastAsia="楷体" w:cs="楷体"/>
          <w:b w:val="false"/>
          <w:b w:val="false"/>
          <w:sz w:val="24"/>
        </w:rPr>
      </w:pPr>
      <w:r>
        <w:rPr>
          <w:rFonts w:eastAsia="黑体" w:cs="楷体" w:ascii="SimHei" w:hAnsi="SimHei"/>
          <w:b w:val="false"/>
          <w:sz w:val="24"/>
        </w:rPr>
      </w:r>
    </w:p>
    <w:tbl>
      <w:tblPr>
        <w:tblW w:w="9000" w:type="dxa"/>
        <w:jc w:val="center"/>
        <w:tblInd w:w="0" w:type="dxa"/>
        <w:tblLayout w:type="fixed"/>
        <w:tblCellMar>
          <w:top w:w="0" w:type="dxa"/>
          <w:start w:w="108" w:type="dxa"/>
          <w:bottom w:w="0" w:type="dxa"/>
          <w:end w:w="108" w:type="dxa"/>
        </w:tblCellMar>
      </w:tblPr>
      <w:tblGrid>
        <w:gridCol w:w="899"/>
        <w:gridCol w:w="1078"/>
        <w:gridCol w:w="915"/>
        <w:gridCol w:w="1428"/>
        <w:gridCol w:w="1440"/>
        <w:gridCol w:w="1620"/>
        <w:gridCol w:w="1620"/>
      </w:tblGrid>
      <w:tr>
        <w:trPr>
          <w:trHeight w:val="285" w:hRule="atLeast"/>
        </w:trPr>
        <w:tc>
          <w:tcPr>
            <w:tcW w:w="89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职层</w:t>
            </w:r>
          </w:p>
        </w:tc>
        <w:tc>
          <w:tcPr>
            <w:tcW w:w="1078"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薪等</w:t>
            </w:r>
          </w:p>
        </w:tc>
        <w:tc>
          <w:tcPr>
            <w:tcW w:w="915"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经营类</w:t>
            </w:r>
          </w:p>
        </w:tc>
        <w:tc>
          <w:tcPr>
            <w:tcW w:w="1428"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管理类</w:t>
            </w:r>
          </w:p>
        </w:tc>
        <w:tc>
          <w:tcPr>
            <w:tcW w:w="1440"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技术类</w:t>
            </w:r>
          </w:p>
        </w:tc>
        <w:tc>
          <w:tcPr>
            <w:tcW w:w="1620"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业务类</w:t>
            </w:r>
          </w:p>
        </w:tc>
        <w:tc>
          <w:tcPr>
            <w:tcW w:w="1620"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行政后勤类</w:t>
            </w:r>
          </w:p>
        </w:tc>
      </w:tr>
      <w:tr>
        <w:trPr>
          <w:trHeight w:val="285" w:hRule="atLeast"/>
        </w:trPr>
        <w:tc>
          <w:tcPr>
            <w:tcW w:w="899"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核心层</w:t>
            </w:r>
          </w:p>
        </w:tc>
        <w:tc>
          <w:tcPr>
            <w:tcW w:w="1078" w:type="dxa"/>
            <w:tcBorders>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年薪制</w:t>
            </w:r>
          </w:p>
        </w:tc>
        <w:tc>
          <w:tcPr>
            <w:tcW w:w="915" w:type="dxa"/>
            <w:tcBorders>
              <w:bottom w:val="single" w:sz="4" w:space="0" w:color="000000"/>
              <w:end w:val="single" w:sz="4" w:space="0" w:color="000000"/>
            </w:tcBorders>
            <w:shd w:fill="00CCFF"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总经理</w:t>
            </w:r>
          </w:p>
        </w:tc>
        <w:tc>
          <w:tcPr>
            <w:tcW w:w="1428" w:type="dxa"/>
            <w:tcBorders>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黑体" w:cs="楷体" w:ascii="SimHei" w:hAnsi="SimHei"/>
                <w:b w:val="false"/>
                <w:sz w:val="24"/>
              </w:rPr>
            </w:r>
          </w:p>
        </w:tc>
        <w:tc>
          <w:tcPr>
            <w:tcW w:w="1440" w:type="dxa"/>
            <w:tcBorders>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黑体" w:cs="楷体" w:ascii="SimHei" w:hAnsi="SimHei"/>
                <w:b w:val="false"/>
                <w:sz w:val="24"/>
              </w:rPr>
            </w:r>
          </w:p>
        </w:tc>
        <w:tc>
          <w:tcPr>
            <w:tcW w:w="1620" w:type="dxa"/>
            <w:tcBorders>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黑体" w:cs="楷体" w:ascii="SimHei" w:hAnsi="SimHei"/>
                <w:b w:val="false"/>
                <w:sz w:val="24"/>
              </w:rPr>
            </w:r>
          </w:p>
        </w:tc>
        <w:tc>
          <w:tcPr>
            <w:tcW w:w="1620" w:type="dxa"/>
            <w:tcBorders>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黑体" w:cs="楷体" w:ascii="SimHei" w:hAnsi="SimHei"/>
                <w:b w:val="false"/>
                <w:sz w:val="24"/>
              </w:rPr>
            </w:r>
          </w:p>
        </w:tc>
      </w:tr>
      <w:tr>
        <w:trPr>
          <w:trHeight w:val="661" w:hRule="atLeast"/>
        </w:trPr>
        <w:tc>
          <w:tcPr>
            <w:tcW w:w="899" w:type="dxa"/>
            <w:vMerge w:val="restart"/>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中坚层</w:t>
            </w:r>
          </w:p>
        </w:tc>
        <w:tc>
          <w:tcPr>
            <w:tcW w:w="1078"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七</w:t>
            </w:r>
          </w:p>
        </w:tc>
        <w:tc>
          <w:tcPr>
            <w:tcW w:w="915"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28" w:type="dxa"/>
            <w:tcBorders>
              <w:top w:val="single" w:sz="4" w:space="0" w:color="000000"/>
              <w:bottom w:val="single" w:sz="4" w:space="0" w:color="000000"/>
              <w:end w:val="single" w:sz="4" w:space="0" w:color="000000"/>
            </w:tcBorders>
            <w:shd w:fill="FFCC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副总  总监 总工</w:t>
            </w:r>
          </w:p>
        </w:tc>
        <w:tc>
          <w:tcPr>
            <w:tcW w:w="1440"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620"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620"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r>
      <w:tr>
        <w:trPr>
          <w:trHeight w:val="624"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六</w:t>
            </w:r>
          </w:p>
        </w:tc>
        <w:tc>
          <w:tcPr>
            <w:tcW w:w="915"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28" w:type="dxa"/>
            <w:vMerge w:val="restart"/>
            <w:tcBorders>
              <w:top w:val="single" w:sz="4" w:space="0" w:color="000000"/>
              <w:start w:val="single" w:sz="4" w:space="0" w:color="000000"/>
              <w:bottom w:val="single" w:sz="4" w:space="0" w:color="000000"/>
              <w:end w:val="single" w:sz="4" w:space="0" w:color="000000"/>
            </w:tcBorders>
            <w:shd w:fill="FFCC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总经理助理  经理</w:t>
            </w:r>
          </w:p>
        </w:tc>
        <w:tc>
          <w:tcPr>
            <w:tcW w:w="1440" w:type="dxa"/>
            <w:vMerge w:val="restart"/>
            <w:tcBorders>
              <w:top w:val="single" w:sz="4" w:space="0" w:color="000000"/>
              <w:start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高级工程师</w:t>
            </w:r>
          </w:p>
        </w:tc>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r>
      <w:tr>
        <w:trPr>
          <w:trHeight w:val="624"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428" w:type="dxa"/>
            <w:vMerge w:val="continue"/>
            <w:tcBorders>
              <w:top w:val="single" w:sz="4" w:space="0" w:color="000000"/>
              <w:start w:val="single" w:sz="4" w:space="0" w:color="000000"/>
              <w:bottom w:val="single" w:sz="4" w:space="0" w:color="000000"/>
              <w:end w:val="single" w:sz="4" w:space="0" w:color="000000"/>
            </w:tcBorders>
            <w:shd w:fill="FFCC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440" w:type="dxa"/>
            <w:vMerge w:val="continue"/>
            <w:tcBorders>
              <w:top w:val="single" w:sz="4" w:space="0" w:color="000000"/>
              <w:start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r>
      <w:tr>
        <w:trPr>
          <w:trHeight w:val="624"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五</w:t>
            </w:r>
          </w:p>
        </w:tc>
        <w:tc>
          <w:tcPr>
            <w:tcW w:w="915"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28" w:type="dxa"/>
            <w:vMerge w:val="restart"/>
            <w:tcBorders>
              <w:top w:val="single" w:sz="4" w:space="0" w:color="000000"/>
              <w:start w:val="single" w:sz="4" w:space="0" w:color="000000"/>
              <w:bottom w:val="single" w:sz="4" w:space="0" w:color="000000"/>
              <w:end w:val="single" w:sz="4" w:space="0" w:color="000000"/>
            </w:tcBorders>
            <w:shd w:fill="FFCC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副经理  高级主管</w:t>
            </w:r>
          </w:p>
        </w:tc>
        <w:tc>
          <w:tcPr>
            <w:tcW w:w="1440" w:type="dxa"/>
            <w:vMerge w:val="restart"/>
            <w:tcBorders>
              <w:top w:val="single" w:sz="4" w:space="0" w:color="000000"/>
              <w:start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工程师 技术培训师</w:t>
            </w:r>
          </w:p>
        </w:tc>
        <w:tc>
          <w:tcPr>
            <w:tcW w:w="1620"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经理级业务员  高级商务助理</w:t>
            </w:r>
          </w:p>
        </w:tc>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r>
      <w:tr>
        <w:trPr>
          <w:trHeight w:val="624"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428" w:type="dxa"/>
            <w:vMerge w:val="continue"/>
            <w:tcBorders>
              <w:top w:val="single" w:sz="4" w:space="0" w:color="000000"/>
              <w:start w:val="single" w:sz="4" w:space="0" w:color="000000"/>
              <w:bottom w:val="single" w:sz="4" w:space="0" w:color="000000"/>
              <w:end w:val="single" w:sz="4" w:space="0" w:color="000000"/>
            </w:tcBorders>
            <w:shd w:fill="FFCC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440" w:type="dxa"/>
            <w:vMerge w:val="continue"/>
            <w:tcBorders>
              <w:top w:val="single" w:sz="4" w:space="0" w:color="000000"/>
              <w:start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620"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r>
      <w:tr>
        <w:trPr>
          <w:trHeight w:val="624"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四</w:t>
            </w:r>
          </w:p>
        </w:tc>
        <w:tc>
          <w:tcPr>
            <w:tcW w:w="915"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28" w:type="dxa"/>
            <w:vMerge w:val="restart"/>
            <w:tcBorders>
              <w:top w:val="single" w:sz="4" w:space="0" w:color="000000"/>
              <w:start w:val="single" w:sz="4" w:space="0" w:color="000000"/>
              <w:bottom w:val="single" w:sz="4" w:space="0" w:color="000000"/>
              <w:end w:val="single" w:sz="4" w:space="0" w:color="000000"/>
            </w:tcBorders>
            <w:shd w:fill="FFCC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经理助理 主管</w:t>
            </w:r>
          </w:p>
        </w:tc>
        <w:tc>
          <w:tcPr>
            <w:tcW w:w="1440" w:type="dxa"/>
            <w:vMerge w:val="restart"/>
            <w:tcBorders>
              <w:top w:val="single" w:sz="4" w:space="0" w:color="000000"/>
              <w:start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助理工程师</w:t>
            </w:r>
          </w:p>
        </w:tc>
        <w:tc>
          <w:tcPr>
            <w:tcW w:w="1620"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三级业务员 商务助理</w:t>
            </w:r>
          </w:p>
        </w:tc>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r>
      <w:tr>
        <w:trPr>
          <w:trHeight w:val="624"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428" w:type="dxa"/>
            <w:vMerge w:val="continue"/>
            <w:tcBorders>
              <w:top w:val="single" w:sz="4" w:space="0" w:color="000000"/>
              <w:start w:val="single" w:sz="4" w:space="0" w:color="000000"/>
              <w:bottom w:val="single" w:sz="4" w:space="0" w:color="000000"/>
              <w:end w:val="single" w:sz="4" w:space="0" w:color="000000"/>
            </w:tcBorders>
            <w:shd w:fill="FFCC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440" w:type="dxa"/>
            <w:vMerge w:val="continue"/>
            <w:tcBorders>
              <w:top w:val="single" w:sz="4" w:space="0" w:color="000000"/>
              <w:start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620"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r>
      <w:tr>
        <w:trPr>
          <w:trHeight w:val="285" w:hRule="atLeast"/>
        </w:trPr>
        <w:tc>
          <w:tcPr>
            <w:tcW w:w="899" w:type="dxa"/>
            <w:vMerge w:val="restart"/>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基层</w:t>
            </w:r>
          </w:p>
        </w:tc>
        <w:tc>
          <w:tcPr>
            <w:tcW w:w="107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三</w:t>
            </w:r>
          </w:p>
        </w:tc>
        <w:tc>
          <w:tcPr>
            <w:tcW w:w="915"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28"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40" w:type="dxa"/>
            <w:tcBorders>
              <w:top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高级技术员</w:t>
            </w:r>
          </w:p>
        </w:tc>
        <w:tc>
          <w:tcPr>
            <w:tcW w:w="1620" w:type="dxa"/>
            <w:tcBorders>
              <w:top w:val="single" w:sz="4" w:space="0" w:color="000000"/>
              <w:bottom w:val="single" w:sz="4" w:space="0" w:color="000000"/>
              <w:end w:val="single" w:sz="4" w:space="0" w:color="000000"/>
            </w:tcBorders>
            <w:shd w:fill="FFFF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二级业务员</w:t>
            </w:r>
          </w:p>
        </w:tc>
        <w:tc>
          <w:tcPr>
            <w:tcW w:w="1620" w:type="dxa"/>
            <w:tcBorders>
              <w:top w:val="single" w:sz="4" w:space="0" w:color="000000"/>
              <w:bottom w:val="single" w:sz="4" w:space="0" w:color="000000"/>
              <w:end w:val="single" w:sz="4" w:space="0" w:color="000000"/>
            </w:tcBorders>
            <w:shd w:fill="CCFF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黑体" w:cs="楷体" w:ascii="SimHei" w:hAnsi="SimHei"/>
                <w:b w:val="false"/>
                <w:sz w:val="24"/>
              </w:rPr>
            </w:r>
          </w:p>
        </w:tc>
      </w:tr>
      <w:tr>
        <w:trPr>
          <w:trHeight w:val="624"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二</w:t>
            </w:r>
          </w:p>
        </w:tc>
        <w:tc>
          <w:tcPr>
            <w:tcW w:w="915"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28"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40" w:type="dxa"/>
            <w:vMerge w:val="restart"/>
            <w:tcBorders>
              <w:top w:val="single" w:sz="4" w:space="0" w:color="000000"/>
              <w:start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技术员  中级技工</w:t>
            </w:r>
          </w:p>
        </w:tc>
        <w:tc>
          <w:tcPr>
            <w:tcW w:w="1620"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一级业务员</w:t>
            </w:r>
          </w:p>
        </w:tc>
        <w:tc>
          <w:tcPr>
            <w:tcW w:w="1620" w:type="dxa"/>
            <w:vMerge w:val="restart"/>
            <w:tcBorders>
              <w:top w:val="single" w:sz="4" w:space="0" w:color="000000"/>
              <w:start w:val="single" w:sz="4" w:space="0" w:color="000000"/>
              <w:bottom w:val="single" w:sz="4" w:space="0" w:color="000000"/>
              <w:end w:val="single" w:sz="4" w:space="0" w:color="000000"/>
            </w:tcBorders>
            <w:shd w:fill="CCFF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秘书 仓管二</w:t>
            </w:r>
          </w:p>
        </w:tc>
      </w:tr>
      <w:tr>
        <w:trPr>
          <w:trHeight w:val="624"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428"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440" w:type="dxa"/>
            <w:vMerge w:val="continue"/>
            <w:tcBorders>
              <w:top w:val="single" w:sz="4" w:space="0" w:color="000000"/>
              <w:start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620"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620" w:type="dxa"/>
            <w:vMerge w:val="continue"/>
            <w:tcBorders>
              <w:top w:val="single" w:sz="4" w:space="0" w:color="000000"/>
              <w:start w:val="single" w:sz="4" w:space="0" w:color="000000"/>
              <w:bottom w:val="single" w:sz="4" w:space="0" w:color="000000"/>
              <w:end w:val="single" w:sz="4" w:space="0" w:color="000000"/>
            </w:tcBorders>
            <w:shd w:fill="CCFF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r>
      <w:tr>
        <w:trPr>
          <w:trHeight w:val="290" w:hRule="atLeast"/>
        </w:trPr>
        <w:tc>
          <w:tcPr>
            <w:tcW w:w="899" w:type="dxa"/>
            <w:vMerge w:val="continue"/>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eastAsia="楷体" w:cs="楷体" w:ascii="楷体" w:hAnsi="楷体"/>
                <w:b w:val="false"/>
                <w:sz w:val="24"/>
              </w:rPr>
            </w:r>
          </w:p>
        </w:tc>
        <w:tc>
          <w:tcPr>
            <w:tcW w:w="1078"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一</w:t>
            </w:r>
          </w:p>
        </w:tc>
        <w:tc>
          <w:tcPr>
            <w:tcW w:w="915"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28" w:type="dxa"/>
            <w:tcBorders>
              <w:top w:val="single" w:sz="4" w:space="0" w:color="000000"/>
              <w:bottom w:val="single" w:sz="4" w:space="0" w:color="000000"/>
              <w:end w:val="single" w:sz="4" w:space="0" w:color="000000"/>
            </w:tcBorders>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 xml:space="preserve">　</w:t>
            </w:r>
          </w:p>
        </w:tc>
        <w:tc>
          <w:tcPr>
            <w:tcW w:w="1440" w:type="dxa"/>
            <w:tcBorders>
              <w:top w:val="single" w:sz="4" w:space="0" w:color="000000"/>
              <w:bottom w:val="single" w:sz="4" w:space="0" w:color="000000"/>
              <w:end w:val="single" w:sz="4" w:space="0" w:color="000000"/>
            </w:tcBorders>
            <w:shd w:fill="FF99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技工</w:t>
            </w:r>
          </w:p>
        </w:tc>
        <w:tc>
          <w:tcPr>
            <w:tcW w:w="1620" w:type="dxa"/>
            <w:tcBorders>
              <w:top w:val="single" w:sz="4" w:space="0" w:color="000000"/>
              <w:bottom w:val="single" w:sz="4" w:space="0" w:color="000000"/>
              <w:end w:val="single" w:sz="4" w:space="0" w:color="000000"/>
            </w:tcBorders>
            <w:shd w:fill="FFFF99"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初级业务员</w:t>
            </w:r>
          </w:p>
        </w:tc>
        <w:tc>
          <w:tcPr>
            <w:tcW w:w="1620" w:type="dxa"/>
            <w:tcBorders>
              <w:top w:val="single" w:sz="4" w:space="0" w:color="000000"/>
              <w:bottom w:val="single" w:sz="4" w:space="0" w:color="000000"/>
              <w:end w:val="single" w:sz="4" w:space="0" w:color="000000"/>
            </w:tcBorders>
            <w:shd w:fill="CCFFCC" w:val="clear"/>
          </w:tcPr>
          <w:p>
            <w:pPr>
              <w:pStyle w:val="Normal"/>
              <w:keepNext w:val="false"/>
              <w:keepLines w:val="false"/>
              <w:widowControl/>
              <w:kinsoku w:val="true"/>
              <w:overflowPunct w:val="true"/>
              <w:autoSpaceDE w:val="true"/>
              <w:bidi w:val="0"/>
              <w:snapToGrid w:val="false"/>
              <w:spacing w:lineRule="auto" w:line="360"/>
              <w:textAlignment w:val="auto"/>
              <w:rPr>
                <w:rFonts w:ascii="楷体" w:hAnsi="楷体" w:eastAsia="楷体" w:cs="楷体"/>
                <w:b w:val="false"/>
                <w:b w:val="false"/>
                <w:sz w:val="24"/>
              </w:rPr>
            </w:pPr>
            <w:r>
              <w:rPr>
                <w:rFonts w:ascii="SimHei" w:hAnsi="SimHei" w:cs="楷体" w:eastAsia="黑体"/>
                <w:b w:val="false"/>
                <w:sz w:val="24"/>
              </w:rPr>
              <w:t>仓管一 事务员</w:t>
            </w:r>
          </w:p>
        </w:tc>
      </w:tr>
    </w:tbl>
    <w:p>
      <w:pPr>
        <w:pStyle w:val="Normal"/>
        <w:rPr>
          <w:rFonts w:ascii="楷体" w:hAnsi="楷体" w:eastAsia="楷体" w:cs="楷体"/>
          <w:b w:val="false"/>
          <w:b w:val="false"/>
          <w:sz w:val="24"/>
        </w:rPr>
      </w:pPr>
      <w:r>
        <w:rPr>
          <w:rFonts w:eastAsia="黑体" w:cs="楷体" w:ascii="SimHei" w:hAnsi="SimHei"/>
          <w:b w:val="false"/>
          <w:sz w:val="24"/>
        </w:rPr>
      </w:r>
    </w:p>
    <w:p>
      <w:pPr>
        <w:pStyle w:val="Normal"/>
        <w:rPr>
          <w:rFonts w:ascii="楷体" w:hAnsi="楷体" w:eastAsia="楷体" w:cs="楷体"/>
          <w:b w:val="false"/>
          <w:b w:val="false"/>
          <w:sz w:val="24"/>
        </w:rPr>
      </w:pPr>
      <w:r>
        <w:rPr>
          <w:rFonts w:ascii="SimHei" w:hAnsi="SimHei" w:cs="楷体" w:eastAsia="黑体"/>
          <w:b w:val="false"/>
          <w:sz w:val="24"/>
        </w:rPr>
        <w:t>附件二：薪等薪级表</w:t>
      </w:r>
    </w:p>
    <w:p>
      <w:pPr>
        <w:pStyle w:val="Normal"/>
        <w:rPr>
          <w:rFonts w:ascii="楷体" w:hAnsi="楷体" w:eastAsia="楷体" w:cs="楷体"/>
          <w:b w:val="false"/>
          <w:b w:val="false"/>
          <w:sz w:val="24"/>
        </w:rPr>
      </w:pPr>
      <w:r>
        <w:rPr>
          <w:rFonts w:eastAsia="黑体" w:cs="楷体" w:ascii="SimHei" w:hAnsi="SimHei"/>
          <w:b w:val="false"/>
          <w:sz w:val="24"/>
        </w:rPr>
      </w:r>
    </w:p>
    <w:tbl>
      <w:tblPr>
        <w:tblW w:w="8954" w:type="dxa"/>
        <w:jc w:val="center"/>
        <w:tblInd w:w="0" w:type="dxa"/>
        <w:tblLayout w:type="fixed"/>
        <w:tblCellMar>
          <w:top w:w="0" w:type="dxa"/>
          <w:start w:w="108" w:type="dxa"/>
          <w:bottom w:w="0" w:type="dxa"/>
          <w:end w:w="108" w:type="dxa"/>
        </w:tblCellMar>
      </w:tblPr>
      <w:tblGrid>
        <w:gridCol w:w="983"/>
        <w:gridCol w:w="823"/>
        <w:gridCol w:w="714"/>
        <w:gridCol w:w="733"/>
        <w:gridCol w:w="824"/>
        <w:gridCol w:w="824"/>
        <w:gridCol w:w="824"/>
        <w:gridCol w:w="824"/>
        <w:gridCol w:w="824"/>
        <w:gridCol w:w="824"/>
        <w:gridCol w:w="757"/>
      </w:tblGrid>
      <w:tr>
        <w:trPr>
          <w:trHeight w:val="624" w:hRule="atLeast"/>
        </w:trPr>
        <w:tc>
          <w:tcPr>
            <w:tcW w:w="983" w:type="dxa"/>
            <w:vMerge w:val="restart"/>
            <w:tcBorders>
              <w:top w:val="single" w:sz="6" w:space="0" w:color="000000"/>
              <w:start w:val="single" w:sz="6" w:space="0" w:color="000000"/>
              <w:bottom w:val="single" w:sz="6" w:space="0" w:color="000000"/>
              <w:end w:val="single" w:sz="6" w:space="0" w:color="000000"/>
            </w:tcBorders>
            <w:vAlign w:val="center"/>
          </w:tcPr>
          <w:p>
            <w:pPr>
              <w:pStyle w:val="Normal"/>
              <w:ind w:firstLine="240"/>
              <w:jc w:val="both"/>
              <w:rPr>
                <w:rFonts w:ascii="楷体" w:hAnsi="楷体" w:eastAsia="楷体" w:cs="楷体"/>
                <w:b w:val="false"/>
                <w:b w:val="false"/>
                <w:sz w:val="24"/>
              </w:rPr>
            </w:pPr>
            <w:r>
              <w:rPr>
                <w:rFonts w:ascii="SimHei" w:hAnsi="SimHei" w:cs="楷体" w:eastAsia="黑体"/>
                <w:b w:val="false"/>
                <w:sz w:val="24"/>
              </w:rPr>
              <w:t>薪级</w:t>
            </w:r>
          </w:p>
          <w:p>
            <w:pPr>
              <w:pStyle w:val="Normal"/>
              <w:rPr>
                <w:rFonts w:ascii="楷体" w:hAnsi="楷体" w:eastAsia="楷体" w:cs="楷体"/>
                <w:b w:val="false"/>
                <w:b w:val="false"/>
                <w:sz w:val="24"/>
              </w:rPr>
            </w:pPr>
            <w:r>
              <w:rPr>
                <w:rFonts w:eastAsia="黑体" w:cs="楷体" w:ascii="SimHei" w:hAnsi="SimHei"/>
                <w:b w:val="false"/>
                <w:sz w:val="24"/>
              </w:rPr>
            </w:r>
          </w:p>
          <w:p>
            <w:pPr>
              <w:pStyle w:val="Normal"/>
              <w:rPr>
                <w:rFonts w:ascii="楷体" w:hAnsi="楷体" w:eastAsia="楷体" w:cs="楷体"/>
                <w:b w:val="false"/>
                <w:b w:val="false"/>
                <w:sz w:val="24"/>
              </w:rPr>
            </w:pPr>
            <w:r>
              <w:rPr>
                <w:rFonts w:ascii="SimHei" w:hAnsi="SimHei" w:cs="楷体" w:eastAsia="黑体"/>
                <w:b w:val="false"/>
                <w:sz w:val="24"/>
              </w:rPr>
              <w:t>薪等</w:t>
            </w:r>
          </w:p>
        </w:tc>
        <w:tc>
          <w:tcPr>
            <w:tcW w:w="823"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w:t>
            </w:r>
          </w:p>
        </w:tc>
        <w:tc>
          <w:tcPr>
            <w:tcW w:w="714"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w:t>
            </w:r>
          </w:p>
        </w:tc>
        <w:tc>
          <w:tcPr>
            <w:tcW w:w="733"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w:t>
            </w:r>
          </w:p>
        </w:tc>
        <w:tc>
          <w:tcPr>
            <w:tcW w:w="824"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4</w:t>
            </w:r>
          </w:p>
        </w:tc>
        <w:tc>
          <w:tcPr>
            <w:tcW w:w="824"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5</w:t>
            </w:r>
          </w:p>
        </w:tc>
        <w:tc>
          <w:tcPr>
            <w:tcW w:w="824"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6</w:t>
            </w:r>
          </w:p>
        </w:tc>
        <w:tc>
          <w:tcPr>
            <w:tcW w:w="824"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7</w:t>
            </w:r>
          </w:p>
        </w:tc>
        <w:tc>
          <w:tcPr>
            <w:tcW w:w="824"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8</w:t>
            </w:r>
          </w:p>
        </w:tc>
        <w:tc>
          <w:tcPr>
            <w:tcW w:w="824"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9</w:t>
            </w:r>
          </w:p>
        </w:tc>
        <w:tc>
          <w:tcPr>
            <w:tcW w:w="757"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ascii="SimHei" w:hAnsi="SimHei" w:cs="楷体" w:eastAsia="黑体"/>
                <w:b w:val="false"/>
                <w:sz w:val="24"/>
              </w:rPr>
              <w:t>级差</w:t>
            </w:r>
          </w:p>
        </w:tc>
      </w:tr>
      <w:tr>
        <w:trPr>
          <w:trHeight w:val="624" w:hRule="atLeast"/>
        </w:trPr>
        <w:tc>
          <w:tcPr>
            <w:tcW w:w="98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82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714"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73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824"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824"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824"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824"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824"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824"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c>
          <w:tcPr>
            <w:tcW w:w="75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 w:hAnsi="楷体" w:eastAsia="楷体" w:cs="楷体"/>
                <w:b w:val="false"/>
                <w:b w:val="false"/>
                <w:sz w:val="24"/>
              </w:rPr>
            </w:pPr>
            <w:r>
              <w:rPr>
                <w:rFonts w:eastAsia="楷体" w:cs="楷体" w:ascii="楷体" w:hAnsi="楷体"/>
                <w:b w:val="false"/>
                <w:sz w:val="24"/>
              </w:rPr>
            </w:r>
          </w:p>
        </w:tc>
      </w:tr>
      <w:tr>
        <w:trPr>
          <w:trHeight w:val="285" w:hRule="atLeast"/>
        </w:trPr>
        <w:tc>
          <w:tcPr>
            <w:tcW w:w="98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7</w:t>
            </w:r>
          </w:p>
        </w:tc>
        <w:tc>
          <w:tcPr>
            <w:tcW w:w="82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4200</w:t>
            </w:r>
          </w:p>
        </w:tc>
        <w:tc>
          <w:tcPr>
            <w:tcW w:w="71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4500</w:t>
            </w:r>
          </w:p>
        </w:tc>
        <w:tc>
          <w:tcPr>
            <w:tcW w:w="73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4800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5100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5400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5700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6000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6300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6600</w:t>
            </w:r>
          </w:p>
        </w:tc>
        <w:tc>
          <w:tcPr>
            <w:tcW w:w="757"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300</w:t>
            </w:r>
          </w:p>
        </w:tc>
      </w:tr>
      <w:tr>
        <w:trPr>
          <w:trHeight w:val="285" w:hRule="atLeast"/>
        </w:trPr>
        <w:tc>
          <w:tcPr>
            <w:tcW w:w="98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6</w:t>
            </w:r>
          </w:p>
        </w:tc>
        <w:tc>
          <w:tcPr>
            <w:tcW w:w="82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2400</w:t>
            </w:r>
          </w:p>
        </w:tc>
        <w:tc>
          <w:tcPr>
            <w:tcW w:w="71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2600</w:t>
            </w:r>
          </w:p>
        </w:tc>
        <w:tc>
          <w:tcPr>
            <w:tcW w:w="73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2800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3000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3200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3400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3600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3800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4000</w:t>
            </w:r>
          </w:p>
        </w:tc>
        <w:tc>
          <w:tcPr>
            <w:tcW w:w="757"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200</w:t>
            </w:r>
          </w:p>
        </w:tc>
      </w:tr>
      <w:tr>
        <w:trPr>
          <w:trHeight w:val="480" w:hRule="atLeast"/>
        </w:trPr>
        <w:tc>
          <w:tcPr>
            <w:tcW w:w="98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5</w:t>
            </w:r>
          </w:p>
        </w:tc>
        <w:tc>
          <w:tcPr>
            <w:tcW w:w="82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1700</w:t>
            </w:r>
          </w:p>
        </w:tc>
        <w:tc>
          <w:tcPr>
            <w:tcW w:w="71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1820</w:t>
            </w:r>
          </w:p>
        </w:tc>
        <w:tc>
          <w:tcPr>
            <w:tcW w:w="73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1940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2060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2180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2300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2420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2540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2660</w:t>
            </w:r>
          </w:p>
        </w:tc>
        <w:tc>
          <w:tcPr>
            <w:tcW w:w="757"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120</w:t>
            </w:r>
          </w:p>
        </w:tc>
      </w:tr>
      <w:tr>
        <w:trPr>
          <w:trHeight w:val="480" w:hRule="atLeast"/>
        </w:trPr>
        <w:tc>
          <w:tcPr>
            <w:tcW w:w="98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4</w:t>
            </w:r>
          </w:p>
        </w:tc>
        <w:tc>
          <w:tcPr>
            <w:tcW w:w="82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1350</w:t>
            </w:r>
          </w:p>
        </w:tc>
        <w:tc>
          <w:tcPr>
            <w:tcW w:w="71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1440</w:t>
            </w:r>
          </w:p>
        </w:tc>
        <w:tc>
          <w:tcPr>
            <w:tcW w:w="73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1530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1620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1710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1800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1890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w:t>
            </w:r>
          </w:p>
        </w:tc>
        <w:tc>
          <w:tcPr>
            <w:tcW w:w="757"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90</w:t>
            </w:r>
          </w:p>
        </w:tc>
      </w:tr>
      <w:tr>
        <w:trPr>
          <w:trHeight w:val="285" w:hRule="atLeast"/>
        </w:trPr>
        <w:tc>
          <w:tcPr>
            <w:tcW w:w="98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w:t>
            </w:r>
          </w:p>
        </w:tc>
        <w:tc>
          <w:tcPr>
            <w:tcW w:w="82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1150</w:t>
            </w:r>
          </w:p>
        </w:tc>
        <w:tc>
          <w:tcPr>
            <w:tcW w:w="71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1220</w:t>
            </w:r>
          </w:p>
        </w:tc>
        <w:tc>
          <w:tcPr>
            <w:tcW w:w="73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1290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1360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1430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1500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w:t>
            </w:r>
          </w:p>
        </w:tc>
        <w:tc>
          <w:tcPr>
            <w:tcW w:w="757"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70</w:t>
            </w:r>
          </w:p>
        </w:tc>
      </w:tr>
      <w:tr>
        <w:trPr>
          <w:trHeight w:val="285" w:hRule="atLeast"/>
        </w:trPr>
        <w:tc>
          <w:tcPr>
            <w:tcW w:w="98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2</w:t>
            </w:r>
          </w:p>
        </w:tc>
        <w:tc>
          <w:tcPr>
            <w:tcW w:w="82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850</w:t>
            </w:r>
          </w:p>
        </w:tc>
        <w:tc>
          <w:tcPr>
            <w:tcW w:w="71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900</w:t>
            </w:r>
          </w:p>
        </w:tc>
        <w:tc>
          <w:tcPr>
            <w:tcW w:w="73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950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1000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1050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1100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1150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1200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w:t>
            </w:r>
          </w:p>
        </w:tc>
        <w:tc>
          <w:tcPr>
            <w:tcW w:w="757"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50</w:t>
            </w:r>
          </w:p>
        </w:tc>
      </w:tr>
      <w:tr>
        <w:trPr>
          <w:trHeight w:val="285" w:hRule="atLeast"/>
        </w:trPr>
        <w:tc>
          <w:tcPr>
            <w:tcW w:w="98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1</w:t>
            </w:r>
          </w:p>
        </w:tc>
        <w:tc>
          <w:tcPr>
            <w:tcW w:w="82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560</w:t>
            </w:r>
          </w:p>
        </w:tc>
        <w:tc>
          <w:tcPr>
            <w:tcW w:w="71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590</w:t>
            </w:r>
          </w:p>
        </w:tc>
        <w:tc>
          <w:tcPr>
            <w:tcW w:w="733"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620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650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680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710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740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770</w:t>
            </w:r>
          </w:p>
        </w:tc>
        <w:tc>
          <w:tcPr>
            <w:tcW w:w="824"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800</w:t>
            </w:r>
          </w:p>
        </w:tc>
        <w:tc>
          <w:tcPr>
            <w:tcW w:w="757" w:type="dxa"/>
            <w:tcBorders>
              <w:top w:val="single" w:sz="6" w:space="0" w:color="000000"/>
              <w:start w:val="single" w:sz="6" w:space="0" w:color="000000"/>
              <w:bottom w:val="single" w:sz="6" w:space="0" w:color="000000"/>
              <w:end w:val="single" w:sz="6" w:space="0" w:color="000000"/>
            </w:tcBorders>
            <w:vAlign w:val="center"/>
          </w:tcPr>
          <w:p>
            <w:pPr>
              <w:pStyle w:val="Normal"/>
              <w:rPr>
                <w:rFonts w:ascii="楷体" w:hAnsi="楷体" w:eastAsia="楷体" w:cs="楷体"/>
                <w:b w:val="false"/>
                <w:b w:val="false"/>
                <w:sz w:val="24"/>
              </w:rPr>
            </w:pPr>
            <w:r>
              <w:rPr>
                <w:rFonts w:eastAsia="黑体" w:cs="楷体" w:ascii="SimHei" w:hAnsi="SimHei"/>
                <w:b w:val="false"/>
                <w:sz w:val="24"/>
              </w:rPr>
              <w:t>30</w:t>
            </w:r>
          </w:p>
        </w:tc>
      </w:tr>
    </w:tbl>
    <w:p>
      <w:pPr>
        <w:pStyle w:val="Normal"/>
        <w:rPr>
          <w:rFonts w:ascii="楷体" w:hAnsi="楷体" w:eastAsia="楷体" w:cs="楷体"/>
          <w:b w:val="false"/>
          <w:b w:val="false"/>
          <w:sz w:val="24"/>
          <w:lang w:val="zh-CN"/>
        </w:rPr>
      </w:pPr>
      <w:r>
        <w:rPr>
          <w:rFonts w:eastAsia="黑体" w:cs="楷体" w:ascii="SimHei" w:hAnsi="SimHei"/>
          <w:b w:val="false"/>
          <w:sz w:val="24"/>
          <w:lang w:val="zh-CN"/>
        </w:rPr>
      </w:r>
    </w:p>
    <w:p>
      <w:pPr>
        <w:pStyle w:val="Normal"/>
        <w:jc w:val="both"/>
        <w:rPr>
          <w:rFonts w:ascii="楷体" w:hAnsi="楷体" w:eastAsia="楷体" w:cs="楷体"/>
          <w:b w:val="false"/>
          <w:b w:val="false"/>
          <w:sz w:val="24"/>
          <w:lang w:val="zh-CN"/>
        </w:rPr>
      </w:pPr>
      <w:r>
        <w:rPr>
          <w:rFonts w:eastAsia="黑体" w:cs="楷体" w:ascii="SimHei" w:hAnsi="SimHei"/>
          <w:b w:val="false"/>
          <w:sz w:val="24"/>
          <w:lang w:val="zh-CN"/>
        </w:rPr>
      </w:r>
    </w:p>
    <w:p>
      <w:pPr>
        <w:pStyle w:val="List"/>
        <w:numPr>
          <w:ilvl w:val="0"/>
          <w:numId w:val="0"/>
        </w:numPr>
        <w:ind w:start="0" w:hanging="0"/>
        <w:jc w:val="both"/>
        <w:rPr>
          <w:rFonts w:ascii="楷体" w:hAnsi="楷体" w:eastAsia="楷体" w:cs="楷体"/>
        </w:rPr>
      </w:pPr>
      <w:r>
        <w:rPr>
          <w:rFonts w:ascii="SimHei" w:hAnsi="SimHei" w:cs="楷体" w:eastAsia="黑体"/>
        </w:rPr>
        <w:t>与薪酬管理制度配套的制度（待制定）：</w:t>
      </w:r>
    </w:p>
    <w:p>
      <w:pPr>
        <w:pStyle w:val="Normal"/>
        <w:jc w:val="both"/>
        <w:rPr>
          <w:rFonts w:ascii="楷体" w:hAnsi="楷体" w:eastAsia="楷体" w:cs="楷体"/>
          <w:b w:val="false"/>
          <w:b w:val="false"/>
          <w:sz w:val="24"/>
        </w:rPr>
      </w:pPr>
      <w:r>
        <w:rPr>
          <w:rFonts w:ascii="SimHei" w:hAnsi="SimHei" w:cs="楷体" w:eastAsia="黑体"/>
          <w:b w:val="false"/>
          <w:sz w:val="24"/>
        </w:rPr>
        <w:t xml:space="preserve">管理及一般人员绩效考核管理办法（半年和年度）  </w:t>
      </w:r>
    </w:p>
    <w:p>
      <w:pPr>
        <w:pStyle w:val="Normal"/>
        <w:jc w:val="both"/>
        <w:rPr>
          <w:rFonts w:ascii="楷体" w:hAnsi="楷体" w:eastAsia="楷体" w:cs="楷体"/>
          <w:b w:val="false"/>
          <w:b w:val="false"/>
          <w:sz w:val="24"/>
        </w:rPr>
      </w:pPr>
      <w:r>
        <w:rPr>
          <w:rFonts w:ascii="SimHei" w:hAnsi="SimHei" w:cs="楷体" w:eastAsia="黑体"/>
          <w:b w:val="false"/>
          <w:sz w:val="24"/>
        </w:rPr>
        <w:t>工程技术人员绩效考核管理办法（月，半年和年度）</w:t>
      </w:r>
    </w:p>
    <w:p>
      <w:pPr>
        <w:pStyle w:val="Normal"/>
        <w:jc w:val="both"/>
        <w:rPr>
          <w:rFonts w:ascii="楷体" w:hAnsi="楷体" w:eastAsia="楷体" w:cs="楷体"/>
          <w:b w:val="false"/>
          <w:b w:val="false"/>
          <w:sz w:val="24"/>
        </w:rPr>
      </w:pPr>
      <w:r>
        <w:rPr>
          <w:rFonts w:ascii="SimHei" w:hAnsi="SimHei" w:cs="楷体" w:eastAsia="黑体"/>
          <w:b w:val="false"/>
          <w:sz w:val="24"/>
        </w:rPr>
        <w:t>销售部员工工作手册（奖惩方法）</w:t>
      </w:r>
    </w:p>
    <w:sectPr>
      <w:headerReference w:type="default" r:id="rId6"/>
      <w:headerReference w:type="first" r:id="rId7"/>
      <w:footerReference w:type="default" r:id="rId8"/>
      <w:footerReference w:type="first" r:id="rId9"/>
      <w:type w:val="nextPage"/>
      <w:pgSz w:w="11906" w:h="16838"/>
      <w:pgMar w:left="1474" w:right="1474" w:header="851" w:top="907" w:footer="170" w:bottom="850" w:gutter="0"/>
      <w:pgNumType w:start="0"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Arial">
    <w:charset w:val="00" w:characterSet="windows-1252"/>
    <w:family w:val="swiss"/>
    <w:pitch w:val="default"/>
  </w:font>
  <w:font w:name="Liberation Sans">
    <w:altName w:val="Arial"/>
    <w:charset w:val="01" w:characterSet="utf-8"/>
    <w:family w:val="swiss"/>
    <w:pitch w:val="variable"/>
  </w:font>
  <w:font w:name="楷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snapToGrid w:val="false"/>
      <w:spacing w:lineRule="atLeast" w:line="24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snapToGrid w:val="false"/>
      <w:spacing w:lineRule="atLeast" w:line="240"/>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suff w:val="nothing"/>
      <w:lvlText w:val="第%1章 "/>
      <w:lvlJc w:val="center"/>
      <w:pPr>
        <w:tabs>
          <w:tab w:val="num" w:pos="0"/>
        </w:tabs>
        <w:ind w:start="0" w:hanging="0"/>
      </w:pPr>
      <w:rPr>
        <w:sz w:val="30"/>
        <w:i w:val="false"/>
        <w:b/>
        <w:rFonts w:eastAsia="黑体"/>
      </w:rPr>
    </w:lvl>
    <w:lvl w:ilvl="1">
      <w:start w:val="1"/>
      <w:numFmt w:val="chineseCountingThousand"/>
      <w:lvlText w:val="第%2条 "/>
      <w:lvlJc w:val="start"/>
      <w:pPr>
        <w:tabs>
          <w:tab w:val="num" w:pos="0"/>
        </w:tabs>
        <w:ind w:start="0" w:firstLine="420"/>
      </w:pPr>
      <w:rPr>
        <w:sz w:val="24"/>
        <w:i w:val="false"/>
        <w:b/>
        <w:rFonts w:eastAsia="宋体"/>
        <w:color w:val="000000"/>
      </w:rPr>
    </w:lvl>
    <w:lvl w:ilvl="2">
      <w:start w:val="1"/>
      <w:numFmt w:val="chineseCountingThousand"/>
      <w:lvlText w:val="（%3）"/>
      <w:lvlJc w:val="start"/>
      <w:pPr>
        <w:tabs>
          <w:tab w:val="num" w:pos="0"/>
        </w:tabs>
        <w:ind w:start="0" w:firstLine="420"/>
      </w:pPr>
      <w:rPr>
        <w:color w:val="000000"/>
      </w:rPr>
    </w:lvl>
    <w:lvl w:ilvl="3">
      <w:start w:val="1"/>
      <w:numFmt w:val="decimal"/>
      <w:suff w:val="space"/>
      <w:lvlText w:val="%4. "/>
      <w:lvlJc w:val="start"/>
      <w:pPr>
        <w:tabs>
          <w:tab w:val="num" w:pos="0"/>
        </w:tabs>
        <w:ind w:start="0" w:firstLine="420"/>
      </w:pPr>
      <w:rPr/>
    </w:lvl>
    <w:lvl w:ilvl="4">
      <w:start w:val="1"/>
      <w:numFmt w:val="decimal"/>
      <w:lvlText w:val="（%5）"/>
      <w:lvlJc w:val="start"/>
      <w:pPr>
        <w:tabs>
          <w:tab w:val="num" w:pos="0"/>
        </w:tabs>
        <w:ind w:start="0" w:firstLine="420"/>
      </w:pPr>
      <w:rPr/>
    </w:lvl>
    <w:lvl w:ilvl="5">
      <w:start w:val="1"/>
      <w:numFmt w:val="lowerLetter"/>
      <w:suff w:val="space"/>
      <w:lvlText w:val="%6. "/>
      <w:lvlJc w:val="start"/>
      <w:pPr>
        <w:tabs>
          <w:tab w:val="num" w:pos="0"/>
        </w:tabs>
        <w:ind w:start="0" w:firstLine="420"/>
      </w:pPr>
      <w:rPr/>
    </w:lvl>
    <w:lvl w:ilvl="6">
      <w:start w:val="1"/>
      <w:numFmt w:val="lowerLetter"/>
      <w:lvlText w:val="（%7）"/>
      <w:lvlJc w:val="start"/>
      <w:pPr>
        <w:tabs>
          <w:tab w:val="num" w:pos="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0"/>
        </w:tabs>
        <w:ind w:start="0" w:firstLine="420"/>
      </w:pPr>
      <w:rPr/>
    </w:lvl>
  </w:abstractNum>
  <w:abstractNum w:abstractNumId="3">
    <w:lvl w:ilvl="0">
      <w:start w:val="1"/>
      <w:numFmt w:val="chineseCountingThousand"/>
      <w:lvlText w:val="第%1条"/>
      <w:lvlJc w:val="start"/>
      <w:pPr>
        <w:tabs>
          <w:tab w:val="num" w:pos="0"/>
        </w:tabs>
        <w:ind w:start="1457" w:hanging="975"/>
      </w:pPr>
      <w:rPr>
        <w:b/>
        <w:rFonts w:cs="楷体"/>
        <w:lang w:val="en-US"/>
      </w:rPr>
    </w:lvl>
    <w:lvl w:ilvl="1">
      <w:start w:val="1"/>
      <w:numFmt w:val="lowerLetter"/>
      <w:lvlText w:val="%2)"/>
      <w:lvlJc w:val="start"/>
      <w:pPr>
        <w:tabs>
          <w:tab w:val="num" w:pos="0"/>
        </w:tabs>
        <w:ind w:start="1322" w:hanging="420"/>
      </w:pPr>
      <w:rPr/>
    </w:lvl>
    <w:lvl w:ilvl="2">
      <w:start w:val="1"/>
      <w:numFmt w:val="lowerRoman"/>
      <w:lvlText w:val="%3."/>
      <w:lvlJc w:val="end"/>
      <w:pPr>
        <w:tabs>
          <w:tab w:val="num" w:pos="0"/>
        </w:tabs>
        <w:ind w:start="1742" w:hanging="420"/>
      </w:pPr>
      <w:rPr/>
    </w:lvl>
    <w:lvl w:ilvl="3">
      <w:start w:val="1"/>
      <w:numFmt w:val="decimal"/>
      <w:lvlText w:val="%4."/>
      <w:lvlJc w:val="start"/>
      <w:pPr>
        <w:tabs>
          <w:tab w:val="num" w:pos="0"/>
        </w:tabs>
        <w:ind w:start="2162" w:hanging="420"/>
      </w:pPr>
      <w:rPr/>
    </w:lvl>
    <w:lvl w:ilvl="4">
      <w:start w:val="1"/>
      <w:numFmt w:val="lowerLetter"/>
      <w:lvlText w:val="%5)"/>
      <w:lvlJc w:val="start"/>
      <w:pPr>
        <w:tabs>
          <w:tab w:val="num" w:pos="0"/>
        </w:tabs>
        <w:ind w:start="2582" w:hanging="420"/>
      </w:pPr>
      <w:rPr/>
    </w:lvl>
    <w:lvl w:ilvl="5">
      <w:start w:val="1"/>
      <w:numFmt w:val="lowerRoman"/>
      <w:lvlText w:val="%6."/>
      <w:lvlJc w:val="end"/>
      <w:pPr>
        <w:tabs>
          <w:tab w:val="num" w:pos="0"/>
        </w:tabs>
        <w:ind w:start="3002" w:hanging="420"/>
      </w:pPr>
      <w:rPr/>
    </w:lvl>
    <w:lvl w:ilvl="6">
      <w:start w:val="1"/>
      <w:numFmt w:val="decimal"/>
      <w:lvlText w:val="%7."/>
      <w:lvlJc w:val="start"/>
      <w:pPr>
        <w:tabs>
          <w:tab w:val="num" w:pos="0"/>
        </w:tabs>
        <w:ind w:start="3422" w:hanging="420"/>
      </w:pPr>
      <w:rPr/>
    </w:lvl>
    <w:lvl w:ilvl="7">
      <w:start w:val="1"/>
      <w:numFmt w:val="lowerLetter"/>
      <w:lvlText w:val="%8)"/>
      <w:lvlJc w:val="start"/>
      <w:pPr>
        <w:tabs>
          <w:tab w:val="num" w:pos="0"/>
        </w:tabs>
        <w:ind w:start="3842" w:hanging="420"/>
      </w:pPr>
      <w:rPr/>
    </w:lvl>
    <w:lvl w:ilvl="8">
      <w:start w:val="1"/>
      <w:numFmt w:val="lowerRoman"/>
      <w:lvlText w:val="%9."/>
      <w:lvlJc w:val="end"/>
      <w:pPr>
        <w:tabs>
          <w:tab w:val="num" w:pos="0"/>
        </w:tabs>
        <w:ind w:start="4262" w:hanging="420"/>
      </w:pPr>
      <w:rPr/>
    </w:lvl>
  </w:abstractNum>
  <w:abstractNum w:abstractNumId="4">
    <w:lvl w:ilvl="0">
      <w:start w:val="1"/>
      <w:numFmt w:val="chineseCountingThousand"/>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00"/>
      <w:jc w:val="center"/>
    </w:pPr>
    <w:rPr>
      <w:rFonts w:ascii="宋体" w:hAnsi="宋体" w:eastAsia="宋体" w:cs="宋体"/>
      <w:b/>
      <w:color w:val="auto"/>
      <w:sz w:val="28"/>
      <w:szCs w:val="28"/>
      <w:lang w:val="en-US" w:eastAsia="zh-CN" w:bidi="ar-SA"/>
    </w:rPr>
  </w:style>
  <w:style w:type="paragraph" w:styleId="Heading2">
    <w:name w:val="Heading 2"/>
    <w:basedOn w:val="Normal"/>
    <w:next w:val="Normal"/>
    <w:qFormat/>
    <w:pPr>
      <w:keepNext w:val="true"/>
      <w:keepLines/>
      <w:numPr>
        <w:ilvl w:val="0"/>
        <w:numId w:val="2"/>
      </w:numPr>
      <w:spacing w:before="260" w:after="260"/>
      <w:outlineLvl w:val="1"/>
    </w:pPr>
    <w:rPr>
      <w:rFonts w:ascii="Arial" w:hAnsi="Arial" w:cs="Arial"/>
      <w:b w:val="false"/>
      <w:bCs/>
      <w:sz w:val="30"/>
      <w:szCs w:val="32"/>
    </w:rPr>
  </w:style>
  <w:style w:type="paragraph" w:styleId="Heading3">
    <w:name w:val="Heading 3"/>
    <w:basedOn w:val="Normal"/>
    <w:next w:val="Normal"/>
    <w:qFormat/>
    <w:pPr>
      <w:keepNext w:val="true"/>
      <w:keepLines/>
      <w:spacing w:lineRule="auto" w:line="415" w:before="260" w:after="260"/>
      <w:outlineLvl w:val="2"/>
    </w:pPr>
    <w:rPr>
      <w:b w:val="false"/>
      <w:bCs/>
      <w:sz w:val="32"/>
      <w:szCs w:val="32"/>
    </w:rPr>
  </w:style>
  <w:style w:type="character" w:styleId="WW8Num1z0">
    <w:name w:val="WW8Num1z0"/>
    <w:qFormat/>
    <w:rPr>
      <w:rFonts w:eastAsia="黑体"/>
      <w:b/>
      <w:i w:val="false"/>
      <w:sz w:val="30"/>
    </w:rPr>
  </w:style>
  <w:style w:type="character" w:styleId="WW8Num1z1">
    <w:name w:val="WW8Num1z1"/>
    <w:qFormat/>
    <w:rPr>
      <w:rFonts w:eastAsia="宋体"/>
      <w:b/>
      <w:i w:val="false"/>
      <w:color w:val="000000"/>
      <w:sz w:val="24"/>
    </w:rPr>
  </w:style>
  <w:style w:type="character" w:styleId="WW8Num1z2">
    <w:name w:val="WW8Num1z2"/>
    <w:qFormat/>
    <w:rPr>
      <w:color w:val="000000"/>
    </w:rPr>
  </w:style>
  <w:style w:type="character" w:styleId="WW8Num1z3">
    <w:name w:val="WW8Num1z3"/>
    <w:qFormat/>
    <w:rPr/>
  </w:style>
  <w:style w:type="character" w:styleId="WW8Num2z0">
    <w:name w:val="WW8Num2z0"/>
    <w:qFormat/>
    <w:rPr>
      <w:rFonts w:cs="楷体"/>
      <w:b/>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2">
    <w:name w:val="默认段落字体"/>
    <w:qFormat/>
    <w:rPr/>
  </w:style>
  <w:style w:type="character" w:styleId="PageNumber">
    <w:name w:val="Page Number"/>
    <w:basedOn w:val="Style12"/>
    <w:rPr/>
  </w:style>
  <w:style w:type="character" w:styleId="InternetLink">
    <w:name w:val="Hyperlink"/>
    <w:basedOn w:val="Style12"/>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Normal"/>
    <w:pPr>
      <w:numPr>
        <w:ilvl w:val="0"/>
        <w:numId w:val="2"/>
      </w:numPr>
      <w:tabs>
        <w:tab w:val="clear" w:pos="420"/>
        <w:tab w:val="left" w:pos="1140" w:leader="none"/>
      </w:tabs>
      <w:ind w:firstLine="178"/>
    </w:pPr>
    <w:rPr>
      <w:rFonts w:ascii="Times New Roman" w:hAnsi="Times New Roman" w:eastAsia="宋体"/>
      <w:b w:val="false"/>
      <w:bCs/>
      <w:sz w:val="24"/>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3">
    <w:name w:val="列表 3"/>
    <w:basedOn w:val="Normal"/>
    <w:qFormat/>
    <w:pPr>
      <w:numPr>
        <w:ilvl w:val="0"/>
        <w:numId w:val="2"/>
      </w:numPr>
      <w:tabs>
        <w:tab w:val="clear" w:pos="420"/>
        <w:tab w:val="left" w:pos="1141" w:leader="none"/>
      </w:tabs>
    </w:pPr>
    <w:rPr>
      <w:rFonts w:ascii="Times New Roman" w:hAnsi="Times New Roman" w:eastAsia="宋体"/>
      <w:b w:val="false"/>
      <w:bCs/>
      <w:sz w:val="24"/>
    </w:rPr>
  </w:style>
  <w:style w:type="paragraph" w:styleId="31">
    <w:name w:val="列表接续 3"/>
    <w:basedOn w:val="Normal"/>
    <w:qFormat/>
    <w:pPr>
      <w:numPr>
        <w:ilvl w:val="0"/>
        <w:numId w:val="2"/>
      </w:numPr>
      <w:tabs>
        <w:tab w:val="clear" w:pos="420"/>
        <w:tab w:val="left" w:pos="1140" w:leader="none"/>
        <w:tab w:val="left" w:pos="1860" w:leader="none"/>
      </w:tabs>
    </w:pPr>
    <w:rPr>
      <w:rFonts w:ascii="Times New Roman" w:hAnsi="Times New Roman" w:eastAsia="宋体"/>
      <w:b w:val="false"/>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spacing w:lineRule="atLeast" w:line="240"/>
      <w:jc w:val="start"/>
    </w:pPr>
    <w:rPr>
      <w:sz w:val="18"/>
      <w:szCs w:val="18"/>
    </w:rPr>
  </w:style>
  <w:style w:type="paragraph" w:styleId="5">
    <w:name w:val="列表 5"/>
    <w:basedOn w:val="Normal"/>
    <w:qFormat/>
    <w:pPr>
      <w:numPr>
        <w:ilvl w:val="0"/>
        <w:numId w:val="2"/>
      </w:numPr>
      <w:tabs>
        <w:tab w:val="clear" w:pos="420"/>
        <w:tab w:val="left" w:pos="1141" w:leader="none"/>
      </w:tabs>
    </w:pPr>
    <w:rPr>
      <w:rFonts w:ascii="Times New Roman" w:hAnsi="Times New Roman" w:eastAsia="宋体"/>
      <w:b w:val="false"/>
      <w:bCs/>
      <w:sz w:val="24"/>
    </w:rPr>
  </w:style>
  <w:style w:type="paragraph" w:styleId="Style13">
    <w:name w:val="批注框文本"/>
    <w:basedOn w:val="Normal"/>
    <w:qFormat/>
    <w:pPr/>
    <w:rPr>
      <w:sz w:val="18"/>
      <w:szCs w:val="18"/>
    </w:rPr>
  </w:style>
  <w:style w:type="paragraph" w:styleId="Style14">
    <w:name w:val="列表接续"/>
    <w:basedOn w:val="Normal"/>
    <w:qFormat/>
    <w:pPr>
      <w:numPr>
        <w:ilvl w:val="0"/>
        <w:numId w:val="2"/>
      </w:numPr>
      <w:tabs>
        <w:tab w:val="clear" w:pos="420"/>
        <w:tab w:val="left" w:pos="1141" w:leader="none"/>
        <w:tab w:val="left" w:pos="1500" w:leader="none"/>
      </w:tabs>
    </w:pPr>
    <w:rPr>
      <w:rFonts w:ascii="Times New Roman" w:hAnsi="Times New Roman" w:eastAsia="宋体"/>
      <w:b w:val="false"/>
      <w:sz w:val="24"/>
    </w:rPr>
  </w:style>
  <w:style w:type="paragraph" w:styleId="4">
    <w:name w:val="列表 4"/>
    <w:basedOn w:val="Normal"/>
    <w:qFormat/>
    <w:pPr>
      <w:numPr>
        <w:ilvl w:val="0"/>
        <w:numId w:val="2"/>
      </w:numPr>
      <w:tabs>
        <w:tab w:val="clear" w:pos="420"/>
        <w:tab w:val="left" w:pos="1141" w:leader="none"/>
        <w:tab w:val="left" w:pos="1500" w:leader="none"/>
      </w:tabs>
    </w:pPr>
    <w:rPr>
      <w:rFonts w:ascii="Times New Roman" w:hAnsi="Times New Roman" w:eastAsia="宋体"/>
      <w:b w:val="false"/>
      <w:bCs/>
      <w:sz w:val="24"/>
    </w:rPr>
  </w:style>
  <w:style w:type="paragraph" w:styleId="TextBodyIndent">
    <w:name w:val="Body Text Indent"/>
    <w:basedOn w:val="Normal"/>
    <w:pPr>
      <w:ind w:firstLine="200"/>
    </w:pPr>
    <w:rPr>
      <w:rFonts w:ascii="Times New Roman" w:hAnsi="Times New Roman" w:eastAsia="宋体"/>
      <w:b w:val="false"/>
      <w:sz w:val="24"/>
    </w:rPr>
  </w:style>
  <w:style w:type="paragraph" w:styleId="2">
    <w:name w:val="列表 2"/>
    <w:basedOn w:val="Normal"/>
    <w:qFormat/>
    <w:pPr>
      <w:numPr>
        <w:ilvl w:val="0"/>
        <w:numId w:val="2"/>
      </w:numPr>
      <w:tabs>
        <w:tab w:val="clear" w:pos="420"/>
        <w:tab w:val="left" w:pos="1141" w:leader="none"/>
        <w:tab w:val="left" w:pos="1500" w:leader="none"/>
      </w:tabs>
    </w:pPr>
    <w:rPr>
      <w:rFonts w:ascii="Times New Roman" w:hAnsi="Times New Roman" w:eastAsia="宋体"/>
      <w:b w:val="false"/>
      <w:bCs/>
      <w:sz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spacing w:lineRule="atLeast" w:line="240"/>
      <w:jc w:val="center"/>
    </w:pPr>
    <w:rPr>
      <w:sz w:val="18"/>
      <w:szCs w:val="18"/>
    </w:rPr>
  </w:style>
  <w:style w:type="paragraph" w:styleId="Contents2">
    <w:name w:val="TOC 2"/>
    <w:basedOn w:val="Normal"/>
    <w:next w:val="Normal"/>
    <w:pPr>
      <w:ind w:start="420" w:hanging="0"/>
    </w:pPr>
    <w:rPr/>
  </w:style>
  <w:style w:type="paragraph" w:styleId="21">
    <w:name w:val="列表接续 2"/>
    <w:basedOn w:val="Normal"/>
    <w:qFormat/>
    <w:pPr>
      <w:numPr>
        <w:ilvl w:val="0"/>
        <w:numId w:val="2"/>
      </w:numPr>
      <w:tabs>
        <w:tab w:val="clear" w:pos="420"/>
        <w:tab w:val="left" w:pos="1140" w:leader="none"/>
      </w:tabs>
    </w:pPr>
    <w:rPr>
      <w:rFonts w:ascii="Times New Roman" w:hAnsi="Times New Roman" w:eastAsia="宋体"/>
      <w:b w:val="false"/>
      <w:sz w:val="24"/>
    </w:rPr>
  </w:style>
  <w:style w:type="paragraph" w:styleId="Style15">
    <w:name w:val="正文 + 居中"/>
    <w:basedOn w:val="Heading3"/>
    <w:qFormat/>
    <w:pPr/>
    <w:rPr>
      <w:bCs w:val="false"/>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5760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2007-06-21T11:13:00Z</dcterms:created>
  <dc:creator>xuyf</dc:creator>
  <dc:description/>
  <dc:language>en-US</dc:language>
  <cp:lastModifiedBy>Administrator</cp:lastModifiedBy>
  <cp:lastPrinted>2007-06-06T11:52:00Z</cp:lastPrinted>
  <dcterms:modified xsi:type="dcterms:W3CDTF">2019-10-18T09:21:11Z</dcterms:modified>
  <cp:revision>83</cp:revision>
  <dc:subject/>
  <dc:title>武汉信昌机电技术服务有限公司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