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44"/>
          <w:szCs w:val="44"/>
          <w:highlight w:val="yellow"/>
        </w:rPr>
      </w:pPr>
      <w:r>
        <w:rPr>
          <w:rFonts w:hint="eastAsia" w:ascii="SimHei" w:hAnsi="SimHei" w:eastAsia="黑体" w:cs="楷体"/>
          <w:b/>
          <w:sz w:val="44"/>
          <w:szCs w:val="44"/>
          <w:highlight w:val="yellow"/>
        </w:rPr>
        <w:t>岗位序列</w:t>
      </w:r>
      <w:r>
        <w:rPr>
          <w:rFonts w:hint="eastAsia" w:ascii="SimHei" w:hAnsi="SimHei" w:eastAsia="黑体" w:cs="楷体"/>
          <w:b/>
          <w:sz w:val="44"/>
          <w:szCs w:val="44"/>
          <w:highlight w:val="yellow"/>
          <w:lang w:eastAsia="zh-CN"/>
        </w:rPr>
        <w:t>、</w:t>
      </w:r>
      <w:r>
        <w:rPr>
          <w:rFonts w:hint="eastAsia" w:ascii="SimHei" w:hAnsi="SimHei" w:eastAsia="黑体" w:cs="楷体"/>
          <w:b/>
          <w:sz w:val="44"/>
          <w:szCs w:val="44"/>
          <w:highlight w:val="yellow"/>
        </w:rPr>
        <w:t>职等职级</w:t>
      </w:r>
      <w:r>
        <w:rPr>
          <w:rFonts w:hint="eastAsia" w:ascii="SimHei" w:hAnsi="SimHei" w:eastAsia="黑体" w:cs="楷体"/>
          <w:b/>
          <w:sz w:val="44"/>
          <w:szCs w:val="44"/>
          <w:highlight w:val="yellow"/>
          <w:lang w:eastAsia="zh-CN"/>
        </w:rPr>
        <w:t>、薪酬</w:t>
      </w:r>
      <w:r>
        <w:rPr>
          <w:rFonts w:hint="eastAsia" w:ascii="SimHei" w:hAnsi="SimHei" w:eastAsia="黑体" w:cs="楷体"/>
          <w:b/>
          <w:sz w:val="44"/>
          <w:szCs w:val="44"/>
          <w:highlight w:val="yellow"/>
        </w:rPr>
        <w:t>管理规定</w:t>
      </w:r>
    </w:p>
    <w:p>
      <w:pPr>
        <w:pStyle w:val="7"/>
        <w:ind w:left="420" w:firstLine="0" w:firstLineChars="0"/>
        <w:rPr>
          <w:rFonts w:hint="eastAsia" w:ascii="楷体" w:hAnsi="楷体" w:eastAsia="楷体" w:cs="楷体"/>
        </w:rPr>
      </w:pPr>
    </w:p>
    <w:p>
      <w:pPr>
        <w:pStyle w:val="7"/>
        <w:numPr>
          <w:ilvl w:val="0"/>
          <w:numId w:val="1"/>
        </w:numPr>
        <w:ind w:firstLineChars="0"/>
        <w:rPr>
          <w:rFonts w:hint="eastAsia" w:ascii="楷体" w:hAnsi="楷体" w:eastAsia="楷体" w:cs="楷体"/>
          <w:b/>
          <w:sz w:val="30"/>
          <w:szCs w:val="30"/>
        </w:rPr>
      </w:pPr>
      <w:r>
        <w:rPr>
          <w:rFonts w:hint="eastAsia" w:ascii="SimHei" w:hAnsi="SimHei" w:eastAsia="黑体" w:cs="楷体"/>
          <w:b/>
          <w:sz w:val="30"/>
          <w:szCs w:val="30"/>
        </w:rPr>
        <w:t>目的</w:t>
      </w:r>
      <w:bookmarkStart w:id="0" w:name="_GoBack"/>
      <w:bookmarkEnd w:id="0"/>
    </w:p>
    <w:p>
      <w:pPr>
        <w:ind w:left="840" w:leftChars="400" w:firstLine="420" w:firstLineChars="20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为完善员工职级体系，建立人力资源系统化层级结构，为员工职业发展和薪资定级提供依据，特制定此管理规定。</w:t>
      </w:r>
    </w:p>
    <w:p>
      <w:pPr>
        <w:ind w:left="420" w:leftChars="200" w:firstLine="420" w:firstLineChars="200"/>
        <w:rPr>
          <w:rFonts w:hint="eastAsia" w:ascii="楷体" w:hAnsi="楷体" w:eastAsia="楷体" w:cs="楷体"/>
        </w:rPr>
      </w:pPr>
    </w:p>
    <w:p>
      <w:pPr>
        <w:pStyle w:val="7"/>
        <w:numPr>
          <w:ilvl w:val="0"/>
          <w:numId w:val="1"/>
        </w:numPr>
        <w:ind w:firstLineChars="0"/>
        <w:rPr>
          <w:rFonts w:hint="eastAsia" w:ascii="楷体" w:hAnsi="楷体" w:eastAsia="楷体" w:cs="楷体"/>
          <w:b/>
          <w:sz w:val="30"/>
          <w:szCs w:val="30"/>
        </w:rPr>
      </w:pPr>
      <w:r>
        <w:rPr>
          <w:rFonts w:hint="eastAsia" w:ascii="SimHei" w:hAnsi="SimHei" w:eastAsia="黑体" w:cs="楷体"/>
          <w:b/>
          <w:sz w:val="30"/>
          <w:szCs w:val="30"/>
        </w:rPr>
        <w:t>适用范围</w:t>
      </w:r>
    </w:p>
    <w:p>
      <w:pPr>
        <w:ind w:left="420" w:leftChars="200" w:firstLine="420" w:firstLineChars="20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公司全体员工</w:t>
      </w:r>
    </w:p>
    <w:p>
      <w:pPr>
        <w:ind w:left="420"/>
        <w:rPr>
          <w:rFonts w:hint="eastAsia" w:ascii="楷体" w:hAnsi="楷体" w:eastAsia="楷体" w:cs="楷体"/>
        </w:rPr>
      </w:pPr>
    </w:p>
    <w:p>
      <w:pPr>
        <w:pStyle w:val="7"/>
        <w:numPr>
          <w:ilvl w:val="0"/>
          <w:numId w:val="1"/>
        </w:numPr>
        <w:ind w:firstLineChars="0"/>
        <w:rPr>
          <w:rFonts w:hint="eastAsia" w:ascii="楷体" w:hAnsi="楷体" w:eastAsia="楷体" w:cs="楷体"/>
          <w:b/>
          <w:sz w:val="30"/>
          <w:szCs w:val="30"/>
        </w:rPr>
      </w:pPr>
      <w:r>
        <w:rPr>
          <w:rFonts w:hint="eastAsia" w:ascii="SimHei" w:hAnsi="SimHei" w:eastAsia="黑体" w:cs="楷体"/>
          <w:b/>
          <w:sz w:val="30"/>
          <w:szCs w:val="30"/>
        </w:rPr>
        <w:t>定义与内容</w:t>
      </w:r>
    </w:p>
    <w:p>
      <w:pPr>
        <w:pStyle w:val="7"/>
        <w:numPr>
          <w:ilvl w:val="0"/>
          <w:numId w:val="2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岗位序列</w:t>
      </w:r>
    </w:p>
    <w:p>
      <w:pPr>
        <w:pStyle w:val="7"/>
        <w:ind w:left="720" w:firstLine="0"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岗位性质是针对岗位性质和要求相近的岗位进行分类。公司的岗位序列分为两大类：管理序列（M），专业序列（P）。</w:t>
      </w:r>
    </w:p>
    <w:p>
      <w:pPr>
        <w:pStyle w:val="7"/>
        <w:numPr>
          <w:ilvl w:val="0"/>
          <w:numId w:val="3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管理序列（Management 简称M类）：适用于从事管理工作，具有人员管理权限（不包括师徒关系、业务辅导关系），带领团队运作指定业务的岗位。</w:t>
      </w:r>
    </w:p>
    <w:p>
      <w:pPr>
        <w:pStyle w:val="7"/>
        <w:numPr>
          <w:ilvl w:val="0"/>
          <w:numId w:val="3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专业序列（Professional 简称P类）：适用于从事产品设计、运营、市场、销售、人事、财务、信息技术服务工作等岗位。</w:t>
      </w:r>
    </w:p>
    <w:p>
      <w:pPr>
        <w:pStyle w:val="7"/>
        <w:numPr>
          <w:ilvl w:val="0"/>
          <w:numId w:val="2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 xml:space="preserve">职等 </w:t>
      </w:r>
    </w:p>
    <w:p>
      <w:pPr>
        <w:pStyle w:val="7"/>
        <w:numPr>
          <w:ilvl w:val="0"/>
          <w:numId w:val="4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定义：指针对员工承担责任、知识经验和技能多寡等能力差异而进行的划分。</w:t>
      </w:r>
    </w:p>
    <w:p>
      <w:pPr>
        <w:pStyle w:val="7"/>
        <w:numPr>
          <w:ilvl w:val="0"/>
          <w:numId w:val="4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划分：M序列和P序列</w:t>
      </w:r>
      <w:r>
        <w:rPr>
          <w:rFonts w:hint="eastAsia" w:ascii="SimHei" w:hAnsi="SimHei" w:eastAsia="黑体" w:cs="楷体"/>
          <w:lang w:eastAsia="zh-CN"/>
        </w:rPr>
        <w:t>职等以</w:t>
      </w:r>
      <w:r>
        <w:rPr>
          <w:rFonts w:hint="eastAsia" w:ascii="SimHei" w:hAnsi="SimHei" w:eastAsia="黑体" w:cs="楷体"/>
          <w:lang w:val="en-US" w:eastAsia="zh-CN"/>
        </w:rPr>
        <w:t>BAND划分</w:t>
      </w:r>
      <w:r>
        <w:rPr>
          <w:rFonts w:hint="eastAsia" w:ascii="SimHei" w:hAnsi="SimHei" w:eastAsia="黑体" w:cs="楷体"/>
        </w:rPr>
        <w:t>，</w:t>
      </w:r>
      <w:r>
        <w:rPr>
          <w:rFonts w:hint="eastAsia" w:ascii="SimHei" w:hAnsi="SimHei" w:eastAsia="黑体" w:cs="楷体"/>
          <w:lang w:eastAsia="zh-CN"/>
        </w:rPr>
        <w:t>共</w:t>
      </w:r>
      <w:r>
        <w:rPr>
          <w:rFonts w:hint="eastAsia" w:ascii="SimHei" w:hAnsi="SimHei" w:eastAsia="黑体" w:cs="楷体"/>
          <w:lang w:val="en-US" w:eastAsia="zh-CN"/>
        </w:rPr>
        <w:t>12等，</w:t>
      </w:r>
      <w:r>
        <w:rPr>
          <w:rFonts w:hint="eastAsia" w:ascii="SimHei" w:hAnsi="SimHei" w:eastAsia="黑体" w:cs="楷体"/>
        </w:rPr>
        <w:t>由低到高分别为</w:t>
      </w:r>
      <w:r>
        <w:rPr>
          <w:rFonts w:hint="eastAsia" w:ascii="SimHei" w:hAnsi="SimHei" w:eastAsia="黑体" w:cs="楷体"/>
          <w:lang w:val="en-US" w:eastAsia="zh-CN"/>
        </w:rPr>
        <w:t>BAND1至BAND12</w:t>
      </w:r>
      <w:r>
        <w:rPr>
          <w:rFonts w:hint="eastAsia" w:ascii="SimHei" w:hAnsi="SimHei" w:eastAsia="黑体" w:cs="楷体"/>
        </w:rPr>
        <w:t>。</w:t>
      </w:r>
    </w:p>
    <w:tbl>
      <w:tblPr>
        <w:tblStyle w:val="4"/>
        <w:tblW w:w="83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"/>
        <w:gridCol w:w="1155"/>
        <w:gridCol w:w="1075"/>
        <w:gridCol w:w="2258"/>
        <w:gridCol w:w="1511"/>
        <w:gridCol w:w="1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9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职</w:t>
            </w: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等职级</w:t>
            </w: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职等</w:t>
            </w: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分级</w:t>
            </w:r>
          </w:p>
        </w:tc>
        <w:tc>
          <w:tcPr>
            <w:tcW w:w="333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管理序列 M</w:t>
            </w:r>
          </w:p>
        </w:tc>
        <w:tc>
          <w:tcPr>
            <w:tcW w:w="3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专业序列 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岗位级别</w:t>
            </w:r>
          </w:p>
        </w:tc>
        <w:tc>
          <w:tcPr>
            <w:tcW w:w="10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职务等级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职称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职务等级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BAND12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决策层</w:t>
            </w:r>
          </w:p>
        </w:tc>
        <w:tc>
          <w:tcPr>
            <w:tcW w:w="10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M8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总经理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4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BAND11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M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副总经理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4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BAND10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高层管理</w:t>
            </w:r>
          </w:p>
        </w:tc>
        <w:tc>
          <w:tcPr>
            <w:tcW w:w="10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M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6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高级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一级中心总监（分公司总经理）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4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BAND9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M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一级中心总监</w:t>
            </w:r>
          </w:p>
        </w:tc>
        <w:tc>
          <w:tcPr>
            <w:tcW w:w="15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4" w:type="dxa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BAND8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中层管理</w:t>
            </w:r>
          </w:p>
        </w:tc>
        <w:tc>
          <w:tcPr>
            <w:tcW w:w="10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M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高级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部门经理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P8</w:t>
            </w:r>
          </w:p>
        </w:tc>
        <w:tc>
          <w:tcPr>
            <w:tcW w:w="16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首席专家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BAND7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M3 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中级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部门经理</w:t>
            </w: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P7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资深专家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BAND6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M2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初级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部门经理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P6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高级专家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BAND5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M1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主管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P5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BAND4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基层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8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P4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高级专员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BAND3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8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P3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BAND2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8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P2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BAND1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3" w:type="dxa"/>
            <w:gridSpan w:val="2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P1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实习生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 w:ascii="楷体" w:hAnsi="楷体" w:eastAsia="楷体" w:cs="楷体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  4.职等薪酬带宽</w:t>
      </w:r>
    </w:p>
    <w:tbl>
      <w:tblPr>
        <w:tblStyle w:val="4"/>
        <w:tblW w:w="84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0"/>
        <w:gridCol w:w="1905"/>
        <w:gridCol w:w="2535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8445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969696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M1-M8薪酬带宽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薪酬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带宽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总经理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40K以上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副总经理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30K-40K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高级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一级中心总监（分公司总经理）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23K-30K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一级中心总监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18K-23K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高级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部门经理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15K-18K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M3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中级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部门经理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12K-15K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初级</w:t>
            </w: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部门经理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10K-12K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主管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8K-10K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45" w:type="dxa"/>
            <w:gridSpan w:val="4"/>
            <w:tcBorders>
              <w:left w:val="double" w:color="000000" w:sz="4" w:space="0"/>
              <w:right w:val="double" w:color="000000" w:sz="4" w:space="0"/>
            </w:tcBorders>
            <w:shd w:val="clear" w:color="auto" w:fill="FF990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P1-P8薪酬带宽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职级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薪酬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CC9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带宽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首席专家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15K-18K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资深专家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12K-15K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高级专家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10K-12K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专家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8K-10K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高级专员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6K-8K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专员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4K-6K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助理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3K-4K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770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实习生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2K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</w:tr>
    </w:tbl>
    <w:p>
      <w:pPr>
        <w:pStyle w:val="7"/>
        <w:numPr>
          <w:ilvl w:val="0"/>
          <w:numId w:val="0"/>
        </w:numPr>
        <w:ind w:leftChars="0"/>
        <w:rPr>
          <w:rFonts w:hint="eastAsia" w:ascii="楷体" w:hAnsi="楷体" w:eastAsia="楷体" w:cs="楷体"/>
          <w:lang w:val="en-US" w:eastAsia="zh-CN"/>
        </w:rPr>
      </w:pPr>
    </w:p>
    <w:p>
      <w:pPr>
        <w:pStyle w:val="7"/>
        <w:numPr>
          <w:ilvl w:val="0"/>
          <w:numId w:val="2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职级</w:t>
      </w:r>
    </w:p>
    <w:p>
      <w:pPr>
        <w:pStyle w:val="7"/>
        <w:numPr>
          <w:ilvl w:val="0"/>
          <w:numId w:val="5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定义：指针对同一职等下从事业务广度和深度等级而进行的划分。</w:t>
      </w:r>
    </w:p>
    <w:p>
      <w:pPr>
        <w:pStyle w:val="7"/>
        <w:numPr>
          <w:ilvl w:val="0"/>
          <w:numId w:val="5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划分：</w:t>
      </w:r>
      <w:r>
        <w:rPr>
          <w:rFonts w:hint="eastAsia" w:ascii="SimHei" w:hAnsi="SimHei" w:eastAsia="黑体" w:cs="楷体"/>
          <w:lang w:eastAsia="zh-CN"/>
        </w:rPr>
        <w:t>除</w:t>
      </w:r>
      <w:r>
        <w:rPr>
          <w:rFonts w:hint="eastAsia" w:ascii="SimHei" w:hAnsi="SimHei" w:eastAsia="黑体" w:cs="楷体"/>
          <w:lang w:val="en-US" w:eastAsia="zh-CN"/>
        </w:rPr>
        <w:t>BAND1、BAND11、BAND12外，</w:t>
      </w:r>
      <w:r>
        <w:rPr>
          <w:rFonts w:hint="eastAsia" w:ascii="SimHei" w:hAnsi="SimHei" w:eastAsia="黑体" w:cs="楷体"/>
          <w:lang w:eastAsia="zh-CN"/>
        </w:rPr>
        <w:t>每个职等下设</w:t>
      </w:r>
      <w:r>
        <w:rPr>
          <w:rFonts w:hint="eastAsia" w:ascii="SimHei" w:hAnsi="SimHei" w:eastAsia="黑体" w:cs="楷体"/>
          <w:lang w:val="en-US" w:eastAsia="zh-CN"/>
        </w:rPr>
        <w:t>3个职级（CBA），A级最高，B级中间，C级最低。职级对应的薪酬如下：</w:t>
      </w:r>
    </w:p>
    <w:tbl>
      <w:tblPr>
        <w:tblStyle w:val="4"/>
        <w:tblW w:w="83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3"/>
        <w:gridCol w:w="1667"/>
        <w:gridCol w:w="953"/>
        <w:gridCol w:w="952"/>
        <w:gridCol w:w="1390"/>
        <w:gridCol w:w="952"/>
        <w:gridCol w:w="516"/>
        <w:gridCol w:w="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336" w:type="dxa"/>
            <w:gridSpan w:val="8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职级对应薪酬表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序列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职级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序列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职级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薪酬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带宽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等级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对应薪酬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953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M8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总经理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40K以上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40000以上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M7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副总经理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30K-40K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36600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53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M6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高级一级中心总监（分公司总经理）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23K-30K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7000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27600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25300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M5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一级中心总监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序列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职级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18K-23K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5000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M4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高级部门经理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P8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首席专家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15K-18K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M3 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中级部门经理B档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P7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资深专家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12K-15K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3000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M2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初级部门经理C档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P6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高级专家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10K-12K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M1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主管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P5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专家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8K-10K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P4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高级专员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6K-8K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P3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专员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4K-6K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P2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助理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3K-4K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A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C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P1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实习生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2K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53" w:type="dxa"/>
            <w:tcBorders>
              <w:lef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953" w:type="dxa"/>
            <w:tcBorders>
              <w:left w:val="doub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7"/>
        <w:numPr>
          <w:ilvl w:val="0"/>
          <w:numId w:val="0"/>
        </w:numPr>
        <w:rPr>
          <w:rFonts w:hint="eastAsia" w:ascii="楷体" w:hAnsi="楷体" w:eastAsia="楷体" w:cs="楷体"/>
        </w:rPr>
      </w:pPr>
    </w:p>
    <w:p>
      <w:pPr>
        <w:pStyle w:val="7"/>
        <w:numPr>
          <w:ilvl w:val="0"/>
          <w:numId w:val="5"/>
        </w:numPr>
        <w:ind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  <w:lang w:val="en-US" w:eastAsia="zh-CN"/>
        </w:rPr>
        <w:t>定级：</w:t>
      </w:r>
      <w:r>
        <w:rPr>
          <w:rFonts w:hint="eastAsia" w:ascii="SimHei" w:hAnsi="SimHei" w:eastAsia="黑体" w:cs="楷体"/>
          <w:lang w:val="en-US"/>
        </w:rPr>
        <w:t>新入职人员的职级一般定C，个别优秀人员可达B，原则上不定A。</w:t>
      </w:r>
    </w:p>
    <w:p>
      <w:pPr>
        <w:pStyle w:val="7"/>
        <w:numPr>
          <w:ilvl w:val="0"/>
          <w:numId w:val="6"/>
        </w:num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>职级升降</w:t>
      </w:r>
    </w:p>
    <w:p>
      <w:pPr>
        <w:pStyle w:val="7"/>
        <w:numPr>
          <w:ilvl w:val="0"/>
          <w:numId w:val="0"/>
        </w:num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  1.  271评选</w:t>
      </w:r>
    </w:p>
    <w:p>
      <w:pPr>
        <w:pStyle w:val="7"/>
        <w:numPr>
          <w:ilvl w:val="0"/>
          <w:numId w:val="0"/>
        </w:num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     2.1评选规则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287"/>
        <w:gridCol w:w="2287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能力分级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人数比例</w:t>
            </w:r>
          </w:p>
        </w:tc>
        <w:tc>
          <w:tcPr>
            <w:tcW w:w="2287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定义说明</w:t>
            </w:r>
          </w:p>
        </w:tc>
        <w:tc>
          <w:tcPr>
            <w:tcW w:w="2287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优秀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20%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/>
              </w:rPr>
              <w:t>超出该职位要求，具备胜任下一职位的潜力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胜任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30%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完全</w:t>
            </w:r>
            <w:r>
              <w:rPr>
                <w:rFonts w:hint="eastAsia" w:ascii="SimHei" w:hAnsi="SimHei" w:eastAsia="黑体" w:cs="楷体"/>
                <w:lang w:val="en-US"/>
              </w:rPr>
              <w:t>胜任该职位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一般胜任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40%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/>
              </w:rPr>
              <w:t>具备胜任该职位的潜力，但需要通过阶段性的工作实践和能力提升才能完全胜任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差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10%</w:t>
            </w:r>
          </w:p>
        </w:tc>
        <w:tc>
          <w:tcPr>
            <w:tcW w:w="2287" w:type="dxa"/>
            <w:vMerge w:val="continue"/>
            <w:vAlign w:val="center"/>
          </w:tcPr>
          <w:p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C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     2.2 评选方法见绩效考核方案。</w:t>
      </w:r>
    </w:p>
    <w:p>
      <w:pPr>
        <w:pStyle w:val="7"/>
        <w:numPr>
          <w:ilvl w:val="0"/>
          <w:numId w:val="0"/>
        </w:numPr>
        <w:ind w:left="720" w:left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  <w:lang w:val="en-US" w:eastAsia="zh-CN"/>
        </w:rPr>
        <w:t xml:space="preserve">2.  </w:t>
      </w:r>
      <w:r>
        <w:rPr>
          <w:rFonts w:hint="eastAsia" w:ascii="SimHei" w:hAnsi="SimHei" w:eastAsia="黑体" w:cs="楷体"/>
          <w:lang w:eastAsia="zh-CN"/>
        </w:rPr>
        <w:t>晋升</w:t>
      </w:r>
    </w:p>
    <w:p>
      <w:pPr>
        <w:pStyle w:val="7"/>
        <w:numPr>
          <w:ilvl w:val="0"/>
          <w:numId w:val="0"/>
        </w:numPr>
        <w:ind w:left="720" w:leftChars="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2.1晋升</w:t>
      </w:r>
      <w:r>
        <w:rPr>
          <w:rFonts w:hint="eastAsia" w:ascii="SimHei" w:hAnsi="SimHei" w:eastAsia="黑体" w:cs="楷体"/>
          <w:lang w:eastAsia="zh-CN"/>
        </w:rPr>
        <w:t>规则：原则上遵循逐级晋升原则，职级按</w:t>
      </w:r>
      <w:r>
        <w:rPr>
          <w:rFonts w:hint="eastAsia" w:ascii="SimHei" w:hAnsi="SimHei" w:eastAsia="黑体" w:cs="楷体"/>
          <w:lang w:val="en-US" w:eastAsia="zh-CN"/>
        </w:rPr>
        <w:t>C、B、A逐级晋升；职级达到A方可进行下一职等，且新职等C起步；特殊情况一次晋升职级不得超过三级。</w:t>
      </w:r>
    </w:p>
    <w:p>
      <w:pPr>
        <w:pStyle w:val="7"/>
        <w:numPr>
          <w:ilvl w:val="0"/>
          <w:numId w:val="0"/>
        </w:numPr>
        <w:ind w:left="720" w:leftChars="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2.2晋升准入资格：即员工必须是当期271评选中“2”类员工，且上一周期非“1”类员工；上一周期内受到公司相关处罚人员者（如指标未达成，价值观不匹配），公司有权取消晋升资格。</w:t>
      </w:r>
    </w:p>
    <w:p>
      <w:pPr>
        <w:pStyle w:val="7"/>
        <w:numPr>
          <w:ilvl w:val="0"/>
          <w:numId w:val="0"/>
        </w:numPr>
        <w:ind w:left="720" w:leftChars="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2.3晋升评估标准</w:t>
      </w:r>
    </w:p>
    <w:tbl>
      <w:tblPr>
        <w:tblStyle w:val="4"/>
        <w:tblW w:w="83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dotted" w:color="000000" w:sz="4" w:space="0"/>
          <w:insideV w:val="dotted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716"/>
        <w:gridCol w:w="717"/>
        <w:gridCol w:w="718"/>
        <w:gridCol w:w="711"/>
        <w:gridCol w:w="714"/>
        <w:gridCol w:w="1168"/>
        <w:gridCol w:w="1331"/>
        <w:gridCol w:w="13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晋升至</w:t>
            </w:r>
          </w:p>
        </w:tc>
        <w:tc>
          <w:tcPr>
            <w:tcW w:w="2862" w:type="dxa"/>
            <w:gridSpan w:val="4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资历</w:t>
            </w: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绩效指标</w:t>
            </w:r>
          </w:p>
        </w:tc>
        <w:tc>
          <w:tcPr>
            <w:tcW w:w="2662" w:type="dxa"/>
            <w:gridSpan w:val="2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管理指标（仅限M）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930" w:type="dxa"/>
            <w:vMerge w:val="continue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最高学历</w:t>
            </w: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br/>
            </w: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（不低于）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司龄</w:t>
            </w: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br/>
            </w: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（不少于）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本岗任职时间</w:t>
            </w: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br/>
            </w: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（不少于）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不良记录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本期271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业绩指标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人才培养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员工流失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BAND3</w:t>
            </w: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大专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0.25Y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0.25Y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同岗位排名前20%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/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BAND4</w:t>
            </w: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大专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0.5Y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0.5Y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同岗位排名前20%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/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BAND5</w:t>
            </w: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本科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0.5Y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1Y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同岗位排名前20%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至少培养出梯队1人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无群体性离职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BAND6</w:t>
            </w: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本科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0.5Y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1Y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同岗位排名前20%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至少培养出梯队2人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无群体性离职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BAND7</w:t>
            </w: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本科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0.5Y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1.5Y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同岗位排名前20%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至少培养出梯队3人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无群体性离职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BAND8</w:t>
            </w: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本科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0.5Y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1.5Y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同岗位排名前20%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至少培养出梯队4人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无群体性离职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BAND9</w:t>
            </w: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本科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0.5Y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2Y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同岗位排名前20%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至少培养出1人接班人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无群体性离职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BAND10</w:t>
            </w: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本科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0.5Y</w:t>
            </w:r>
          </w:p>
        </w:tc>
        <w:tc>
          <w:tcPr>
            <w:tcW w:w="71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2Y</w:t>
            </w:r>
          </w:p>
        </w:tc>
        <w:tc>
          <w:tcPr>
            <w:tcW w:w="71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无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/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/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Hei" w:hAnsi="SimHei" w:eastAsia="黑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/</w:t>
            </w:r>
          </w:p>
        </w:tc>
      </w:tr>
    </w:tbl>
    <w:p>
      <w:pPr>
        <w:pStyle w:val="7"/>
        <w:numPr>
          <w:ilvl w:val="0"/>
          <w:numId w:val="0"/>
        </w:numPr>
        <w:ind w:left="720" w:leftChars="0"/>
        <w:rPr>
          <w:rFonts w:hint="eastAsia" w:ascii="楷体" w:hAnsi="楷体" w:eastAsia="楷体" w:cs="楷体"/>
          <w:lang w:val="en-US" w:eastAsia="zh-CN"/>
        </w:rPr>
      </w:pPr>
    </w:p>
    <w:p>
      <w:pPr>
        <w:pStyle w:val="7"/>
        <w:numPr>
          <w:ilvl w:val="0"/>
          <w:numId w:val="0"/>
        </w:numPr>
        <w:ind w:left="720" w:left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  <w:lang w:val="en-US" w:eastAsia="zh-CN"/>
        </w:rPr>
        <w:t xml:space="preserve">   2.4晋升周期：每年10月份一次。</w:t>
      </w:r>
    </w:p>
    <w:p>
      <w:pPr>
        <w:pStyle w:val="7"/>
        <w:numPr>
          <w:ilvl w:val="0"/>
          <w:numId w:val="0"/>
        </w:numPr>
        <w:ind w:left="720" w:left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  <w:lang w:val="en-US" w:eastAsia="zh-CN"/>
        </w:rPr>
        <w:t>3.  降级</w:t>
      </w:r>
    </w:p>
    <w:p>
      <w:pPr>
        <w:pStyle w:val="7"/>
        <w:numPr>
          <w:ilvl w:val="0"/>
          <w:numId w:val="0"/>
        </w:numPr>
        <w:ind w:left="720" w:leftChars="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3.1降级规则：员工未达成考核指标，被评选为271的“1”类，触及公司红线及其他公司规定的情况。</w:t>
      </w:r>
    </w:p>
    <w:p>
      <w:pPr>
        <w:pStyle w:val="7"/>
        <w:numPr>
          <w:ilvl w:val="0"/>
          <w:numId w:val="0"/>
        </w:numPr>
        <w:ind w:left="720" w:leftChars="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3.2降级周期：无固定周期。</w:t>
      </w:r>
    </w:p>
    <w:p>
      <w:pPr>
        <w:pStyle w:val="7"/>
        <w:numPr>
          <w:ilvl w:val="0"/>
          <w:numId w:val="7"/>
        </w:num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>薪酬调整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 1.  </w:t>
      </w:r>
      <w:r>
        <w:rPr>
          <w:rFonts w:hint="eastAsia" w:ascii="SimHei" w:hAnsi="SimHei" w:eastAsia="黑体" w:cs="楷体"/>
        </w:rPr>
        <w:t>定义：</w:t>
      </w:r>
      <w:r>
        <w:rPr>
          <w:rFonts w:hint="eastAsia" w:ascii="SimHei" w:hAnsi="SimHei" w:eastAsia="黑体" w:cs="楷体"/>
          <w:lang w:eastAsia="zh-CN"/>
        </w:rPr>
        <w:t>指因职务级别、任职岗位、用工性质、工作表现等因素发生变化而对薪资构成或标准进行相应调整的行为。正常调薪包括转正调薪、异动调薪、晋升调薪。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</w:t>
      </w:r>
      <w:r>
        <w:rPr>
          <w:rFonts w:hint="eastAsia" w:ascii="SimHei" w:hAnsi="SimHei" w:eastAsia="黑体" w:cs="楷体"/>
          <w:lang w:eastAsia="zh-CN"/>
        </w:rPr>
        <w:t>转正调薪是指新入职员工自《转正申请》审批通过后，按照实际转正时间调整为转正薪资，享有正式员工的同等福利；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异动调薪是指由于员工职务、岗位等异动而引起的薪资调整；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晋升调薪是指由于员工职务提升引起的薪资调整。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 2.  调整方案：采用年度加薪和期权管理结合的方式。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2.1年度加薪：</w:t>
      </w:r>
    </w:p>
    <w:tbl>
      <w:tblPr>
        <w:tblStyle w:val="5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751"/>
        <w:gridCol w:w="2379"/>
        <w:gridCol w:w="2376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7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4月份加薪</w:t>
            </w:r>
          </w:p>
        </w:tc>
        <w:tc>
          <w:tcPr>
            <w:tcW w:w="751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普调</w:t>
            </w:r>
          </w:p>
        </w:tc>
        <w:tc>
          <w:tcPr>
            <w:tcW w:w="237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跟随型薪酬策略</w:t>
            </w:r>
          </w:p>
        </w:tc>
        <w:tc>
          <w:tcPr>
            <w:tcW w:w="2376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全员性的长期性激励，保持薪酬福利的一般性竞争力。</w:t>
            </w:r>
          </w:p>
        </w:tc>
        <w:tc>
          <w:tcPr>
            <w:tcW w:w="2368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政府公布的上一年度工资增长指导线最低值（员工工资的5%左右）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7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10月份加薪</w:t>
            </w:r>
          </w:p>
        </w:tc>
        <w:tc>
          <w:tcPr>
            <w:tcW w:w="751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点调</w:t>
            </w:r>
          </w:p>
        </w:tc>
        <w:tc>
          <w:tcPr>
            <w:tcW w:w="237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领先型薪酬策略</w:t>
            </w:r>
          </w:p>
        </w:tc>
        <w:tc>
          <w:tcPr>
            <w:tcW w:w="2376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特定人群（20%优秀员工）的长期激励，保证优秀员工薪酬的领先，跟随公司长期发展</w:t>
            </w:r>
          </w:p>
        </w:tc>
        <w:tc>
          <w:tcPr>
            <w:tcW w:w="2368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SimHei" w:hAnsi="SimHei" w:eastAsia="黑体" w:cs="楷体"/>
                <w:lang w:val="en-US" w:eastAsia="zh-CN"/>
              </w:rPr>
              <w:t>前半年月平均底薪的4%</w:t>
            </w:r>
          </w:p>
        </w:tc>
      </w:tr>
    </w:tbl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2.2期权管理：针对特定人群的长期激励，锁定高贡献/价值的员工，确保其较长的服务期。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2.2.1发放前提：年度经营计划目标达成率&gt;100%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2.2.2期权总池：2%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2.2.3适应对象：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sz w:val="18"/>
          <w:szCs w:val="18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  </w:t>
      </w:r>
      <w:r>
        <w:rPr>
          <w:rFonts w:hint="eastAsia" w:ascii="SimHei" w:hAnsi="SimHei" w:eastAsia="黑体" w:cs="楷体"/>
          <w:sz w:val="18"/>
          <w:szCs w:val="18"/>
          <w:lang w:val="en-US" w:eastAsia="zh-CN"/>
        </w:rPr>
        <w:t>BAND5及以上且司龄满1年的员工；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sz w:val="18"/>
          <w:szCs w:val="18"/>
          <w:lang w:val="en-US" w:eastAsia="zh-CN"/>
        </w:rPr>
      </w:pPr>
      <w:r>
        <w:rPr>
          <w:rFonts w:hint="eastAsia" w:ascii="SimHei" w:hAnsi="SimHei" w:eastAsia="黑体" w:cs="楷体"/>
          <w:sz w:val="18"/>
          <w:szCs w:val="18"/>
          <w:lang w:val="en-US" w:eastAsia="zh-CN"/>
        </w:rPr>
        <w:t xml:space="preserve">        BAND4及以下且司龄满4年的员工；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sz w:val="18"/>
          <w:szCs w:val="18"/>
          <w:lang w:val="en-US" w:eastAsia="zh-CN"/>
        </w:rPr>
      </w:pPr>
      <w:r>
        <w:rPr>
          <w:rFonts w:hint="eastAsia" w:ascii="SimHei" w:hAnsi="SimHei" w:eastAsia="黑体" w:cs="楷体"/>
          <w:sz w:val="18"/>
          <w:szCs w:val="18"/>
          <w:lang w:val="en-US" w:eastAsia="zh-CN"/>
        </w:rPr>
        <w:t xml:space="preserve">        新入职授予BAND9及以上的员工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2.2.4分配规则：</w:t>
      </w:r>
    </w:p>
    <w:p>
      <w:pPr>
        <w:pStyle w:val="7"/>
        <w:numPr>
          <w:ilvl w:val="0"/>
          <w:numId w:val="0"/>
        </w:numPr>
        <w:ind w:leftChars="200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SimHei" w:hAnsi="SimHei" w:eastAsia="黑体" w:cs="楷体"/>
          <w:lang w:val="en-US" w:eastAsia="zh-CN"/>
        </w:rPr>
        <w:t xml:space="preserve">       </w:t>
      </w:r>
      <w:r>
        <w:rPr>
          <w:rFonts w:hint="eastAsia" w:ascii="SimHei" w:hAnsi="SimHei" w:eastAsia="黑体" w:cs="楷体"/>
          <w:sz w:val="18"/>
          <w:szCs w:val="18"/>
          <w:lang w:val="en-US" w:eastAsia="zh-CN"/>
        </w:rPr>
        <w:t>员工最大被授予期权股数=当期发放基础系数*271系数*职等系数*司龄系数* 贡献系数</w:t>
      </w:r>
    </w:p>
    <w:p>
      <w:pPr>
        <w:pStyle w:val="7"/>
        <w:ind w:left="0" w:leftChars="0" w:firstLine="0" w:firstLineChars="0"/>
        <w:rPr>
          <w:rFonts w:hint="eastAsia" w:ascii="楷体" w:hAnsi="楷体" w:eastAsia="楷体" w:cs="楷体"/>
        </w:rPr>
      </w:pPr>
    </w:p>
    <w:p>
      <w:pPr>
        <w:pStyle w:val="7"/>
        <w:numPr>
          <w:ilvl w:val="0"/>
          <w:numId w:val="1"/>
        </w:numPr>
        <w:ind w:firstLineChars="0"/>
        <w:rPr>
          <w:rFonts w:hint="eastAsia" w:ascii="楷体" w:hAnsi="楷体" w:eastAsia="楷体" w:cs="楷体"/>
          <w:b/>
          <w:sz w:val="30"/>
          <w:szCs w:val="30"/>
        </w:rPr>
      </w:pPr>
      <w:r>
        <w:rPr>
          <w:rFonts w:hint="eastAsia" w:ascii="SimHei" w:hAnsi="SimHei" w:eastAsia="黑体" w:cs="楷体"/>
          <w:b/>
          <w:sz w:val="30"/>
          <w:szCs w:val="30"/>
        </w:rPr>
        <w:t>生效之日</w:t>
      </w:r>
    </w:p>
    <w:p>
      <w:pPr>
        <w:pStyle w:val="7"/>
        <w:ind w:left="720" w:firstLine="0"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本规定</w:t>
      </w:r>
      <w:r>
        <w:rPr>
          <w:rFonts w:hint="eastAsia" w:ascii="SimHei" w:hAnsi="SimHei" w:eastAsia="黑体" w:cs="楷体"/>
          <w:lang w:eastAsia="zh-CN"/>
        </w:rPr>
        <w:t>自</w:t>
      </w:r>
      <w:r>
        <w:rPr>
          <w:rFonts w:hint="eastAsia" w:ascii="SimHei" w:hAnsi="SimHei" w:eastAsia="黑体" w:cs="楷体"/>
          <w:lang w:val="en-US" w:eastAsia="zh-CN"/>
        </w:rPr>
        <w:t>20XX年11月</w:t>
      </w:r>
      <w:r>
        <w:rPr>
          <w:rFonts w:hint="eastAsia" w:ascii="SimHei" w:hAnsi="SimHei" w:eastAsia="黑体" w:cs="楷体"/>
        </w:rPr>
        <w:t>起生效。</w:t>
      </w:r>
    </w:p>
    <w:p>
      <w:pPr>
        <w:pStyle w:val="7"/>
        <w:ind w:left="720" w:firstLine="0" w:firstLineChars="0"/>
        <w:rPr>
          <w:rFonts w:hint="eastAsia" w:ascii="楷体" w:hAnsi="楷体" w:eastAsia="楷体" w:cs="楷体"/>
        </w:rPr>
      </w:pPr>
    </w:p>
    <w:p>
      <w:pPr>
        <w:pStyle w:val="7"/>
        <w:numPr>
          <w:ilvl w:val="0"/>
          <w:numId w:val="1"/>
        </w:numPr>
        <w:ind w:firstLineChars="0"/>
        <w:rPr>
          <w:rFonts w:hint="eastAsia" w:ascii="楷体" w:hAnsi="楷体" w:eastAsia="楷体" w:cs="楷体"/>
          <w:b/>
          <w:sz w:val="30"/>
          <w:szCs w:val="30"/>
        </w:rPr>
      </w:pPr>
      <w:r>
        <w:rPr>
          <w:rFonts w:hint="eastAsia" w:ascii="SimHei" w:hAnsi="SimHei" w:eastAsia="黑体" w:cs="楷体"/>
          <w:b/>
          <w:sz w:val="30"/>
          <w:szCs w:val="30"/>
        </w:rPr>
        <w:t>附则</w:t>
      </w:r>
    </w:p>
    <w:p>
      <w:pPr>
        <w:pStyle w:val="7"/>
        <w:ind w:left="720" w:firstLine="0" w:firstLineChars="0"/>
        <w:rPr>
          <w:rFonts w:hint="eastAsia" w:ascii="楷体" w:hAnsi="楷体" w:eastAsia="楷体" w:cs="楷体"/>
        </w:rPr>
      </w:pPr>
      <w:r>
        <w:rPr>
          <w:rFonts w:hint="eastAsia" w:ascii="SimHei" w:hAnsi="SimHei" w:eastAsia="黑体" w:cs="楷体"/>
        </w:rPr>
        <w:t>本规定最终解释权归</w:t>
      </w:r>
      <w:r>
        <w:rPr>
          <w:rFonts w:hint="eastAsia" w:ascii="SimHei" w:hAnsi="SimHei" w:eastAsia="黑体" w:cs="楷体"/>
          <w:lang w:val="en-US" w:eastAsia="zh-CN"/>
        </w:rPr>
        <w:t>XXXX</w:t>
      </w:r>
      <w:r>
        <w:rPr>
          <w:rFonts w:hint="eastAsia" w:ascii="SimHei" w:hAnsi="SimHei" w:eastAsia="黑体" w:cs="楷体"/>
        </w:rPr>
        <w:t>所有。</w:t>
      </w:r>
    </w:p>
    <w:p>
      <w:pPr>
        <w:pStyle w:val="7"/>
        <w:ind w:left="720" w:firstLine="0" w:firstLineChars="0"/>
        <w:rPr>
          <w:rFonts w:hint="eastAsia" w:ascii="楷体" w:hAnsi="楷体" w:eastAsia="楷体" w:cs="楷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3617"/>
    <w:multiLevelType w:val="multilevel"/>
    <w:tmpl w:val="0B543617"/>
    <w:lvl w:ilvl="0" w:tentative="0">
      <w:start w:val="1"/>
      <w:numFmt w:val="decimal"/>
      <w:lvlText w:val="%1．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1E94C06"/>
    <w:multiLevelType w:val="multilevel"/>
    <w:tmpl w:val="11E94C06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268C1268"/>
    <w:multiLevelType w:val="multilevel"/>
    <w:tmpl w:val="268C1268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25F0C9"/>
    <w:multiLevelType w:val="singleLevel"/>
    <w:tmpl w:val="5625F0C9"/>
    <w:lvl w:ilvl="0" w:tentative="0">
      <w:start w:val="4"/>
      <w:numFmt w:val="chineseCounting"/>
      <w:suff w:val="nothing"/>
      <w:lvlText w:val="（%1）"/>
      <w:lvlJc w:val="left"/>
    </w:lvl>
  </w:abstractNum>
  <w:abstractNum w:abstractNumId="4">
    <w:nsid w:val="56260385"/>
    <w:multiLevelType w:val="singleLevel"/>
    <w:tmpl w:val="56260385"/>
    <w:lvl w:ilvl="0" w:tentative="0">
      <w:start w:val="4"/>
      <w:numFmt w:val="chineseCounting"/>
      <w:suff w:val="nothing"/>
      <w:lvlText w:val="（%1）"/>
      <w:lvlJc w:val="left"/>
    </w:lvl>
  </w:abstractNum>
  <w:abstractNum w:abstractNumId="5">
    <w:nsid w:val="6AA34766"/>
    <w:multiLevelType w:val="multilevel"/>
    <w:tmpl w:val="6AA34766"/>
    <w:lvl w:ilvl="0" w:tentative="0">
      <w:start w:val="1"/>
      <w:numFmt w:val="decimal"/>
      <w:lvlText w:val="%1."/>
      <w:lvlJc w:val="left"/>
      <w:pPr>
        <w:ind w:left="1080" w:hanging="360"/>
      </w:pPr>
      <w:rPr>
        <w:rFonts w:ascii="Calibri" w:hAnsi="Calibri" w:eastAsia="宋体" w:cs="黑体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74813CA4"/>
    <w:multiLevelType w:val="multilevel"/>
    <w:tmpl w:val="74813CA4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21286"/>
    <w:rsid w:val="00032BEE"/>
    <w:rsid w:val="00166A77"/>
    <w:rsid w:val="001B0A81"/>
    <w:rsid w:val="00405AB5"/>
    <w:rsid w:val="00421286"/>
    <w:rsid w:val="004D054E"/>
    <w:rsid w:val="006454EC"/>
    <w:rsid w:val="009040A3"/>
    <w:rsid w:val="00A5288E"/>
    <w:rsid w:val="00A64A2B"/>
    <w:rsid w:val="00B40D21"/>
    <w:rsid w:val="00B412E7"/>
    <w:rsid w:val="00B41386"/>
    <w:rsid w:val="00BC2EAA"/>
    <w:rsid w:val="00C74059"/>
    <w:rsid w:val="00E948B6"/>
    <w:rsid w:val="00EE2D46"/>
    <w:rsid w:val="00EF247A"/>
    <w:rsid w:val="087F1701"/>
    <w:rsid w:val="0A9764ED"/>
    <w:rsid w:val="11EF352B"/>
    <w:rsid w:val="1C155B9F"/>
    <w:rsid w:val="1D001020"/>
    <w:rsid w:val="1D3075F1"/>
    <w:rsid w:val="21D81213"/>
    <w:rsid w:val="2487307B"/>
    <w:rsid w:val="26E900B2"/>
    <w:rsid w:val="286D29E1"/>
    <w:rsid w:val="28D97B12"/>
    <w:rsid w:val="312B28BA"/>
    <w:rsid w:val="321524B8"/>
    <w:rsid w:val="333A4819"/>
    <w:rsid w:val="33401FA5"/>
    <w:rsid w:val="36A33456"/>
    <w:rsid w:val="375955DE"/>
    <w:rsid w:val="3F875848"/>
    <w:rsid w:val="425B65EB"/>
    <w:rsid w:val="45512DC5"/>
    <w:rsid w:val="45E31A89"/>
    <w:rsid w:val="4A542F03"/>
    <w:rsid w:val="4A5D5D91"/>
    <w:rsid w:val="4A7B5341"/>
    <w:rsid w:val="4B8E3F04"/>
    <w:rsid w:val="53932FAA"/>
    <w:rsid w:val="607D18D9"/>
    <w:rsid w:val="6106763F"/>
    <w:rsid w:val="63A57B87"/>
    <w:rsid w:val="6FC203E7"/>
    <w:rsid w:val="723920F5"/>
    <w:rsid w:val="72BA5B47"/>
    <w:rsid w:val="758C6C69"/>
    <w:rsid w:val="7A741675"/>
    <w:rsid w:val="7E194CEF"/>
    <w:rsid w:val="7FB92B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11"/>
    <w:basedOn w:val="6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446</Characters>
  <Lines>3</Lines>
  <Paragraphs>1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2015-10-17T08:14:00Z</dcterms:created>
  <dc:creator>杨广旭 yangguangxu (61005)</dc:creator>
  <cp:lastModifiedBy>91方案网～齐志锁</cp:lastModifiedBy>
  <dcterms:modified xsi:type="dcterms:W3CDTF">2020-10-12T07:00:05Z</dcterms:modified>
  <dc:title>岗位序列和职等职级管理规定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