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bookmarkStart w:id="33" w:name="_GoBack"/>
      <w:bookmarkEnd w:id="33"/>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20" w:firstLineChars="200"/>
        <w:jc w:val="both"/>
        <w:textAlignment w:val="auto"/>
        <w:rPr>
          <w:rFonts w:hint="eastAsia" w:ascii="楷体" w:hAnsi="楷体" w:eastAsia="楷体" w:cs="楷体"/>
          <w:sz w:val="1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val="0"/>
          <w:bCs/>
          <w:color w:val="FF0000"/>
          <w:w w:val="105"/>
          <w:sz w:val="36"/>
          <w:szCs w:val="18"/>
        </w:rPr>
      </w:pPr>
      <w:r>
        <w:rPr>
          <w:rFonts w:hint="eastAsia" w:ascii="SimHei" w:hAnsi="SimHei" w:eastAsia="黑体" w:cs="楷体"/>
          <w:b w:val="0"/>
          <w:bCs/>
          <w:color w:val="FF0000"/>
          <w:w w:val="105"/>
          <w:sz w:val="36"/>
          <w:szCs w:val="18"/>
        </w:rPr>
        <w:t>旅游行业</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w w:val="105"/>
          <w:sz w:val="36"/>
          <w:szCs w:val="18"/>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sz w:val="42"/>
        </w:rPr>
      </w:pPr>
      <w:r>
        <w:rPr>
          <w:rFonts w:hint="eastAsia" w:ascii="SimHei" w:hAnsi="SimHei" w:eastAsia="黑体" w:cs="楷体"/>
          <w:b w:val="0"/>
          <w:bCs/>
          <w:color w:val="00B0F0"/>
          <w:w w:val="105"/>
          <w:sz w:val="72"/>
          <w:szCs w:val="72"/>
        </w:rPr>
        <w:t>薪酬体系设计方案</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w w:val="105"/>
          <w:sz w:val="46"/>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楷体" w:hAnsi="楷体" w:eastAsia="楷体" w:cs="楷体"/>
          <w:sz w:val="46"/>
        </w:rPr>
        <w:sectPr>
          <w:headerReference r:id="rId3" w:type="default"/>
          <w:footerReference r:id="rId4" w:type="default"/>
          <w:type w:val="continuous"/>
          <w:pgSz w:w="11910" w:h="16840"/>
          <w:pgMar w:top="850" w:right="1474" w:bottom="850" w:left="1474" w:header="1312" w:footer="720" w:gutter="0"/>
          <w:pgBorders>
            <w:top w:val="none" w:sz="0" w:space="0"/>
            <w:left w:val="none" w:sz="0" w:space="0"/>
            <w:bottom w:val="none" w:sz="0" w:space="0"/>
            <w:right w:val="none" w:sz="0" w:space="0"/>
          </w:pgBorders>
          <w:pgNumType w:fmt="decimal"/>
        </w:sectPr>
      </w:pPr>
    </w:p>
    <w:sdt>
      <w:sdtPr>
        <w:rPr>
          <w:rFonts w:ascii="宋体" w:hAnsi="宋体" w:eastAsia="宋体" w:cs="宋体"/>
          <w:sz w:val="21"/>
          <w:szCs w:val="22"/>
          <w:lang w:val="en-US" w:eastAsia="en-US" w:bidi="ar-SA"/>
        </w:rPr>
        <w:id w:val="147452446"/>
        <w15:color w:val="DBDBDB"/>
        <w:docPartObj>
          <w:docPartGallery w:val="Table of Contents"/>
          <w:docPartUnique/>
        </w:docPartObj>
      </w:sdtPr>
      <w:sdtEndPr>
        <w:rPr>
          <w:rFonts w:hint="eastAsia" w:ascii="楷体" w:hAnsi="楷体" w:eastAsia="楷体" w:cs="楷体"/>
          <w:sz w:val="20"/>
          <w:szCs w:val="20"/>
          <w:lang w:val="en-US" w:eastAsia="en-US" w:bidi="ar-SA"/>
        </w:rPr>
      </w:sdtEndPr>
      <w:sdtContent>
        <w:p>
          <w:pPr>
            <w:spacing w:before="0" w:beforeLines="0" w:after="0" w:afterLines="0" w:line="240" w:lineRule="auto"/>
            <w:ind w:left="0" w:leftChars="0" w:right="0" w:rightChars="0" w:firstLine="0" w:firstLineChars="0"/>
            <w:jc w:val="center"/>
            <w:rPr>
              <w:rFonts w:hint="eastAsia" w:ascii="楷体" w:hAnsi="楷体" w:eastAsia="楷体" w:cs="楷体"/>
            </w:rPr>
          </w:pPr>
          <w:bookmarkStart w:id="0" w:name="_Toc1096_WPSOffice_Type1"/>
          <w:r>
            <w:rPr>
              <w:rFonts w:hint="eastAsia" w:ascii="楷体" w:hAnsi="楷体" w:eastAsia="楷体" w:cs="楷体"/>
              <w:b/>
              <w:bCs/>
              <w:sz w:val="24"/>
              <w:szCs w:val="28"/>
            </w:rPr>
            <w:t>目录</w:t>
          </w:r>
        </w:p>
        <w:p>
          <w:pPr>
            <w:pStyle w:val="12"/>
            <w:tabs>
              <w:tab w:val="right" w:leader="dot" w:pos="8962"/>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_Toc18878_WPSOffice_Level1 </w:instrText>
          </w:r>
          <w:r>
            <w:rPr>
              <w:rFonts w:hint="eastAsia" w:ascii="楷体" w:hAnsi="楷体" w:eastAsia="楷体" w:cs="楷体"/>
            </w:rPr>
            <w:fldChar w:fldCharType="separate"/>
          </w:r>
          <w:sdt>
            <w:sdtPr>
              <w:rPr>
                <w:rFonts w:hint="eastAsia" w:ascii="楷体" w:hAnsi="楷体" w:eastAsia="楷体" w:cs="楷体"/>
                <w:sz w:val="22"/>
                <w:szCs w:val="22"/>
                <w:lang w:val="en-US" w:eastAsia="en-US" w:bidi="ar-SA"/>
              </w:rPr>
              <w:id w:val="147452446"/>
              <w:placeholder>
                <w:docPart w:val="{5d709e5d-514f-44f8-b041-5e1740892427}"/>
              </w:placeholder>
              <w15:color w:val="509DF3"/>
            </w:sdtPr>
            <w:sdtEndPr>
              <w:rPr>
                <w:rFonts w:hint="eastAsia" w:ascii="楷体" w:hAnsi="楷体" w:eastAsia="楷体" w:cs="楷体"/>
                <w:sz w:val="22"/>
                <w:szCs w:val="22"/>
                <w:lang w:val="en-US" w:eastAsia="en-US" w:bidi="ar-SA"/>
              </w:rPr>
            </w:sdtEndPr>
            <w:sdtContent>
              <w:r>
                <w:rPr>
                  <w:rFonts w:hint="eastAsia" w:ascii="楷体" w:hAnsi="楷体" w:eastAsia="楷体" w:cs="楷体"/>
                </w:rPr>
                <w:t>第一章  总则</w:t>
              </w:r>
            </w:sdtContent>
          </w:sdt>
          <w:r>
            <w:rPr>
              <w:rFonts w:hint="eastAsia" w:ascii="楷体" w:hAnsi="楷体" w:eastAsia="楷体" w:cs="楷体"/>
            </w:rPr>
            <w:tab/>
          </w:r>
          <w:bookmarkStart w:id="1" w:name="_Toc18878_WPSOffice_Level1Page"/>
          <w:r>
            <w:rPr>
              <w:rFonts w:hint="eastAsia" w:ascii="楷体" w:hAnsi="楷体" w:eastAsia="楷体" w:cs="楷体"/>
            </w:rPr>
            <w:t>3</w:t>
          </w:r>
          <w:bookmarkEnd w:id="1"/>
          <w:r>
            <w:rPr>
              <w:rFonts w:hint="eastAsia" w:ascii="楷体" w:hAnsi="楷体" w:eastAsia="楷体" w:cs="楷体"/>
            </w:rPr>
            <w:fldChar w:fldCharType="end"/>
          </w:r>
        </w:p>
        <w:p>
          <w:pPr>
            <w:pStyle w:val="12"/>
            <w:tabs>
              <w:tab w:val="right" w:leader="dot" w:pos="8962"/>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_Toc1096_WPSOffice_Level1 </w:instrText>
          </w:r>
          <w:r>
            <w:rPr>
              <w:rFonts w:hint="eastAsia" w:ascii="楷体" w:hAnsi="楷体" w:eastAsia="楷体" w:cs="楷体"/>
            </w:rPr>
            <w:fldChar w:fldCharType="separate"/>
          </w:r>
          <w:sdt>
            <w:sdtPr>
              <w:rPr>
                <w:rFonts w:hint="eastAsia" w:ascii="楷体" w:hAnsi="楷体" w:eastAsia="楷体" w:cs="楷体"/>
                <w:sz w:val="22"/>
                <w:szCs w:val="22"/>
                <w:lang w:val="en-US" w:eastAsia="en-US" w:bidi="ar-SA"/>
              </w:rPr>
              <w:id w:val="147452446"/>
              <w:placeholder>
                <w:docPart w:val="{7136548d-4fc3-4947-87c6-eab80817f2a5}"/>
              </w:placeholder>
              <w15:color w:val="509DF3"/>
            </w:sdtPr>
            <w:sdtEndPr>
              <w:rPr>
                <w:rFonts w:hint="eastAsia" w:ascii="楷体" w:hAnsi="楷体" w:eastAsia="楷体" w:cs="楷体"/>
                <w:sz w:val="22"/>
                <w:szCs w:val="22"/>
                <w:lang w:val="en-US" w:eastAsia="en-US" w:bidi="ar-SA"/>
              </w:rPr>
            </w:sdtEndPr>
            <w:sdtContent>
              <w:r>
                <w:rPr>
                  <w:rFonts w:hint="eastAsia" w:ascii="楷体" w:hAnsi="楷体" w:eastAsia="楷体" w:cs="楷体"/>
                </w:rPr>
                <w:t>第二章  薪酬总额管理</w:t>
              </w:r>
            </w:sdtContent>
          </w:sdt>
          <w:r>
            <w:rPr>
              <w:rFonts w:hint="eastAsia" w:ascii="楷体" w:hAnsi="楷体" w:eastAsia="楷体" w:cs="楷体"/>
            </w:rPr>
            <w:tab/>
          </w:r>
          <w:bookmarkStart w:id="2" w:name="_Toc1096_WPSOffice_Level1Page"/>
          <w:r>
            <w:rPr>
              <w:rFonts w:hint="eastAsia" w:ascii="楷体" w:hAnsi="楷体" w:eastAsia="楷体" w:cs="楷体"/>
            </w:rPr>
            <w:t>7</w:t>
          </w:r>
          <w:bookmarkEnd w:id="2"/>
          <w:r>
            <w:rPr>
              <w:rFonts w:hint="eastAsia" w:ascii="楷体" w:hAnsi="楷体" w:eastAsia="楷体" w:cs="楷体"/>
            </w:rPr>
            <w:fldChar w:fldCharType="end"/>
          </w:r>
        </w:p>
        <w:p>
          <w:pPr>
            <w:pStyle w:val="12"/>
            <w:tabs>
              <w:tab w:val="right" w:leader="dot" w:pos="8962"/>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_Toc17586_WPSOffice_Level1 </w:instrText>
          </w:r>
          <w:r>
            <w:rPr>
              <w:rFonts w:hint="eastAsia" w:ascii="楷体" w:hAnsi="楷体" w:eastAsia="楷体" w:cs="楷体"/>
            </w:rPr>
            <w:fldChar w:fldCharType="separate"/>
          </w:r>
          <w:sdt>
            <w:sdtPr>
              <w:rPr>
                <w:rFonts w:hint="eastAsia" w:ascii="楷体" w:hAnsi="楷体" w:eastAsia="楷体" w:cs="楷体"/>
                <w:sz w:val="22"/>
                <w:szCs w:val="22"/>
                <w:lang w:val="en-US" w:eastAsia="en-US" w:bidi="ar-SA"/>
              </w:rPr>
              <w:id w:val="147452446"/>
              <w:placeholder>
                <w:docPart w:val="{5c93989a-dbeb-4950-bc9f-b249c96cc97c}"/>
              </w:placeholder>
              <w15:color w:val="509DF3"/>
            </w:sdtPr>
            <w:sdtEndPr>
              <w:rPr>
                <w:rFonts w:hint="eastAsia" w:ascii="楷体" w:hAnsi="楷体" w:eastAsia="楷体" w:cs="楷体"/>
                <w:sz w:val="22"/>
                <w:szCs w:val="22"/>
                <w:lang w:val="en-US" w:eastAsia="en-US" w:bidi="ar-SA"/>
              </w:rPr>
            </w:sdtEndPr>
            <w:sdtContent>
              <w:r>
                <w:rPr>
                  <w:rFonts w:hint="eastAsia" w:ascii="楷体" w:hAnsi="楷体" w:eastAsia="楷体" w:cs="楷体"/>
                </w:rPr>
                <w:t>第三章 薪酬体系</w:t>
              </w:r>
            </w:sdtContent>
          </w:sdt>
          <w:r>
            <w:rPr>
              <w:rFonts w:hint="eastAsia" w:ascii="楷体" w:hAnsi="楷体" w:eastAsia="楷体" w:cs="楷体"/>
            </w:rPr>
            <w:tab/>
          </w:r>
          <w:bookmarkStart w:id="3" w:name="_Toc17586_WPSOffice_Level1Page"/>
          <w:r>
            <w:rPr>
              <w:rFonts w:hint="eastAsia" w:ascii="楷体" w:hAnsi="楷体" w:eastAsia="楷体" w:cs="楷体"/>
            </w:rPr>
            <w:t>10</w:t>
          </w:r>
          <w:bookmarkEnd w:id="3"/>
          <w:r>
            <w:rPr>
              <w:rFonts w:hint="eastAsia" w:ascii="楷体" w:hAnsi="楷体" w:eastAsia="楷体" w:cs="楷体"/>
            </w:rPr>
            <w:fldChar w:fldCharType="end"/>
          </w:r>
        </w:p>
        <w:p>
          <w:pPr>
            <w:pStyle w:val="12"/>
            <w:tabs>
              <w:tab w:val="right" w:leader="dot" w:pos="8962"/>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_Toc11714_WPSOffice_Level1 </w:instrText>
          </w:r>
          <w:r>
            <w:rPr>
              <w:rFonts w:hint="eastAsia" w:ascii="楷体" w:hAnsi="楷体" w:eastAsia="楷体" w:cs="楷体"/>
            </w:rPr>
            <w:fldChar w:fldCharType="separate"/>
          </w:r>
          <w:sdt>
            <w:sdtPr>
              <w:rPr>
                <w:rFonts w:hint="eastAsia" w:ascii="楷体" w:hAnsi="楷体" w:eastAsia="楷体" w:cs="楷体"/>
                <w:sz w:val="22"/>
                <w:szCs w:val="22"/>
                <w:lang w:val="en-US" w:eastAsia="en-US" w:bidi="ar-SA"/>
              </w:rPr>
              <w:id w:val="147452446"/>
              <w:placeholder>
                <w:docPart w:val="{3259ef28-cbf8-499d-a70d-e61cde804c3b}"/>
              </w:placeholder>
              <w15:color w:val="509DF3"/>
            </w:sdtPr>
            <w:sdtEndPr>
              <w:rPr>
                <w:rFonts w:hint="eastAsia" w:ascii="楷体" w:hAnsi="楷体" w:eastAsia="楷体" w:cs="楷体"/>
                <w:sz w:val="22"/>
                <w:szCs w:val="22"/>
                <w:lang w:val="en-US" w:eastAsia="en-US" w:bidi="ar-SA"/>
              </w:rPr>
            </w:sdtEndPr>
            <w:sdtContent>
              <w:r>
                <w:rPr>
                  <w:rFonts w:hint="eastAsia" w:ascii="楷体" w:hAnsi="楷体" w:eastAsia="楷体" w:cs="楷体"/>
                </w:rPr>
                <w:t>第四章 年薪制</w:t>
              </w:r>
            </w:sdtContent>
          </w:sdt>
          <w:r>
            <w:rPr>
              <w:rFonts w:hint="eastAsia" w:ascii="楷体" w:hAnsi="楷体" w:eastAsia="楷体" w:cs="楷体"/>
            </w:rPr>
            <w:tab/>
          </w:r>
          <w:bookmarkStart w:id="4" w:name="_Toc11714_WPSOffice_Level1Page"/>
          <w:r>
            <w:rPr>
              <w:rFonts w:hint="eastAsia" w:ascii="楷体" w:hAnsi="楷体" w:eastAsia="楷体" w:cs="楷体"/>
            </w:rPr>
            <w:t>10</w:t>
          </w:r>
          <w:bookmarkEnd w:id="4"/>
          <w:r>
            <w:rPr>
              <w:rFonts w:hint="eastAsia" w:ascii="楷体" w:hAnsi="楷体" w:eastAsia="楷体" w:cs="楷体"/>
            </w:rPr>
            <w:fldChar w:fldCharType="end"/>
          </w:r>
        </w:p>
        <w:p>
          <w:pPr>
            <w:pStyle w:val="12"/>
            <w:tabs>
              <w:tab w:val="right" w:leader="dot" w:pos="8962"/>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_Toc22551_WPSOffice_Level1 </w:instrText>
          </w:r>
          <w:r>
            <w:rPr>
              <w:rFonts w:hint="eastAsia" w:ascii="楷体" w:hAnsi="楷体" w:eastAsia="楷体" w:cs="楷体"/>
            </w:rPr>
            <w:fldChar w:fldCharType="separate"/>
          </w:r>
          <w:sdt>
            <w:sdtPr>
              <w:rPr>
                <w:rFonts w:hint="eastAsia" w:ascii="楷体" w:hAnsi="楷体" w:eastAsia="楷体" w:cs="楷体"/>
                <w:sz w:val="22"/>
                <w:szCs w:val="22"/>
                <w:lang w:val="en-US" w:eastAsia="en-US" w:bidi="ar-SA"/>
              </w:rPr>
              <w:id w:val="147452446"/>
              <w:placeholder>
                <w:docPart w:val="{e8e3379b-b460-451d-a709-8f34e7e1818f}"/>
              </w:placeholder>
              <w15:color w:val="509DF3"/>
            </w:sdtPr>
            <w:sdtEndPr>
              <w:rPr>
                <w:rFonts w:hint="eastAsia" w:ascii="楷体" w:hAnsi="楷体" w:eastAsia="楷体" w:cs="楷体"/>
                <w:sz w:val="22"/>
                <w:szCs w:val="22"/>
                <w:lang w:val="en-US" w:eastAsia="en-US" w:bidi="ar-SA"/>
              </w:rPr>
            </w:sdtEndPr>
            <w:sdtContent>
              <w:r>
                <w:rPr>
                  <w:rFonts w:hint="eastAsia" w:ascii="楷体" w:hAnsi="楷体" w:eastAsia="楷体" w:cs="楷体"/>
                </w:rPr>
                <w:t>第五章 岗位绩效工资制</w:t>
              </w:r>
            </w:sdtContent>
          </w:sdt>
          <w:r>
            <w:rPr>
              <w:rFonts w:hint="eastAsia" w:ascii="楷体" w:hAnsi="楷体" w:eastAsia="楷体" w:cs="楷体"/>
            </w:rPr>
            <w:tab/>
          </w:r>
          <w:bookmarkStart w:id="5" w:name="_Toc22551_WPSOffice_Level1Page"/>
          <w:r>
            <w:rPr>
              <w:rFonts w:hint="eastAsia" w:ascii="楷体" w:hAnsi="楷体" w:eastAsia="楷体" w:cs="楷体"/>
            </w:rPr>
            <w:t>11</w:t>
          </w:r>
          <w:bookmarkEnd w:id="5"/>
          <w:r>
            <w:rPr>
              <w:rFonts w:hint="eastAsia" w:ascii="楷体" w:hAnsi="楷体" w:eastAsia="楷体" w:cs="楷体"/>
            </w:rPr>
            <w:fldChar w:fldCharType="end"/>
          </w:r>
        </w:p>
        <w:p>
          <w:pPr>
            <w:pStyle w:val="12"/>
            <w:tabs>
              <w:tab w:val="right" w:leader="dot" w:pos="8962"/>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_Toc15161_WPSOffice_Level1 </w:instrText>
          </w:r>
          <w:r>
            <w:rPr>
              <w:rFonts w:hint="eastAsia" w:ascii="楷体" w:hAnsi="楷体" w:eastAsia="楷体" w:cs="楷体"/>
            </w:rPr>
            <w:fldChar w:fldCharType="separate"/>
          </w:r>
          <w:sdt>
            <w:sdtPr>
              <w:rPr>
                <w:rFonts w:hint="eastAsia" w:ascii="楷体" w:hAnsi="楷体" w:eastAsia="楷体" w:cs="楷体"/>
                <w:sz w:val="22"/>
                <w:szCs w:val="22"/>
                <w:lang w:val="en-US" w:eastAsia="en-US" w:bidi="ar-SA"/>
              </w:rPr>
              <w:id w:val="147452446"/>
              <w:placeholder>
                <w:docPart w:val="{9792e910-4e26-433d-99df-7bc9306aed8b}"/>
              </w:placeholder>
              <w15:color w:val="509DF3"/>
            </w:sdtPr>
            <w:sdtEndPr>
              <w:rPr>
                <w:rFonts w:hint="eastAsia" w:ascii="楷体" w:hAnsi="楷体" w:eastAsia="楷体" w:cs="楷体"/>
                <w:sz w:val="22"/>
                <w:szCs w:val="22"/>
                <w:lang w:val="en-US" w:eastAsia="en-US" w:bidi="ar-SA"/>
              </w:rPr>
            </w:sdtEndPr>
            <w:sdtContent>
              <w:r>
                <w:rPr>
                  <w:rFonts w:hint="eastAsia" w:ascii="楷体" w:hAnsi="楷体" w:eastAsia="楷体" w:cs="楷体"/>
                </w:rPr>
                <w:t>第六章 协议工资制</w:t>
              </w:r>
            </w:sdtContent>
          </w:sdt>
          <w:r>
            <w:rPr>
              <w:rFonts w:hint="eastAsia" w:ascii="楷体" w:hAnsi="楷体" w:eastAsia="楷体" w:cs="楷体"/>
            </w:rPr>
            <w:tab/>
          </w:r>
          <w:bookmarkStart w:id="6" w:name="_Toc15161_WPSOffice_Level1Page"/>
          <w:r>
            <w:rPr>
              <w:rFonts w:hint="eastAsia" w:ascii="楷体" w:hAnsi="楷体" w:eastAsia="楷体" w:cs="楷体"/>
            </w:rPr>
            <w:t>12</w:t>
          </w:r>
          <w:bookmarkEnd w:id="6"/>
          <w:r>
            <w:rPr>
              <w:rFonts w:hint="eastAsia" w:ascii="楷体" w:hAnsi="楷体" w:eastAsia="楷体" w:cs="楷体"/>
            </w:rPr>
            <w:fldChar w:fldCharType="end"/>
          </w:r>
        </w:p>
        <w:p>
          <w:pPr>
            <w:pStyle w:val="12"/>
            <w:tabs>
              <w:tab w:val="right" w:leader="dot" w:pos="8962"/>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_Toc29537_WPSOffice_Level1 </w:instrText>
          </w:r>
          <w:r>
            <w:rPr>
              <w:rFonts w:hint="eastAsia" w:ascii="楷体" w:hAnsi="楷体" w:eastAsia="楷体" w:cs="楷体"/>
            </w:rPr>
            <w:fldChar w:fldCharType="separate"/>
          </w:r>
          <w:sdt>
            <w:sdtPr>
              <w:rPr>
                <w:rFonts w:hint="eastAsia" w:ascii="楷体" w:hAnsi="楷体" w:eastAsia="楷体" w:cs="楷体"/>
                <w:sz w:val="22"/>
                <w:szCs w:val="22"/>
                <w:lang w:val="en-US" w:eastAsia="en-US" w:bidi="ar-SA"/>
              </w:rPr>
              <w:id w:val="147452446"/>
              <w:placeholder>
                <w:docPart w:val="{0549f596-c1bf-4df7-bf58-f4a919a2f33a}"/>
              </w:placeholder>
              <w15:color w:val="509DF3"/>
            </w:sdtPr>
            <w:sdtEndPr>
              <w:rPr>
                <w:rFonts w:hint="eastAsia" w:ascii="楷体" w:hAnsi="楷体" w:eastAsia="楷体" w:cs="楷体"/>
                <w:sz w:val="22"/>
                <w:szCs w:val="22"/>
                <w:lang w:val="en-US" w:eastAsia="en-US" w:bidi="ar-SA"/>
              </w:rPr>
            </w:sdtEndPr>
            <w:sdtContent>
              <w:r>
                <w:rPr>
                  <w:rFonts w:hint="eastAsia" w:ascii="楷体" w:hAnsi="楷体" w:eastAsia="楷体" w:cs="楷体"/>
                </w:rPr>
                <w:t>第七章 年终奖</w:t>
              </w:r>
            </w:sdtContent>
          </w:sdt>
          <w:r>
            <w:rPr>
              <w:rFonts w:hint="eastAsia" w:ascii="楷体" w:hAnsi="楷体" w:eastAsia="楷体" w:cs="楷体"/>
            </w:rPr>
            <w:tab/>
          </w:r>
          <w:bookmarkStart w:id="7" w:name="_Toc29537_WPSOffice_Level1Page"/>
          <w:r>
            <w:rPr>
              <w:rFonts w:hint="eastAsia" w:ascii="楷体" w:hAnsi="楷体" w:eastAsia="楷体" w:cs="楷体"/>
            </w:rPr>
            <w:t>14</w:t>
          </w:r>
          <w:bookmarkEnd w:id="7"/>
          <w:r>
            <w:rPr>
              <w:rFonts w:hint="eastAsia" w:ascii="楷体" w:hAnsi="楷体" w:eastAsia="楷体" w:cs="楷体"/>
            </w:rPr>
            <w:fldChar w:fldCharType="end"/>
          </w:r>
        </w:p>
        <w:p>
          <w:pPr>
            <w:pStyle w:val="12"/>
            <w:tabs>
              <w:tab w:val="right" w:leader="dot" w:pos="8962"/>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_Toc20084_WPSOffice_Level1 </w:instrText>
          </w:r>
          <w:r>
            <w:rPr>
              <w:rFonts w:hint="eastAsia" w:ascii="楷体" w:hAnsi="楷体" w:eastAsia="楷体" w:cs="楷体"/>
            </w:rPr>
            <w:fldChar w:fldCharType="separate"/>
          </w:r>
          <w:sdt>
            <w:sdtPr>
              <w:rPr>
                <w:rFonts w:hint="eastAsia" w:ascii="楷体" w:hAnsi="楷体" w:eastAsia="楷体" w:cs="楷体"/>
                <w:sz w:val="22"/>
                <w:szCs w:val="22"/>
                <w:lang w:val="en-US" w:eastAsia="en-US" w:bidi="ar-SA"/>
              </w:rPr>
              <w:id w:val="147452446"/>
              <w:placeholder>
                <w:docPart w:val="{cb43519e-dc20-4601-9680-dc0ff449157d}"/>
              </w:placeholder>
              <w15:color w:val="509DF3"/>
            </w:sdtPr>
            <w:sdtEndPr>
              <w:rPr>
                <w:rFonts w:hint="eastAsia" w:ascii="楷体" w:hAnsi="楷体" w:eastAsia="楷体" w:cs="楷体"/>
                <w:sz w:val="22"/>
                <w:szCs w:val="22"/>
                <w:lang w:val="en-US" w:eastAsia="en-US" w:bidi="ar-SA"/>
              </w:rPr>
            </w:sdtEndPr>
            <w:sdtContent>
              <w:r>
                <w:rPr>
                  <w:rFonts w:hint="eastAsia" w:ascii="楷体" w:hAnsi="楷体" w:eastAsia="楷体" w:cs="楷体"/>
                </w:rPr>
                <w:t>第八章 薪酬调整</w:t>
              </w:r>
            </w:sdtContent>
          </w:sdt>
          <w:r>
            <w:rPr>
              <w:rFonts w:hint="eastAsia" w:ascii="楷体" w:hAnsi="楷体" w:eastAsia="楷体" w:cs="楷体"/>
            </w:rPr>
            <w:tab/>
          </w:r>
          <w:bookmarkStart w:id="8" w:name="_Toc20084_WPSOffice_Level1Page"/>
          <w:r>
            <w:rPr>
              <w:rFonts w:hint="eastAsia" w:ascii="楷体" w:hAnsi="楷体" w:eastAsia="楷体" w:cs="楷体"/>
            </w:rPr>
            <w:t>15</w:t>
          </w:r>
          <w:bookmarkEnd w:id="8"/>
          <w:r>
            <w:rPr>
              <w:rFonts w:hint="eastAsia" w:ascii="楷体" w:hAnsi="楷体" w:eastAsia="楷体" w:cs="楷体"/>
            </w:rPr>
            <w:fldChar w:fldCharType="end"/>
          </w:r>
        </w:p>
        <w:p>
          <w:pPr>
            <w:pStyle w:val="12"/>
            <w:tabs>
              <w:tab w:val="right" w:leader="dot" w:pos="8962"/>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_Toc31240_WPSOffice_Level1 </w:instrText>
          </w:r>
          <w:r>
            <w:rPr>
              <w:rFonts w:hint="eastAsia" w:ascii="楷体" w:hAnsi="楷体" w:eastAsia="楷体" w:cs="楷体"/>
            </w:rPr>
            <w:fldChar w:fldCharType="separate"/>
          </w:r>
          <w:sdt>
            <w:sdtPr>
              <w:rPr>
                <w:rFonts w:hint="eastAsia" w:ascii="楷体" w:hAnsi="楷体" w:eastAsia="楷体" w:cs="楷体"/>
                <w:sz w:val="22"/>
                <w:szCs w:val="22"/>
                <w:lang w:val="en-US" w:eastAsia="en-US" w:bidi="ar-SA"/>
              </w:rPr>
              <w:id w:val="147452446"/>
              <w:placeholder>
                <w:docPart w:val="{4a14188e-f6b4-424b-b83e-0913bfee8be8}"/>
              </w:placeholder>
              <w15:color w:val="509DF3"/>
            </w:sdtPr>
            <w:sdtEndPr>
              <w:rPr>
                <w:rFonts w:hint="eastAsia" w:ascii="楷体" w:hAnsi="楷体" w:eastAsia="楷体" w:cs="楷体"/>
                <w:sz w:val="22"/>
                <w:szCs w:val="22"/>
                <w:lang w:val="en-US" w:eastAsia="en-US" w:bidi="ar-SA"/>
              </w:rPr>
            </w:sdtEndPr>
            <w:sdtContent>
              <w:r>
                <w:rPr>
                  <w:rFonts w:hint="eastAsia" w:ascii="楷体" w:hAnsi="楷体" w:eastAsia="楷体" w:cs="楷体"/>
                </w:rPr>
                <w:t>第九章 社保福利</w:t>
              </w:r>
            </w:sdtContent>
          </w:sdt>
          <w:r>
            <w:rPr>
              <w:rFonts w:hint="eastAsia" w:ascii="楷体" w:hAnsi="楷体" w:eastAsia="楷体" w:cs="楷体"/>
            </w:rPr>
            <w:tab/>
          </w:r>
          <w:bookmarkStart w:id="9" w:name="_Toc31240_WPSOffice_Level1Page"/>
          <w:r>
            <w:rPr>
              <w:rFonts w:hint="eastAsia" w:ascii="楷体" w:hAnsi="楷体" w:eastAsia="楷体" w:cs="楷体"/>
            </w:rPr>
            <w:t>17</w:t>
          </w:r>
          <w:bookmarkEnd w:id="9"/>
          <w:r>
            <w:rPr>
              <w:rFonts w:hint="eastAsia" w:ascii="楷体" w:hAnsi="楷体" w:eastAsia="楷体" w:cs="楷体"/>
            </w:rPr>
            <w:fldChar w:fldCharType="end"/>
          </w:r>
        </w:p>
        <w:p>
          <w:pPr>
            <w:pStyle w:val="12"/>
            <w:tabs>
              <w:tab w:val="right" w:leader="dot" w:pos="8962"/>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_Toc10897_WPSOffice_Level1 </w:instrText>
          </w:r>
          <w:r>
            <w:rPr>
              <w:rFonts w:hint="eastAsia" w:ascii="楷体" w:hAnsi="楷体" w:eastAsia="楷体" w:cs="楷体"/>
            </w:rPr>
            <w:fldChar w:fldCharType="separate"/>
          </w:r>
          <w:sdt>
            <w:sdtPr>
              <w:rPr>
                <w:rFonts w:hint="eastAsia" w:ascii="楷体" w:hAnsi="楷体" w:eastAsia="楷体" w:cs="楷体"/>
                <w:sz w:val="22"/>
                <w:szCs w:val="22"/>
                <w:lang w:val="en-US" w:eastAsia="en-US" w:bidi="ar-SA"/>
              </w:rPr>
              <w:id w:val="147452446"/>
              <w:placeholder>
                <w:docPart w:val="{5f316790-1658-4b98-b278-ca398f40f8a0}"/>
              </w:placeholder>
              <w15:color w:val="509DF3"/>
            </w:sdtPr>
            <w:sdtEndPr>
              <w:rPr>
                <w:rFonts w:hint="eastAsia" w:ascii="楷体" w:hAnsi="楷体" w:eastAsia="楷体" w:cs="楷体"/>
                <w:sz w:val="22"/>
                <w:szCs w:val="22"/>
                <w:lang w:val="en-US" w:eastAsia="en-US" w:bidi="ar-SA"/>
              </w:rPr>
            </w:sdtEndPr>
            <w:sdtContent>
              <w:r>
                <w:rPr>
                  <w:rFonts w:hint="eastAsia" w:ascii="楷体" w:hAnsi="楷体" w:eastAsia="楷体" w:cs="楷体"/>
                </w:rPr>
                <w:t>第十章 扣款与工资发放</w:t>
              </w:r>
            </w:sdtContent>
          </w:sdt>
          <w:r>
            <w:rPr>
              <w:rFonts w:hint="eastAsia" w:ascii="楷体" w:hAnsi="楷体" w:eastAsia="楷体" w:cs="楷体"/>
            </w:rPr>
            <w:tab/>
          </w:r>
          <w:bookmarkStart w:id="10" w:name="_Toc10897_WPSOffice_Level1Page"/>
          <w:r>
            <w:rPr>
              <w:rFonts w:hint="eastAsia" w:ascii="楷体" w:hAnsi="楷体" w:eastAsia="楷体" w:cs="楷体"/>
            </w:rPr>
            <w:t>18</w:t>
          </w:r>
          <w:bookmarkEnd w:id="10"/>
          <w:r>
            <w:rPr>
              <w:rFonts w:hint="eastAsia" w:ascii="楷体" w:hAnsi="楷体" w:eastAsia="楷体" w:cs="楷体"/>
            </w:rPr>
            <w:fldChar w:fldCharType="end"/>
          </w:r>
        </w:p>
        <w:p>
          <w:pPr>
            <w:pStyle w:val="12"/>
            <w:tabs>
              <w:tab w:val="right" w:leader="dot" w:pos="8962"/>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_Toc538_WPSOffice_Level1 </w:instrText>
          </w:r>
          <w:r>
            <w:rPr>
              <w:rFonts w:hint="eastAsia" w:ascii="楷体" w:hAnsi="楷体" w:eastAsia="楷体" w:cs="楷体"/>
            </w:rPr>
            <w:fldChar w:fldCharType="separate"/>
          </w:r>
          <w:sdt>
            <w:sdtPr>
              <w:rPr>
                <w:rFonts w:hint="eastAsia" w:ascii="楷体" w:hAnsi="楷体" w:eastAsia="楷体" w:cs="楷体"/>
                <w:sz w:val="22"/>
                <w:szCs w:val="22"/>
                <w:lang w:val="en-US" w:eastAsia="en-US" w:bidi="ar-SA"/>
              </w:rPr>
              <w:id w:val="147452446"/>
              <w:placeholder>
                <w:docPart w:val="{751a7fbd-0b04-413d-9cbb-7819c3d71253}"/>
              </w:placeholder>
              <w15:color w:val="509DF3"/>
            </w:sdtPr>
            <w:sdtEndPr>
              <w:rPr>
                <w:rFonts w:hint="eastAsia" w:ascii="楷体" w:hAnsi="楷体" w:eastAsia="楷体" w:cs="楷体"/>
                <w:sz w:val="22"/>
                <w:szCs w:val="22"/>
                <w:lang w:val="en-US" w:eastAsia="en-US" w:bidi="ar-SA"/>
              </w:rPr>
            </w:sdtEndPr>
            <w:sdtContent>
              <w:r>
                <w:rPr>
                  <w:rFonts w:hint="eastAsia" w:ascii="楷体" w:hAnsi="楷体" w:eastAsia="楷体" w:cs="楷体"/>
                </w:rPr>
                <w:t>第十一章 附则</w:t>
              </w:r>
            </w:sdtContent>
          </w:sdt>
          <w:r>
            <w:rPr>
              <w:rFonts w:hint="eastAsia" w:ascii="楷体" w:hAnsi="楷体" w:eastAsia="楷体" w:cs="楷体"/>
            </w:rPr>
            <w:tab/>
          </w:r>
          <w:bookmarkStart w:id="11" w:name="_Toc538_WPSOffice_Level1Page"/>
          <w:r>
            <w:rPr>
              <w:rFonts w:hint="eastAsia" w:ascii="楷体" w:hAnsi="楷体" w:eastAsia="楷体" w:cs="楷体"/>
            </w:rPr>
            <w:t>20</w:t>
          </w:r>
          <w:bookmarkEnd w:id="11"/>
          <w:r>
            <w:rPr>
              <w:rFonts w:hint="eastAsia" w:ascii="楷体" w:hAnsi="楷体" w:eastAsia="楷体" w:cs="楷体"/>
            </w:rPr>
            <w:fldChar w:fldCharType="end"/>
          </w:r>
          <w:bookmarkEnd w:id="0"/>
        </w:p>
      </w:sdtContent>
    </w:sdt>
    <w:p>
      <w:pPr>
        <w:rPr>
          <w:rFonts w:hint="eastAsia" w:ascii="楷体" w:hAnsi="楷体" w:eastAsia="楷体" w:cs="楷体"/>
        </w:rPr>
      </w:pPr>
    </w:p>
    <w:p>
      <w:pPr>
        <w:rPr>
          <w:rFonts w:hint="eastAsia" w:ascii="楷体" w:hAnsi="楷体" w:eastAsia="楷体" w:cs="楷体"/>
        </w:rPr>
      </w:pPr>
      <w:r>
        <w:rPr>
          <w:rFonts w:hint="eastAsia" w:ascii="SimHei" w:hAnsi="SimHei" w:eastAsia="黑体" w:cs="楷体"/>
        </w:rPr>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rPr>
      </w:pPr>
      <w:bookmarkStart w:id="12" w:name="_Toc18878_WPSOffice_Level1"/>
      <w:r>
        <w:rPr>
          <w:rFonts w:hint="eastAsia" w:ascii="SimHei" w:hAnsi="SimHei" w:eastAsia="黑体" w:cs="楷体"/>
        </w:rPr>
        <w:t xml:space="preserve">第一章 </w:t>
      </w:r>
      <w:r>
        <w:rPr>
          <w:rFonts w:hint="eastAsia" w:ascii="SimHei" w:hAnsi="SimHei" w:eastAsia="黑体" w:cs="楷体"/>
          <w:lang w:val="en-US" w:eastAsia="zh-CN"/>
        </w:rPr>
        <w:t xml:space="preserve"> </w:t>
      </w:r>
      <w:r>
        <w:rPr>
          <w:rFonts w:hint="eastAsia" w:ascii="SimHei" w:hAnsi="SimHei" w:eastAsia="黑体" w:cs="楷体"/>
        </w:rPr>
        <w:t>总则</w:t>
      </w:r>
      <w:bookmarkEnd w:id="12"/>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21" w:firstLineChars="200"/>
        <w:jc w:val="both"/>
        <w:textAlignment w:val="auto"/>
        <w:rPr>
          <w:rFonts w:hint="eastAsia" w:ascii="楷体" w:hAnsi="楷体" w:eastAsia="楷体" w:cs="楷体"/>
          <w:b/>
          <w:sz w:val="16"/>
        </w:rPr>
      </w:pP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第一条</w:t>
      </w:r>
      <w:r>
        <w:rPr>
          <w:rFonts w:hint="eastAsia" w:ascii="SimHei" w:hAnsi="SimHei" w:eastAsia="黑体" w:cs="楷体"/>
          <w:b/>
          <w:w w:val="105"/>
          <w:sz w:val="23"/>
          <w:lang w:val="en-US" w:eastAsia="zh-CN"/>
        </w:rPr>
        <w:t xml:space="preserve"> </w:t>
      </w:r>
      <w:r>
        <w:rPr>
          <w:rFonts w:hint="eastAsia" w:ascii="SimHei" w:hAnsi="SimHei" w:eastAsia="黑体" w:cs="楷体"/>
          <w:b/>
          <w:w w:val="105"/>
          <w:sz w:val="23"/>
        </w:rPr>
        <w:t>目的和依据</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某集团股份公司（</w:t>
      </w:r>
      <w:r>
        <w:rPr>
          <w:rFonts w:hint="eastAsia" w:ascii="SimHei" w:hAnsi="SimHei" w:eastAsia="黑体" w:cs="楷体"/>
          <w:spacing w:val="-15"/>
        </w:rPr>
        <w:t>以下简称“公司”</w:t>
      </w:r>
      <w:r>
        <w:rPr>
          <w:rFonts w:hint="eastAsia" w:ascii="SimHei" w:hAnsi="SimHei" w:eastAsia="黑体" w:cs="楷体"/>
        </w:rPr>
        <w:t>）薪酬福利管理工作，建立</w:t>
      </w:r>
      <w:r>
        <w:rPr>
          <w:rFonts w:hint="eastAsia" w:ascii="SimHei" w:hAnsi="SimHei" w:eastAsia="黑体" w:cs="楷体"/>
          <w:spacing w:val="-15"/>
        </w:rPr>
        <w:t xml:space="preserve">适合公司发展、以体现岗位价值为前提的薪酬分配体系；激发员工积极性与创造性， </w:t>
      </w:r>
      <w:r>
        <w:rPr>
          <w:rFonts w:hint="eastAsia" w:ascii="SimHei" w:hAnsi="SimHei" w:eastAsia="黑体" w:cs="楷体"/>
          <w:spacing w:val="-18"/>
        </w:rPr>
        <w:t>共同分享公司发展所带来的收益，促进员工价值观念的统一，体现内部公平性和外</w:t>
      </w:r>
      <w:r>
        <w:rPr>
          <w:rFonts w:hint="eastAsia" w:ascii="SimHei" w:hAnsi="SimHei" w:eastAsia="黑体" w:cs="楷体"/>
          <w:spacing w:val="-13"/>
        </w:rPr>
        <w:t>部竞争性；为建立吸引人才和留住人才的机制，保障公司运营的顺利开展，推进公</w:t>
      </w:r>
      <w:r>
        <w:rPr>
          <w:rFonts w:hint="eastAsia" w:ascii="SimHei" w:hAnsi="SimHei" w:eastAsia="黑体" w:cs="楷体"/>
          <w:spacing w:val="-24"/>
        </w:rPr>
        <w:t>司总体发展战略实现，依据国家有关法律、法规，结合本公司实际情况，特制定《某</w:t>
      </w:r>
      <w:r>
        <w:rPr>
          <w:rFonts w:hint="eastAsia" w:ascii="SimHei" w:hAnsi="SimHei" w:eastAsia="黑体" w:cs="楷体"/>
          <w:spacing w:val="-30"/>
        </w:rPr>
        <w:t>某集团股份公司薪酬管理制度》</w:t>
      </w:r>
      <w:r>
        <w:rPr>
          <w:rFonts w:hint="eastAsia" w:ascii="SimHei" w:hAnsi="SimHei" w:eastAsia="黑体" w:cs="楷体"/>
        </w:rPr>
        <w:t>（以下简称“本管理制度</w:t>
      </w:r>
      <w:r>
        <w:rPr>
          <w:rFonts w:hint="eastAsia" w:ascii="SimHei" w:hAnsi="SimHei" w:eastAsia="黑体" w:cs="楷体"/>
          <w:spacing w:val="-120"/>
        </w:rPr>
        <w:t>”）</w:t>
      </w:r>
      <w:r>
        <w:rPr>
          <w:rFonts w:hint="eastAsia" w:ascii="SimHei" w:hAnsi="SimHei" w:eastAsia="黑体" w:cs="楷体"/>
        </w:rPr>
        <w:t>。</w:t>
      </w: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第二条</w:t>
      </w:r>
      <w:r>
        <w:rPr>
          <w:rFonts w:hint="eastAsia" w:ascii="SimHei" w:hAnsi="SimHei" w:eastAsia="黑体" w:cs="楷体"/>
          <w:b/>
          <w:w w:val="105"/>
          <w:sz w:val="23"/>
          <w:lang w:val="en-US" w:eastAsia="zh-CN"/>
        </w:rPr>
        <w:t xml:space="preserve"> </w:t>
      </w:r>
      <w:r>
        <w:rPr>
          <w:rFonts w:hint="eastAsia" w:ascii="SimHei" w:hAnsi="SimHei" w:eastAsia="黑体" w:cs="楷体"/>
          <w:b/>
          <w:w w:val="105"/>
          <w:sz w:val="23"/>
        </w:rPr>
        <w:t>适用范围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本管理制度适用于公司所有正式员工。</w:t>
      </w: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第三条</w:t>
      </w:r>
      <w:r>
        <w:rPr>
          <w:rFonts w:hint="eastAsia" w:ascii="SimHei" w:hAnsi="SimHei" w:eastAsia="黑体" w:cs="楷体"/>
          <w:b/>
          <w:w w:val="105"/>
          <w:sz w:val="23"/>
          <w:lang w:val="en-US" w:eastAsia="zh-CN"/>
        </w:rPr>
        <w:t xml:space="preserve"> </w:t>
      </w:r>
      <w:r>
        <w:rPr>
          <w:rFonts w:hint="eastAsia" w:ascii="SimHei" w:hAnsi="SimHei" w:eastAsia="黑体" w:cs="楷体"/>
          <w:b/>
          <w:w w:val="105"/>
          <w:sz w:val="23"/>
        </w:rPr>
        <w:t>薪酬支付的依据</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2" w:firstLineChars="200"/>
        <w:jc w:val="both"/>
        <w:textAlignment w:val="auto"/>
        <w:rPr>
          <w:rFonts w:hint="eastAsia" w:ascii="楷体" w:hAnsi="楷体" w:eastAsia="楷体" w:cs="楷体"/>
          <w:spacing w:val="-17"/>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2" w:firstLineChars="200"/>
        <w:jc w:val="both"/>
        <w:textAlignment w:val="auto"/>
        <w:rPr>
          <w:rFonts w:hint="eastAsia" w:ascii="楷体" w:hAnsi="楷体" w:eastAsia="楷体" w:cs="楷体"/>
        </w:rPr>
      </w:pPr>
      <w:r>
        <w:rPr>
          <w:rFonts w:hint="eastAsia" w:ascii="SimHei" w:hAnsi="SimHei" w:eastAsia="黑体" w:cs="楷体"/>
          <w:spacing w:val="-17"/>
        </w:rPr>
        <w:t>薪酬分配的依据是：岗位价值、工作业绩、任职资格和地区行业市场薪酬水平。</w:t>
      </w:r>
      <w:r>
        <w:rPr>
          <w:rFonts w:hint="eastAsia" w:ascii="SimHei" w:hAnsi="SimHei" w:eastAsia="黑体" w:cs="楷体"/>
          <w:spacing w:val="-18"/>
        </w:rPr>
        <w:t>岗位价值是指按照一定的衡量标准，对岗位的知识水平与技能技巧、解决问题</w:t>
      </w:r>
      <w:r>
        <w:rPr>
          <w:rFonts w:hint="eastAsia" w:ascii="SimHei" w:hAnsi="SimHei" w:eastAsia="黑体" w:cs="楷体"/>
          <w:spacing w:val="-5"/>
        </w:rPr>
        <w:t>的能力和承担的岗位责任等方面进行评估，从而反映出岗位在组织中相对价值的大小。岗位的价值并不随着岗位任职者的变化而变化。</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rPr>
      </w:pPr>
      <w:r>
        <w:rPr>
          <w:rFonts w:hint="eastAsia" w:ascii="SimHei" w:hAnsi="SimHei" w:eastAsia="黑体" w:cs="楷体"/>
          <w:spacing w:val="-5"/>
        </w:rPr>
        <w:t>通过客观评价员工的工作绩效和任职资格，在确定员工薪酬的同时，帮助员工</w:t>
      </w:r>
      <w:r>
        <w:rPr>
          <w:rFonts w:hint="eastAsia" w:ascii="SimHei" w:hAnsi="SimHei" w:eastAsia="黑体" w:cs="楷体"/>
          <w:spacing w:val="-10"/>
        </w:rPr>
        <w:t>提升自身工作水平和岗位任职资格，从而有效提升公司整体绩效，实现公司发展战略目标。</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公司结合区域市场和行业的薪酬状况，建立以岗位价值贡献为基础，以员工能力素质和绩效考核为核心的薪酬管理体系，并在薪酬体系中明确各个要素的作用。</w:t>
      </w: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第四条</w:t>
      </w:r>
      <w:r>
        <w:rPr>
          <w:rFonts w:hint="eastAsia" w:ascii="SimHei" w:hAnsi="SimHei" w:eastAsia="黑体" w:cs="楷体"/>
          <w:b/>
          <w:w w:val="105"/>
          <w:sz w:val="23"/>
          <w:lang w:val="en-US" w:eastAsia="zh-CN"/>
        </w:rPr>
        <w:t xml:space="preserve"> </w:t>
      </w:r>
      <w:r>
        <w:rPr>
          <w:rFonts w:hint="eastAsia" w:ascii="SimHei" w:hAnsi="SimHei" w:eastAsia="黑体" w:cs="楷体"/>
          <w:b/>
          <w:w w:val="105"/>
          <w:sz w:val="23"/>
        </w:rPr>
        <w:t>薪酬分配的基本原则</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spacing w:val="-6"/>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薪酬作为价值分配形式之一，应遵循公平性、激励性、竞争性、经济性和实用性的原则。</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4" w:firstLineChars="200"/>
        <w:jc w:val="both"/>
        <w:textAlignment w:val="auto"/>
        <w:rPr>
          <w:rFonts w:hint="eastAsia" w:ascii="楷体" w:hAnsi="楷体" w:eastAsia="楷体" w:cs="楷体"/>
        </w:rPr>
      </w:pPr>
      <w:r>
        <w:rPr>
          <w:rFonts w:hint="eastAsia" w:ascii="SimHei" w:hAnsi="SimHei" w:eastAsia="黑体" w:cs="楷体"/>
          <w:spacing w:val="-9"/>
        </w:rPr>
        <w:t>公平性原则：薪酬设计重在建立合理的价值评价机制，在统一的规则下，通过</w:t>
      </w:r>
      <w:r>
        <w:rPr>
          <w:rFonts w:hint="eastAsia" w:ascii="SimHei" w:hAnsi="SimHei" w:eastAsia="黑体" w:cs="楷体"/>
          <w:spacing w:val="-17"/>
        </w:rPr>
        <w:t>对团队和员工个人的绩效考评决定员工的最终收入。分配依据是岗位特点、胜任力、工作业绩及行业薪酬水平，以体现内部公平、自我公平和外部公平。</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8" w:firstLineChars="200"/>
        <w:jc w:val="both"/>
        <w:textAlignment w:val="auto"/>
        <w:rPr>
          <w:rFonts w:hint="eastAsia" w:ascii="楷体" w:hAnsi="楷体" w:eastAsia="楷体" w:cs="楷体"/>
        </w:rPr>
      </w:pPr>
      <w:r>
        <w:rPr>
          <w:rFonts w:hint="eastAsia" w:ascii="SimHei" w:hAnsi="SimHei" w:eastAsia="黑体" w:cs="楷体"/>
          <w:spacing w:val="-8"/>
        </w:rPr>
        <w:t>激励性原则：打破工资的刚性，增强工资的弹性。通过绩效考评，使员工的收</w:t>
      </w:r>
      <w:r>
        <w:rPr>
          <w:rFonts w:hint="eastAsia" w:ascii="SimHei" w:hAnsi="SimHei" w:eastAsia="黑体" w:cs="楷体"/>
          <w:spacing w:val="-12"/>
        </w:rPr>
        <w:t>入与公司业绩、部门业绩和个人业绩紧密结合；另外，综合采取短期及中长期激励方式激发员工积极性。</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4" w:firstLineChars="200"/>
        <w:jc w:val="both"/>
        <w:textAlignment w:val="auto"/>
        <w:rPr>
          <w:rFonts w:hint="eastAsia" w:ascii="楷体" w:hAnsi="楷体" w:eastAsia="楷体" w:cs="楷体"/>
        </w:rPr>
      </w:pPr>
      <w:r>
        <w:rPr>
          <w:rFonts w:hint="eastAsia" w:ascii="SimHei" w:hAnsi="SimHei" w:eastAsia="黑体" w:cs="楷体"/>
          <w:spacing w:val="-9"/>
        </w:rPr>
        <w:t>竞争性原则：在薪酬结构调整的同时，根据对市场薪酬水平的了解，对差别较</w:t>
      </w:r>
      <w:r>
        <w:rPr>
          <w:rFonts w:hint="eastAsia" w:ascii="SimHei" w:hAnsi="SimHei" w:eastAsia="黑体" w:cs="楷体"/>
          <w:spacing w:val="-13"/>
        </w:rPr>
        <w:t>大的岗位薪酬水平有一定幅度的调整，使公司的整体薪酬水平与市场水平相当；对公司发展贡献较大的关键岗位薪酬水平具有一定的市场竞争力。</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4" w:firstLineChars="200"/>
        <w:jc w:val="both"/>
        <w:textAlignment w:val="auto"/>
        <w:rPr>
          <w:rFonts w:hint="eastAsia" w:ascii="楷体" w:hAnsi="楷体" w:eastAsia="楷体" w:cs="楷体"/>
        </w:rPr>
      </w:pPr>
      <w:r>
        <w:rPr>
          <w:rFonts w:hint="eastAsia" w:ascii="SimHei" w:hAnsi="SimHei" w:eastAsia="黑体" w:cs="楷体"/>
          <w:spacing w:val="-9"/>
        </w:rPr>
        <w:t>经济性原则：薪酬水平与公司的经营业绩紧密联系，人力成本的增长幅度应低</w:t>
      </w:r>
      <w:r>
        <w:rPr>
          <w:rFonts w:hint="eastAsia" w:ascii="SimHei" w:hAnsi="SimHei" w:eastAsia="黑体" w:cs="楷体"/>
          <w:spacing w:val="-13"/>
        </w:rPr>
        <w:t>于总利润的增长幅度，同时考虑劳动力资源的合理配置，保障公司的整体利益，实现可持续发展。同时根据人员编制和年度薪酬预算，实行总额控制。</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4" w:firstLineChars="200"/>
        <w:jc w:val="both"/>
        <w:textAlignment w:val="auto"/>
        <w:rPr>
          <w:rFonts w:hint="eastAsia" w:ascii="楷体" w:hAnsi="楷体" w:eastAsia="楷体" w:cs="楷体"/>
        </w:rPr>
      </w:pPr>
      <w:r>
        <w:rPr>
          <w:rFonts w:hint="eastAsia" w:ascii="SimHei" w:hAnsi="SimHei" w:eastAsia="黑体" w:cs="楷体"/>
          <w:spacing w:val="-9"/>
        </w:rPr>
        <w:t>实用性原则：将科学性与实践性紧密结合，联系公司实际，注重可操作性和实用性，主要考虑职系划分、岗位评价结果和市场薪酬水平等因素。</w:t>
      </w: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第五条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薪酬的可计量和可预期的特征</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4" w:firstLineChars="200"/>
        <w:jc w:val="both"/>
        <w:textAlignment w:val="auto"/>
        <w:rPr>
          <w:rFonts w:hint="eastAsia" w:ascii="楷体" w:hAnsi="楷体" w:eastAsia="楷体" w:cs="楷体"/>
          <w:spacing w:val="-9"/>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4" w:firstLineChars="200"/>
        <w:jc w:val="both"/>
        <w:textAlignment w:val="auto"/>
        <w:rPr>
          <w:rFonts w:hint="eastAsia" w:ascii="楷体" w:hAnsi="楷体" w:eastAsia="楷体" w:cs="楷体"/>
        </w:rPr>
      </w:pPr>
      <w:r>
        <w:rPr>
          <w:rFonts w:hint="eastAsia" w:ascii="SimHei" w:hAnsi="SimHei" w:eastAsia="黑体" w:cs="楷体"/>
          <w:spacing w:val="-9"/>
        </w:rPr>
        <w:t>可计量性：与员工薪酬相关的影响因素都将量化为工资数额，薪酬与绩效考核挂钩。</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4" w:firstLineChars="200"/>
        <w:jc w:val="both"/>
        <w:textAlignment w:val="auto"/>
        <w:rPr>
          <w:rFonts w:hint="eastAsia" w:ascii="楷体" w:hAnsi="楷体" w:eastAsia="楷体" w:cs="楷体"/>
        </w:rPr>
      </w:pPr>
      <w:r>
        <w:rPr>
          <w:rFonts w:hint="eastAsia" w:ascii="SimHei" w:hAnsi="SimHei" w:eastAsia="黑体" w:cs="楷体"/>
          <w:spacing w:val="-9"/>
        </w:rPr>
        <w:t>可预期性：除特别奖励外，员工根据其所在岗位、具有的技能、工作努力程度和工作业绩等，可以预期到个人的年度总收入。</w:t>
      </w: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第六条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薪酬体系</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spacing w:val="-6"/>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依据岗位性质和工作特点，对集团高层领导、子公司经营决策层及某些核</w:t>
      </w:r>
      <w:r>
        <w:rPr>
          <w:rFonts w:hint="eastAsia" w:ascii="SimHei" w:hAnsi="SimHei" w:eastAsia="黑体" w:cs="楷体"/>
          <w:spacing w:val="-8"/>
        </w:rPr>
        <w:t>心业务岗位采用年薪工资制</w:t>
      </w:r>
      <w:r>
        <w:rPr>
          <w:rFonts w:hint="eastAsia" w:ascii="SimHei" w:hAnsi="SimHei" w:eastAsia="黑体" w:cs="楷体"/>
        </w:rPr>
        <w:t>（</w:t>
      </w:r>
      <w:r>
        <w:rPr>
          <w:rFonts w:hint="eastAsia" w:ascii="SimHei" w:hAnsi="SimHei" w:eastAsia="黑体" w:cs="楷体"/>
          <w:spacing w:val="-5"/>
        </w:rPr>
        <w:t>简称“年薪制</w:t>
      </w:r>
      <w:r>
        <w:rPr>
          <w:rFonts w:hint="eastAsia" w:ascii="SimHei" w:hAnsi="SimHei" w:eastAsia="黑体" w:cs="楷体"/>
          <w:spacing w:val="-120"/>
        </w:rPr>
        <w:t>”）</w:t>
      </w:r>
      <w:r>
        <w:rPr>
          <w:rFonts w:hint="eastAsia" w:ascii="SimHei" w:hAnsi="SimHei" w:eastAsia="黑体" w:cs="楷体"/>
          <w:spacing w:val="-7"/>
        </w:rPr>
        <w:t>，对经营管理职系的其他岗位、市场</w:t>
      </w:r>
      <w:r>
        <w:rPr>
          <w:rFonts w:hint="eastAsia" w:ascii="SimHei" w:hAnsi="SimHei" w:eastAsia="黑体" w:cs="楷体"/>
          <w:spacing w:val="-11"/>
        </w:rPr>
        <w:t>营销职系、专业职能职系、工勤技能职系的岗位实行岗位绩效工资制，对外聘专家</w:t>
      </w:r>
      <w:r>
        <w:rPr>
          <w:rFonts w:hint="eastAsia" w:ascii="SimHei" w:hAnsi="SimHei" w:eastAsia="黑体" w:cs="楷体"/>
          <w:spacing w:val="-15"/>
        </w:rPr>
        <w:t>顾问或外部兼职工作人员实行协议工资制，从而形成公司的薪酬体系。</w:t>
      </w:r>
      <w:r>
        <w:rPr>
          <w:rFonts w:hint="eastAsia" w:ascii="SimHei" w:hAnsi="SimHei" w:eastAsia="黑体" w:cs="楷体"/>
        </w:rPr>
        <w:t>（具体职系</w:t>
      </w:r>
      <w:r>
        <w:rPr>
          <w:rFonts w:hint="eastAsia" w:ascii="SimHei" w:hAnsi="SimHei" w:eastAsia="黑体" w:cs="楷体"/>
          <w:spacing w:val="-19"/>
        </w:rPr>
        <w:t>划分见附表一：《岗位职系划分表》</w:t>
      </w:r>
      <w:r>
        <w:rPr>
          <w:rFonts w:hint="eastAsia" w:ascii="SimHei" w:hAnsi="SimHei" w:eastAsia="黑体" w:cs="楷体"/>
        </w:rPr>
        <w:t>）</w:t>
      </w: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第七条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薪酬管理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spacing w:val="-6"/>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公司的薪酬管理由董事会、总经理办公会、总经理、人力资源部、部门长分别依权限负责。</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表 1-1：薪酬管理职责表</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01" w:firstLineChars="200"/>
        <w:jc w:val="both"/>
        <w:textAlignment w:val="auto"/>
        <w:rPr>
          <w:rFonts w:hint="eastAsia" w:ascii="楷体" w:hAnsi="楷体" w:eastAsia="楷体" w:cs="楷体"/>
          <w:b/>
          <w:sz w:val="10"/>
        </w:rPr>
      </w:pPr>
    </w:p>
    <w:tbl>
      <w:tblPr>
        <w:tblStyle w:val="7"/>
        <w:tblW w:w="8765" w:type="dxa"/>
        <w:jc w:val="center"/>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7"/>
        <w:gridCol w:w="7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jc w:val="center"/>
        </w:trPr>
        <w:tc>
          <w:tcPr>
            <w:tcW w:w="1637" w:type="dxa"/>
            <w:shd w:val="clear" w:color="auto" w:fill="F3F3F3"/>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3"/>
              </w:rPr>
            </w:pPr>
            <w:r>
              <w:rPr>
                <w:rFonts w:hint="eastAsia" w:ascii="SimHei" w:hAnsi="SimHei" w:eastAsia="黑体" w:cs="楷体"/>
                <w:b/>
                <w:w w:val="105"/>
                <w:sz w:val="23"/>
              </w:rPr>
              <w:t>管理主体</w:t>
            </w:r>
          </w:p>
        </w:tc>
        <w:tc>
          <w:tcPr>
            <w:tcW w:w="7128" w:type="dxa"/>
            <w:shd w:val="clear" w:color="auto" w:fill="F3F3F3"/>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3"/>
              </w:rPr>
            </w:pPr>
            <w:r>
              <w:rPr>
                <w:rFonts w:hint="eastAsia" w:ascii="SimHei" w:hAnsi="SimHei" w:eastAsia="黑体" w:cs="楷体"/>
                <w:b/>
                <w:w w:val="105"/>
                <w:sz w:val="23"/>
              </w:rPr>
              <w:t>主要职责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637" w:type="dxa"/>
            <w:vMerge w:val="restart"/>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4"/>
              </w:rPr>
            </w:pP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9"/>
              </w:rPr>
            </w:pP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董事会</w:t>
            </w:r>
          </w:p>
        </w:tc>
        <w:tc>
          <w:tcPr>
            <w:tcW w:w="7128" w:type="dxa"/>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审批公司薪酬管理制度及相关修改建议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jc w:val="center"/>
        </w:trPr>
        <w:tc>
          <w:tcPr>
            <w:tcW w:w="163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审批公司薪酬总额标准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审批薪酬整体调整方案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审批绩效年薪发放方案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审批协议工资方案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637" w:type="dxa"/>
            <w:vMerge w:val="restart"/>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总经理办公会</w:t>
            </w:r>
          </w:p>
        </w:tc>
        <w:tc>
          <w:tcPr>
            <w:tcW w:w="7128" w:type="dxa"/>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制定年度薪酬储备额度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审核薪酬整体调整方案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审批薪酬个别调整方案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08" w:hRule="atLeast"/>
          <w:jc w:val="center"/>
        </w:trPr>
        <w:tc>
          <w:tcPr>
            <w:tcW w:w="1637" w:type="dxa"/>
            <w:vMerge w:val="restart"/>
            <w:tcBorders>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p>
        </w:tc>
        <w:tc>
          <w:tcPr>
            <w:tcW w:w="7128" w:type="dxa"/>
            <w:tcBorders>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确定绩效年薪发放方案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确定协议工资方案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确定特别奖励方案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裁决公司中层及以上人员的薪酬申诉与纠纷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公司薪酬管理政策与制度的审核、执行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6" w:hRule="atLeast"/>
          <w:jc w:val="center"/>
        </w:trPr>
        <w:tc>
          <w:tcPr>
            <w:tcW w:w="1637" w:type="dxa"/>
            <w:vMerge w:val="restart"/>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4"/>
              </w:rPr>
            </w:pP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总经理</w:t>
            </w: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审核薪酬调整方案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审核绩效年薪发放方案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拟订特别奖励方案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裁决公司基层员工的薪酬申诉与纠纷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restart"/>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4"/>
              </w:rPr>
            </w:pP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4"/>
              </w:rPr>
            </w:pP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4"/>
              </w:rPr>
            </w:pP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4"/>
              </w:rPr>
            </w:pP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0"/>
              </w:rPr>
            </w:pP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人力资源部</w:t>
            </w: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计算公司薪酬总额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拟订公司薪酬管理政策和制度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拟订薪酬整体调整建议方案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拟订薪酬个别调整建议方案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拟订绩效年薪发放方案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拟订协议工资方案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对薪酬制度提出修订建议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负责解释公司薪酬政策和制度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6"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在授权范围内负责特殊薪酬事项的议定和决策</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负责公司内部薪酬申诉的受理，并提出处理建议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restart"/>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集团和景区管理公司部门长、分</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/子公司总经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理</w:t>
            </w: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配合人力资源部在部门范围内的解释薪酬管理制度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配合人力资源部执行薪酬方案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1"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拟定部门内员工的薪酬调整建议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4" w:hRule="atLeast"/>
          <w:jc w:val="center"/>
        </w:trPr>
        <w:tc>
          <w:tcPr>
            <w:tcW w:w="1637"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7128"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拟定部门的年度绩效奖金分配方案</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sectPr>
          <w:headerReference r:id="rId5" w:type="default"/>
          <w:pgSz w:w="11910" w:h="16840"/>
          <w:pgMar w:top="850" w:right="1474" w:bottom="850" w:left="1474" w:header="567" w:footer="567" w:gutter="0"/>
          <w:pgBorders>
            <w:top w:val="none" w:sz="0" w:space="0"/>
            <w:left w:val="none" w:sz="0" w:space="0"/>
            <w:bottom w:val="none" w:sz="0" w:space="0"/>
            <w:right w:val="none" w:sz="0" w:space="0"/>
          </w:pgBorders>
          <w:pgNumType w:fmt="decimal"/>
        </w:sect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rPr>
      </w:pPr>
      <w:bookmarkStart w:id="13" w:name="_TOC_250009"/>
      <w:bookmarkEnd w:id="13"/>
      <w:bookmarkStart w:id="14" w:name="_Toc1096_WPSOffice_Level1"/>
      <w:r>
        <w:rPr>
          <w:rFonts w:hint="eastAsia" w:ascii="SimHei" w:hAnsi="SimHei" w:eastAsia="黑体" w:cs="楷体"/>
        </w:rPr>
        <w:t xml:space="preserve">第二章 </w:t>
      </w:r>
      <w:r>
        <w:rPr>
          <w:rFonts w:hint="eastAsia" w:ascii="SimHei" w:hAnsi="SimHei" w:eastAsia="黑体" w:cs="楷体"/>
          <w:lang w:val="en-US" w:eastAsia="zh-CN"/>
        </w:rPr>
        <w:t xml:space="preserve"> </w:t>
      </w:r>
      <w:r>
        <w:rPr>
          <w:rFonts w:hint="eastAsia" w:ascii="SimHei" w:hAnsi="SimHei" w:eastAsia="黑体" w:cs="楷体"/>
        </w:rPr>
        <w:t>薪酬总额管理</w:t>
      </w:r>
      <w:bookmarkEnd w:id="14"/>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第八条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薪酬总额的定义</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spacing w:val="-6"/>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本制度中的薪酬总额为狭义定义，仅指公司范围内的直接的货币性支付，包括</w:t>
      </w:r>
      <w:r>
        <w:rPr>
          <w:rFonts w:hint="eastAsia" w:ascii="SimHei" w:hAnsi="SimHei" w:eastAsia="黑体" w:cs="楷体"/>
          <w:spacing w:val="-17"/>
        </w:rPr>
        <w:t>基本工资、岗位绩效工资、年薪制工资等，不包括特殊奖金和各类间接性货币支付， 如培训费等，以及公司付酬的假日工资等。</w:t>
      </w: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第九条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公司年度薪酬预算总额的计算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公式 2-1：年度薪酬预算总额的计算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180" w:firstLineChars="200"/>
        <w:jc w:val="both"/>
        <w:textAlignment w:val="auto"/>
        <w:rPr>
          <w:rFonts w:hint="eastAsia" w:ascii="楷体" w:hAnsi="楷体" w:eastAsia="楷体" w:cs="楷体"/>
          <w:sz w:val="9"/>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180" w:firstLineChars="200"/>
        <w:jc w:val="both"/>
        <w:textAlignment w:val="auto"/>
        <w:rPr>
          <w:rFonts w:hint="eastAsia" w:ascii="楷体" w:hAnsi="楷体" w:eastAsia="楷体" w:cs="楷体"/>
          <w:sz w:val="9"/>
        </w:rPr>
        <w:sectPr>
          <w:headerReference r:id="rId6" w:type="default"/>
          <w:pgSz w:w="11910" w:h="16840"/>
          <w:pgMar w:top="850" w:right="1474" w:bottom="850" w:left="1474" w:header="624" w:footer="624" w:gutter="0"/>
          <w:pgBorders>
            <w:top w:val="none" w:sz="0" w:space="0"/>
            <w:left w:val="none" w:sz="0" w:space="0"/>
            <w:bottom w:val="none" w:sz="0" w:space="0"/>
            <w:right w:val="none" w:sz="0" w:space="0"/>
          </w:pgBorders>
          <w:pgNumType w:fmt="decimal"/>
        </w:sect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3"/>
        </w:rPr>
      </w:pPr>
      <w:r>
        <w:rPr>
          <w:rFonts w:hint="eastAsia" w:ascii="SimHei" w:hAnsi="SimHei" w:eastAsia="黑体" w:cs="楷体"/>
        </w:rPr>
        <w:t>年度薪酬预算总额＝预算个人平均月收入</w:t>
      </w:r>
      <w:r>
        <w:rPr>
          <w:rFonts w:hint="eastAsia" w:ascii="SimHei" w:hAnsi="SimHei" w:eastAsia="黑体" w:cs="楷体"/>
          <w:w w:val="80"/>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公式 2-2：预算个人平均月收入的计算</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0" w:firstLineChars="200"/>
        <w:jc w:val="both"/>
        <w:textAlignment w:val="auto"/>
        <w:rPr>
          <w:rFonts w:hint="eastAsia" w:ascii="楷体" w:hAnsi="楷体" w:eastAsia="楷体" w:cs="楷体"/>
          <w:sz w:val="14"/>
        </w:rPr>
      </w:pPr>
      <w:r>
        <w:rPr>
          <w:rFonts w:hint="eastAsia" w:ascii="SimHei" w:hAnsi="SimHei" w:eastAsia="黑体" w:cs="楷体"/>
        </w:rPr>
      </w:r>
      <w:r>
        <w:rPr>
          <w:rFonts w:hint="eastAsia" w:ascii="SimHei" w:hAnsi="SimHei" w:eastAsia="黑体" w:cs="楷体"/>
          <w:w w:val="105"/>
          <w:sz w:val="14"/>
        </w:rPr>
        <w:t>1</w:t>
      </w:r>
      <w:r>
        <w:rPr>
          <w:rFonts w:hint="eastAsia" w:ascii="SimHei" w:hAnsi="SimHei" w:eastAsia="黑体" w:cs="楷体"/>
          <w:w w:val="105"/>
          <w:sz w:val="14"/>
          <w:lang w:val="en-US" w:eastAsia="zh-CN"/>
        </w:rPr>
        <w:t>1</w:t>
      </w:r>
      <w:r>
        <w:rPr>
          <w:rFonts w:hint="eastAsia" w:ascii="SimHei" w:hAnsi="SimHei" w:eastAsia="黑体" w:cs="楷体"/>
          <w:w w:val="105"/>
          <w:sz w:val="14"/>
        </w:rPr>
        <w:t>2</w:t>
      </w: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ascii="楷体" w:hAnsi="楷体" w:eastAsia="楷体" w:cs="楷体"/>
          <w:sz w:val="14"/>
        </w:rPr>
      </w:pPr>
      <w:r>
        <w:rPr>
          <w:rFonts w:hint="eastAsia" w:ascii="SimHei" w:hAnsi="SimHei" w:eastAsia="黑体" w:cs="楷体"/>
          <w:w w:val="105"/>
          <w:sz w:val="14"/>
          <w:lang w:val="en-US" w:eastAsia="zh-CN"/>
        </w:rPr>
        <w:t>i=</w:t>
      </w:r>
      <w:r>
        <w:rPr>
          <w:rFonts w:hint="eastAsia" w:ascii="SimHei" w:hAnsi="SimHei" w:eastAsia="黑体" w:cs="楷体"/>
          <w:w w:val="105"/>
          <w:sz w:val="14"/>
        </w:rPr>
        <w:t>1</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0"/>
        </w:rPr>
      </w:pPr>
      <w:r>
        <w:rPr>
          <w:rFonts w:hint="eastAsia" w:ascii="SimHei" w:hAnsi="SimHei" w:eastAsia="黑体" w:cs="楷体"/>
        </w:rPr>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rPr>
      </w:pPr>
      <w:r>
        <w:rPr>
          <w:rFonts w:hint="eastAsia" w:ascii="SimHei" w:hAnsi="SimHei" w:eastAsia="黑体" w:cs="楷体"/>
          <w:w w:val="105"/>
        </w:rPr>
        <w:t>各月预算在册员工人数</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jc w:val="both"/>
        <w:textAlignment w:val="auto"/>
        <w:rPr>
          <w:rFonts w:hint="eastAsia" w:ascii="楷体" w:hAnsi="楷体" w:eastAsia="楷体" w:cs="楷体"/>
        </w:rPr>
        <w:sectPr>
          <w:type w:val="continuous"/>
          <w:pgSz w:w="11910" w:h="16840"/>
          <w:pgMar w:top="850" w:right="1474" w:bottom="850" w:left="1474" w:header="720" w:footer="720" w:gutter="0"/>
          <w:pgBorders>
            <w:top w:val="none" w:sz="0" w:space="0"/>
            <w:left w:val="none" w:sz="0" w:space="0"/>
            <w:bottom w:val="none" w:sz="0" w:space="0"/>
            <w:right w:val="none" w:sz="0" w:space="0"/>
          </w:pgBorders>
          <w:pgNumType w:fmt="decimal"/>
          <w:cols w:equalWidth="0" w:num="3">
            <w:col w:w="5472" w:space="40"/>
            <w:col w:w="316" w:space="39"/>
            <w:col w:w="3095"/>
          </w:cols>
        </w:sect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20" w:firstLineChars="200"/>
        <w:jc w:val="both"/>
        <w:textAlignment w:val="auto"/>
        <w:rPr>
          <w:rFonts w:hint="eastAsia" w:ascii="楷体" w:hAnsi="楷体" w:eastAsia="楷体" w:cs="楷体"/>
          <w:sz w:val="11"/>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预算个人平均月收入＝上年个人平均月收入×（1+预算薪酬比率 R）</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预算薪酬比率 R 依据预算年度利润增长率、公司发展战略确定。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预算薪酬比率R 原则上不得超过 20%。</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公式 2-3：预算薪酬比率的计算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预算薪酬比率 R＝预算利润增长率λ×增长率调节系数α</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8" w:firstLineChars="200"/>
        <w:jc w:val="both"/>
        <w:textAlignment w:val="auto"/>
        <w:rPr>
          <w:rFonts w:hint="eastAsia" w:ascii="楷体" w:hAnsi="楷体" w:eastAsia="楷体" w:cs="楷体"/>
        </w:rPr>
      </w:pPr>
      <w:r>
        <w:rPr>
          <w:rFonts w:hint="eastAsia" w:ascii="SimHei" w:hAnsi="SimHei" w:eastAsia="黑体" w:cs="楷体"/>
          <w:spacing w:val="-8"/>
        </w:rPr>
        <w:t>其中，</w:t>
      </w:r>
      <w:r>
        <w:rPr>
          <w:rFonts w:hint="eastAsia" w:ascii="SimHei" w:hAnsi="SimHei" w:eastAsia="黑体" w:cs="楷体"/>
        </w:rPr>
        <w:t>α</w:t>
      </w:r>
      <w:r>
        <w:rPr>
          <w:rFonts w:hint="eastAsia" w:ascii="SimHei" w:hAnsi="SimHei" w:eastAsia="黑体" w:cs="楷体"/>
          <w:spacing w:val="-9"/>
        </w:rPr>
        <w:t xml:space="preserve">为增长率调节系数，取 </w:t>
      </w:r>
      <w:r>
        <w:rPr>
          <w:rFonts w:hint="eastAsia" w:ascii="SimHei" w:hAnsi="SimHei" w:eastAsia="黑体" w:cs="楷体"/>
        </w:rPr>
        <w:t>0~</w:t>
      </w:r>
      <w:r>
        <w:rPr>
          <w:rFonts w:hint="eastAsia" w:ascii="SimHei" w:hAnsi="SimHei" w:eastAsia="黑体" w:cs="楷体"/>
          <w:spacing w:val="-23"/>
        </w:rPr>
        <w:t>1</w:t>
      </w:r>
      <w:r>
        <w:rPr>
          <w:rFonts w:hint="eastAsia" w:ascii="SimHei" w:hAnsi="SimHei" w:eastAsia="黑体" w:cs="楷体"/>
        </w:rPr>
        <w:t>（</w:t>
      </w:r>
      <w:r>
        <w:rPr>
          <w:rFonts w:hint="eastAsia" w:ascii="SimHei" w:hAnsi="SimHei" w:eastAsia="黑体" w:cs="楷体"/>
          <w:spacing w:val="-8"/>
        </w:rPr>
        <w:t xml:space="preserve">建议取值不大于 </w:t>
      </w:r>
      <w:r>
        <w:rPr>
          <w:rFonts w:hint="eastAsia" w:ascii="SimHei" w:hAnsi="SimHei" w:eastAsia="黑体" w:cs="楷体"/>
        </w:rPr>
        <w:t>0.7</w:t>
      </w:r>
      <w:r>
        <w:rPr>
          <w:rFonts w:hint="eastAsia" w:ascii="SimHei" w:hAnsi="SimHei" w:eastAsia="黑体" w:cs="楷体"/>
          <w:spacing w:val="-120"/>
        </w:rPr>
        <w:t>）</w:t>
      </w:r>
      <w:r>
        <w:rPr>
          <w:rFonts w:hint="eastAsia" w:ascii="SimHei" w:hAnsi="SimHei" w:eastAsia="黑体" w:cs="楷体"/>
          <w:spacing w:val="-5"/>
        </w:rPr>
        <w:t>，根据公司当年所处内外部经营环境、集团相关规定及公司发展战略确定。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公式 2-4：预算利润增长率的计算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预算利润增长率λ＝（本年度预算利润－上年度实际利润）/上年度实际利润</w:t>
      </w: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1790"/>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第十条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年度薪酬预算总额的组成</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spacing w:val="-5"/>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rPr>
      </w:pPr>
      <w:r>
        <w:rPr>
          <w:rFonts w:hint="eastAsia" w:ascii="SimHei" w:hAnsi="SimHei" w:eastAsia="黑体" w:cs="楷体"/>
          <w:spacing w:val="-5"/>
        </w:rPr>
        <w:t>年度薪酬预算总额分为年薪制工资总额、岗位绩效制工资总额、协议制工资总额三个部分。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从发放的性质上，薪酬总额又可以分为固定薪酬总额和浮动薪酬总额两部分。</w:t>
      </w:r>
      <w:r>
        <w:rPr>
          <w:rFonts w:hint="eastAsia" w:ascii="SimHei" w:hAnsi="SimHei" w:eastAsia="黑体" w:cs="楷体"/>
          <w:spacing w:val="-4"/>
        </w:rPr>
        <w:t>固定薪酬总额指员工月度薪酬固定发放部分的总额，主要包括基本工资和年薪制人</w:t>
      </w:r>
      <w:r>
        <w:rPr>
          <w:rFonts w:hint="eastAsia" w:ascii="SimHei" w:hAnsi="SimHei" w:eastAsia="黑体" w:cs="楷体"/>
          <w:spacing w:val="-9"/>
        </w:rPr>
        <w:t>员的基本年薪；浮动薪酬总额指用于员工的绩效工资、绩效年薪、年终奖和特别奖励等浮动收入部分的薪酬总额。</w:t>
      </w: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第十一条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薪酬储备预留</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薪酬储备的提取根据公司当年经营情况、外部薪酬市场行情、公司当年薪酬政策确定，报总经理办公会批准。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在完成年度指标的前提下，根据公司绩效情况，经总经理办公会批准，可以从</w:t>
      </w:r>
      <w:r>
        <w:rPr>
          <w:rFonts w:hint="eastAsia" w:ascii="SimHei" w:hAnsi="SimHei" w:eastAsia="黑体" w:cs="楷体"/>
          <w:spacing w:val="-7"/>
        </w:rPr>
        <w:t>当年的实际应发薪酬总额中提取一定比例的薪酬储备</w:t>
      </w:r>
      <w:r>
        <w:rPr>
          <w:rFonts w:hint="eastAsia" w:ascii="SimHei" w:hAnsi="SimHei" w:eastAsia="黑体" w:cs="楷体"/>
          <w:color w:val="FF0000"/>
        </w:rPr>
        <w:t>（</w:t>
      </w:r>
      <w:r>
        <w:rPr>
          <w:rFonts w:hint="eastAsia" w:ascii="SimHei" w:hAnsi="SimHei" w:eastAsia="黑体" w:cs="楷体"/>
          <w:color w:val="FF0000"/>
          <w:spacing w:val="-10"/>
        </w:rPr>
        <w:t xml:space="preserve">通常不高于 </w:t>
      </w:r>
      <w:r>
        <w:rPr>
          <w:rFonts w:hint="eastAsia" w:ascii="SimHei" w:hAnsi="SimHei" w:eastAsia="黑体" w:cs="楷体"/>
          <w:color w:val="FF0000"/>
        </w:rPr>
        <w:t>5%</w:t>
      </w:r>
      <w:r>
        <w:rPr>
          <w:rFonts w:hint="eastAsia" w:ascii="SimHei" w:hAnsi="SimHei" w:eastAsia="黑体" w:cs="楷体"/>
          <w:color w:val="FF0000"/>
          <w:spacing w:val="-120"/>
        </w:rPr>
        <w:t>）</w:t>
      </w:r>
      <w:r>
        <w:rPr>
          <w:rFonts w:hint="eastAsia" w:ascii="SimHei" w:hAnsi="SimHei" w:eastAsia="黑体" w:cs="楷体"/>
          <w:color w:val="FF0000"/>
          <w:spacing w:val="-16"/>
        </w:rPr>
        <w:t>。</w:t>
      </w:r>
      <w:r>
        <w:rPr>
          <w:rFonts w:hint="eastAsia" w:ascii="SimHei" w:hAnsi="SimHei" w:eastAsia="黑体" w:cs="楷体"/>
        </w:rPr>
        <w:t>薪酬储备</w:t>
      </w:r>
      <w:r>
        <w:rPr>
          <w:rFonts w:hint="eastAsia" w:ascii="SimHei" w:hAnsi="SimHei" w:eastAsia="黑体" w:cs="楷体"/>
          <w:spacing w:val="-16"/>
        </w:rPr>
        <w:t>用于 “以丰补欠”，即在公司经营状况良好时，留存一定的资金作为公司经营业绩欠佳时工资的发放，以较好地平衡公司员工的激励和队伍稳定，保证公司持续稳定的发展。</w:t>
      </w: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第十二条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年终奖总额预算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年终奖总额的提取根据公司当年经营情况确定，一般占员工月度薪酬总额的10~15%。</w:t>
      </w: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第十三条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薪酬预算总额的调整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公司薪酬预算执行过程中，应根据利润实现情况进行调整。在调整过程中，主</w:t>
      </w:r>
      <w:r>
        <w:rPr>
          <w:rFonts w:hint="eastAsia" w:ascii="SimHei" w:hAnsi="SimHei" w:eastAsia="黑体" w:cs="楷体"/>
          <w:spacing w:val="-11"/>
        </w:rPr>
        <w:t>要是对薪酬总额中的浮动部分进行调整，对固定部分原则上保持不变，以保证员工</w:t>
      </w:r>
      <w:r>
        <w:rPr>
          <w:rFonts w:hint="eastAsia" w:ascii="SimHei" w:hAnsi="SimHei" w:eastAsia="黑体" w:cs="楷体"/>
          <w:spacing w:val="-14"/>
        </w:rPr>
        <w:t>固定薪酬部分的发放。如当年利润不足以支付薪酬预算总额中固定薪酬部分，应在薪酬储备中提取部分资金保证固定薪酬的发放。</w:t>
      </w:r>
    </w:p>
    <w:p>
      <w:pPr>
        <w:pStyle w:val="10"/>
        <w:keepNext w:val="0"/>
        <w:keepLines w:val="0"/>
        <w:pageBreakBefore w:val="0"/>
        <w:widowControl w:val="0"/>
        <w:numPr>
          <w:ilvl w:val="0"/>
          <w:numId w:val="1"/>
        </w:numPr>
        <w:tabs>
          <w:tab w:val="left" w:pos="113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当公司利润目标如期完成或超额完成时</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当公司目标利润能如期完成时，不调整薪酬总额的预算，在年终时按实际完成利润指标计算当年的实际薪酬总额。</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公式 2-5：利润完成时公司当年实际应发薪酬总额的计算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180" w:firstLineChars="200"/>
        <w:jc w:val="both"/>
        <w:textAlignment w:val="auto"/>
        <w:rPr>
          <w:rFonts w:hint="eastAsia" w:ascii="楷体" w:hAnsi="楷体" w:eastAsia="楷体" w:cs="楷体"/>
          <w:sz w:val="9"/>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楷体" w:hAnsi="楷体" w:eastAsia="楷体" w:cs="楷体"/>
          <w:sz w:val="9"/>
        </w:rPr>
        <w:sectPr>
          <w:pgSz w:w="11910" w:h="16840"/>
          <w:pgMar w:top="850" w:right="1474" w:bottom="850" w:left="1474" w:header="624" w:footer="0" w:gutter="0"/>
          <w:pgBorders>
            <w:top w:val="none" w:sz="0" w:space="0"/>
            <w:left w:val="none" w:sz="0" w:space="0"/>
            <w:bottom w:val="none" w:sz="0" w:space="0"/>
            <w:right w:val="none" w:sz="0" w:space="0"/>
          </w:pgBorders>
          <w:pgNumType w:fmt="decimal"/>
        </w:sect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14"/>
        </w:rPr>
      </w:pPr>
      <w:r>
        <w:rPr>
          <w:rFonts w:hint="eastAsia" w:ascii="SimHei" w:hAnsi="SimHei" w:eastAsia="黑体" w:cs="楷体"/>
        </w:rPr>
        <w:t>实际发放薪酬总额＝实际个人平均月收入</w:t>
      </w:r>
      <w:r>
        <w:rPr>
          <w:rFonts w:hint="eastAsia" w:ascii="SimHei" w:hAnsi="SimHei" w:eastAsia="黑体" w:cs="楷体"/>
          <w:w w:val="80"/>
        </w:rPr>
        <w:t></w:t>
      </w:r>
      <w:r>
        <w:rPr>
          <w:rFonts w:hint="eastAsia" w:ascii="SimHei" w:hAnsi="SimHei" w:eastAsia="黑体" w:cs="楷体"/>
          <w:w w:val="80"/>
          <w:lang w:val="en-US" w:eastAsia="zh-CN"/>
        </w:rPr>
        <w:t xml:space="preserve">  </w:t>
      </w:r>
      <w:r>
        <w:rPr>
          <w:rFonts w:hint="eastAsia" w:ascii="SimHei" w:hAnsi="SimHei" w:eastAsia="黑体" w:cs="楷体"/>
          <w:w w:val="105"/>
          <w:sz w:val="14"/>
        </w:rPr>
        <w:t>12</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20" w:firstLineChars="200"/>
        <w:jc w:val="both"/>
        <w:textAlignment w:val="auto"/>
        <w:rPr>
          <w:rFonts w:hint="eastAsia" w:ascii="楷体" w:hAnsi="楷体" w:eastAsia="楷体" w:cs="楷体"/>
          <w:sz w:val="1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80" w:firstLineChars="200"/>
        <w:jc w:val="both"/>
        <w:textAlignment w:val="auto"/>
        <w:rPr>
          <w:rFonts w:hint="eastAsia" w:ascii="楷体" w:hAnsi="楷体" w:eastAsia="楷体" w:cs="楷体"/>
          <w:sz w:val="14"/>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ascii="楷体" w:hAnsi="楷体" w:eastAsia="楷体" w:cs="楷体"/>
          <w:sz w:val="14"/>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ascii="楷体" w:hAnsi="楷体" w:eastAsia="楷体" w:cs="楷体"/>
          <w:sz w:val="14"/>
        </w:rPr>
      </w:pPr>
      <w:r>
        <w:rPr>
          <w:rFonts w:hint="eastAsia" w:ascii="SimHei" w:hAnsi="SimHei" w:eastAsia="黑体" w:cs="楷体"/>
          <w:sz w:val="14"/>
          <w:lang w:val="en-US" w:eastAsia="zh-CN"/>
        </w:rPr>
        <w:t>i=</w:t>
      </w:r>
      <w:r>
        <w:rPr>
          <w:rFonts w:hint="eastAsia" w:ascii="SimHei" w:hAnsi="SimHei" w:eastAsia="黑体" w:cs="楷体"/>
          <w:sz w:val="14"/>
        </w:rPr>
        <w:t>1</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r>
      <w:r>
        <w:rPr>
          <w:rFonts w:hint="eastAsia" w:ascii="SimHei" w:hAnsi="SimHei" w:eastAsia="黑体" w:cs="楷体"/>
          <w:w w:val="105"/>
        </w:rPr>
        <w:t>各月在册员工人数</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jc w:val="both"/>
        <w:textAlignment w:val="auto"/>
        <w:rPr>
          <w:rFonts w:hint="eastAsia" w:ascii="楷体" w:hAnsi="楷体" w:eastAsia="楷体" w:cs="楷体"/>
        </w:rPr>
        <w:sectPr>
          <w:type w:val="continuous"/>
          <w:pgSz w:w="11910" w:h="16840"/>
          <w:pgMar w:top="850" w:right="1474" w:bottom="850" w:left="1474" w:header="720" w:footer="720" w:gutter="0"/>
          <w:pgBorders>
            <w:top w:val="none" w:sz="0" w:space="0"/>
            <w:left w:val="none" w:sz="0" w:space="0"/>
            <w:bottom w:val="none" w:sz="0" w:space="0"/>
            <w:right w:val="none" w:sz="0" w:space="0"/>
          </w:pgBorders>
          <w:pgNumType w:fmt="decimal"/>
          <w:cols w:equalWidth="0" w:num="3">
            <w:col w:w="5346" w:space="40"/>
            <w:col w:w="307" w:space="39"/>
            <w:col w:w="3230"/>
          </w:cols>
        </w:sect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80" w:firstLineChars="200"/>
        <w:jc w:val="both"/>
        <w:textAlignment w:val="auto"/>
        <w:rPr>
          <w:rFonts w:hint="eastAsia" w:ascii="楷体" w:hAnsi="楷体" w:eastAsia="楷体" w:cs="楷体"/>
          <w:sz w:val="14"/>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公式 2-6：实际个人平均月收入的计算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实际个人平均月收入＝上年个人平均月收入×（1 + 实际薪酬比率 R） 公式 2-7：实际薪酬比率 R 的计算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实际薪酬比率 R＝实际利润增长率λ×增长率调节系数α 在目标利润能完成的情况下，α在年初确定后不予以调整。</w:t>
      </w:r>
    </w:p>
    <w:p>
      <w:pPr>
        <w:pStyle w:val="10"/>
        <w:keepNext w:val="0"/>
        <w:keepLines w:val="0"/>
        <w:pageBreakBefore w:val="0"/>
        <w:widowControl w:val="0"/>
        <w:numPr>
          <w:ilvl w:val="0"/>
          <w:numId w:val="1"/>
        </w:numPr>
        <w:tabs>
          <w:tab w:val="left" w:pos="113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当公司目标利润未能实现时薪酬总额的调整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在年底执行预算检查时，如目标利润没有实现，应通过α来调整薪酬比率 R。</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公式 2-8：利润未实现时公司当年实际应发薪酬总额的计算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w w:val="105"/>
          <w:sz w:val="14"/>
        </w:rPr>
      </w:pPr>
      <w:r>
        <w:rPr>
          <w:rFonts w:hint="eastAsia" w:ascii="SimHei" w:hAnsi="SimHei" w:eastAsia="黑体" w:cs="楷体"/>
        </w:rPr>
        <w:t>实际发放薪酬总额＝实际个人平均月收入</w:t>
      </w:r>
      <w:r>
        <w:rPr>
          <w:rFonts w:hint="eastAsia" w:ascii="SimHei" w:hAnsi="SimHei" w:eastAsia="黑体" w:cs="楷体"/>
          <w:w w:val="80"/>
        </w:rPr>
        <w:t></w:t>
      </w:r>
      <w:r>
        <w:rPr>
          <w:rFonts w:hint="eastAsia" w:ascii="SimHei" w:hAnsi="SimHei" w:eastAsia="黑体" w:cs="楷体"/>
          <w:w w:val="80"/>
          <w:lang w:val="en-US" w:eastAsia="zh-CN"/>
        </w:rPr>
        <w:t xml:space="preserve">  </w:t>
      </w:r>
      <w:r>
        <w:rPr>
          <w:rFonts w:hint="eastAsia" w:ascii="SimHei" w:hAnsi="SimHei" w:eastAsia="黑体" w:cs="楷体"/>
          <w:w w:val="105"/>
          <w:sz w:val="14"/>
        </w:rPr>
        <w:t>12</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180" w:firstLineChars="3700"/>
        <w:jc w:val="both"/>
        <w:textAlignment w:val="auto"/>
        <w:rPr>
          <w:rFonts w:hint="eastAsia" w:ascii="楷体" w:hAnsi="楷体" w:eastAsia="楷体" w:cs="楷体"/>
        </w:rPr>
        <w:sectPr>
          <w:type w:val="continuous"/>
          <w:pgSz w:w="11910" w:h="16840"/>
          <w:pgMar w:top="850" w:right="1474" w:bottom="850" w:left="1474" w:header="720" w:footer="720" w:gutter="0"/>
          <w:pgBorders>
            <w:top w:val="none" w:sz="0" w:space="0"/>
            <w:left w:val="none" w:sz="0" w:space="0"/>
            <w:bottom w:val="none" w:sz="0" w:space="0"/>
            <w:right w:val="none" w:sz="0" w:space="0"/>
          </w:pgBorders>
          <w:pgNumType w:fmt="decimal"/>
        </w:sectPr>
      </w:pPr>
      <w:r>
        <w:rPr>
          <w:rFonts w:hint="eastAsia" w:ascii="SimHei" w:hAnsi="SimHei" w:eastAsia="黑体" w:cs="楷体"/>
          <w:sz w:val="14"/>
          <w:lang w:val="en-US" w:eastAsia="zh-CN"/>
        </w:rPr>
        <w:t>i=</w:t>
      </w:r>
      <w:r>
        <w:rPr>
          <w:rFonts w:hint="eastAsia" w:ascii="SimHei" w:hAnsi="SimHei" w:eastAsia="黑体" w:cs="楷体"/>
          <w:sz w:val="14"/>
        </w:rPr>
        <w:t>1</w:t>
      </w:r>
      <w:r>
        <w:rPr>
          <w:rFonts w:hint="eastAsia" w:ascii="SimHei" w:hAnsi="SimHei" w:eastAsia="黑体" w:cs="楷体"/>
          <w:sz w:val="14"/>
          <w:lang w:val="en-US" w:eastAsia="zh-CN"/>
        </w:rPr>
        <w:t xml:space="preserve">  </w:t>
      </w:r>
      <w:r>
        <w:rPr>
          <w:rFonts w:hint="eastAsia" w:ascii="SimHei" w:hAnsi="SimHei" w:eastAsia="黑体" w:cs="楷体"/>
          <w:w w:val="105"/>
        </w:rPr>
        <w:t>各月在册员工人数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公式 2-9：实际个人平均月收入的计算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实际个人平均月收入＝上年个人平均月收入×（1+</w:t>
      </w:r>
      <w:r>
        <w:rPr>
          <w:rFonts w:hint="eastAsia" w:ascii="SimHei" w:hAnsi="SimHei" w:eastAsia="黑体" w:cs="楷体"/>
          <w:spacing w:val="2"/>
        </w:rPr>
        <w:t xml:space="preserve">调整后的薪酬比率 </w:t>
      </w:r>
      <w:r>
        <w:rPr>
          <w:rFonts w:hint="eastAsia" w:ascii="SimHei" w:hAnsi="SimHei" w:eastAsia="黑体" w:cs="楷体"/>
        </w:rPr>
        <w:t xml:space="preserve">R1） </w:t>
      </w:r>
      <w:r>
        <w:rPr>
          <w:rFonts w:hint="eastAsia" w:ascii="SimHei" w:hAnsi="SimHei" w:eastAsia="黑体" w:cs="楷体"/>
          <w:spacing w:val="-10"/>
        </w:rPr>
        <w:t>经调整后，公司当年实际应发薪酬总额扣除全年的预算固定工资总额和已发放</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的浮动工资后为当年剩余浮动工资总额，这部分剩余浮动工资总额通常会低于年初</w:t>
      </w:r>
      <w:r>
        <w:rPr>
          <w:rFonts w:hint="eastAsia" w:ascii="SimHei" w:hAnsi="SimHei" w:eastAsia="黑体" w:cs="楷体"/>
          <w:spacing w:val="-10"/>
        </w:rPr>
        <w:t>预算总额，所以支付的顺序为绩效工资、年终奖、特别奖励，最后支付实行年薪制人员的绩效年薪。</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rPr>
      </w:pPr>
      <w:bookmarkStart w:id="15" w:name="_TOC_250008"/>
      <w:bookmarkEnd w:id="15"/>
      <w:bookmarkStart w:id="16" w:name="_Toc17586_WPSOffice_Level1"/>
      <w:r>
        <w:rPr>
          <w:rFonts w:hint="eastAsia" w:ascii="SimHei" w:hAnsi="SimHei" w:eastAsia="黑体" w:cs="楷体"/>
        </w:rPr>
        <w:t>第三章 薪酬体系</w:t>
      </w:r>
      <w:bookmarkEnd w:id="16"/>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21" w:firstLineChars="200"/>
        <w:jc w:val="both"/>
        <w:textAlignment w:val="auto"/>
        <w:rPr>
          <w:rFonts w:hint="eastAsia" w:ascii="楷体" w:hAnsi="楷体" w:eastAsia="楷体" w:cs="楷体"/>
          <w:b/>
          <w:sz w:val="11"/>
        </w:rPr>
      </w:pP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第十四条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职系划分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spacing w:val="-6"/>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根据公司目前工作岗位的性质，将全部岗位划分为经营管理职系、市场营销职系、专业职能职系和工勤技能职系四个职系，每个职系包含的具体岗位见附表一:</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《岗位职系划分表》。</w:t>
      </w: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第十五条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公司的薪酬体系包括三种不同的类型</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(一) 年薪制</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某集团经营管理层、子公司总经理和部分核心业务岗位。</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(二) 岗位绩效工资制</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rPr>
      </w:pPr>
      <w:r>
        <w:rPr>
          <w:rFonts w:hint="eastAsia" w:ascii="SimHei" w:hAnsi="SimHei" w:eastAsia="黑体" w:cs="楷体"/>
          <w:spacing w:val="-4"/>
        </w:rPr>
        <w:t>适用于经营管理职系中层管理岗位</w:t>
      </w:r>
      <w:r>
        <w:rPr>
          <w:rFonts w:hint="eastAsia" w:ascii="SimHei" w:hAnsi="SimHei" w:eastAsia="黑体" w:cs="楷体"/>
        </w:rPr>
        <w:t>（享受年薪制的岗位除外</w:t>
      </w:r>
      <w:r>
        <w:rPr>
          <w:rFonts w:hint="eastAsia" w:ascii="SimHei" w:hAnsi="SimHei" w:eastAsia="黑体" w:cs="楷体"/>
          <w:spacing w:val="-120"/>
        </w:rPr>
        <w:t>）</w:t>
      </w:r>
      <w:r>
        <w:rPr>
          <w:rFonts w:hint="eastAsia" w:ascii="SimHei" w:hAnsi="SimHei" w:eastAsia="黑体" w:cs="楷体"/>
          <w:spacing w:val="-7"/>
        </w:rPr>
        <w:t>、市场营销职系、专业职能职系和工勤技能职系的岗位。</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(三) 协议工资制</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主要适用于临时聘用或有长期合约的高级业务人才和高级管理人才。</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rPr>
      </w:pPr>
      <w:bookmarkStart w:id="17" w:name="_TOC_250007"/>
      <w:bookmarkEnd w:id="17"/>
      <w:bookmarkStart w:id="18" w:name="_Toc11714_WPSOffice_Level1"/>
      <w:r>
        <w:rPr>
          <w:rFonts w:hint="eastAsia" w:ascii="SimHei" w:hAnsi="SimHei" w:eastAsia="黑体" w:cs="楷体"/>
        </w:rPr>
        <w:t>第四章 年薪制</w:t>
      </w:r>
      <w:bookmarkEnd w:id="18"/>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21" w:firstLineChars="200"/>
        <w:jc w:val="both"/>
        <w:textAlignment w:val="auto"/>
        <w:rPr>
          <w:rFonts w:hint="eastAsia" w:ascii="楷体" w:hAnsi="楷体" w:eastAsia="楷体" w:cs="楷体"/>
          <w:b/>
          <w:sz w:val="11"/>
        </w:rPr>
      </w:pP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第十六条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适用范围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某集团经营管理岗位及子公司经营管理岗位：</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某集团经营管理岗位（总经理、副总经理、总监、总工等</w:t>
      </w:r>
      <w:r>
        <w:rPr>
          <w:rFonts w:hint="eastAsia" w:ascii="SimHei" w:hAnsi="SimHei" w:eastAsia="黑体" w:cs="楷体"/>
          <w:spacing w:val="-120"/>
        </w:rPr>
        <w:t>）</w:t>
      </w:r>
      <w:r>
        <w:rPr>
          <w:rFonts w:hint="eastAsia" w:ascii="SimHei" w:hAnsi="SimHei" w:eastAsia="黑体" w:cs="楷体"/>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（二）子公司总经理岗位</w:t>
      </w: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第十七条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年薪结构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年薪总额由基本年薪和绩效年薪组成。其中基本年薪与绩效年薪的比例各为</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50%。</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20" w:firstLineChars="200"/>
        <w:jc w:val="both"/>
        <w:textAlignment w:val="auto"/>
        <w:rPr>
          <w:rFonts w:hint="eastAsia" w:ascii="楷体" w:hAnsi="楷体" w:eastAsia="楷体" w:cs="楷体"/>
          <w:sz w:val="16"/>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公式 4-1：年薪收入 ＝ 基本年薪 ＋ 绩效年薪</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40" w:firstLineChars="200"/>
        <w:jc w:val="both"/>
        <w:textAlignment w:val="auto"/>
        <w:rPr>
          <w:rFonts w:hint="eastAsia" w:ascii="楷体" w:hAnsi="楷体" w:eastAsia="楷体" w:cs="楷体"/>
          <w:sz w:val="17"/>
        </w:rPr>
      </w:pP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第十八条</w:t>
      </w:r>
      <w:r>
        <w:rPr>
          <w:rFonts w:hint="eastAsia" w:ascii="SimHei" w:hAnsi="SimHei" w:eastAsia="黑体" w:cs="楷体"/>
          <w:b/>
          <w:w w:val="105"/>
          <w:sz w:val="23"/>
          <w:lang w:eastAsia="zh-CN"/>
        </w:rPr>
        <w:t xml:space="preserve"> </w:t>
      </w:r>
      <w:r>
        <w:rPr>
          <w:rFonts w:hint="eastAsia" w:ascii="SimHei" w:hAnsi="SimHei" w:eastAsia="黑体" w:cs="楷体"/>
          <w:b/>
          <w:sz w:val="23"/>
        </w:rPr>
        <w:t>基本年薪</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基本年薪是年薪中按月平均发放的部分。 公式</w:t>
      </w:r>
      <w:r>
        <w:rPr>
          <w:rFonts w:hint="eastAsia" w:ascii="SimHei" w:hAnsi="SimHei" w:eastAsia="黑体" w:cs="楷体"/>
          <w:spacing w:val="-60"/>
        </w:rPr>
        <w:t xml:space="preserve"> </w:t>
      </w:r>
      <w:r>
        <w:rPr>
          <w:rFonts w:hint="eastAsia" w:ascii="SimHei" w:hAnsi="SimHei" w:eastAsia="黑体" w:cs="楷体"/>
        </w:rPr>
        <w:t xml:space="preserve">4-2：月度基本工资 ＝ 基本年薪 / 12 </w:t>
      </w:r>
    </w:p>
    <w:p>
      <w:pPr>
        <w:pStyle w:val="4"/>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p>
    <w:p>
      <w:pPr>
        <w:pStyle w:val="4"/>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b/>
          <w:sz w:val="23"/>
        </w:rPr>
      </w:pPr>
      <w:r>
        <w:rPr>
          <w:rFonts w:hint="eastAsia" w:ascii="SimHei" w:hAnsi="SimHei" w:eastAsia="黑体" w:cs="楷体"/>
          <w:b/>
          <w:sz w:val="23"/>
        </w:rPr>
        <w:t>第十九条</w:t>
      </w:r>
      <w:r>
        <w:rPr>
          <w:rFonts w:hint="eastAsia" w:ascii="SimHei" w:hAnsi="SimHei" w:eastAsia="黑体" w:cs="楷体"/>
          <w:b/>
          <w:sz w:val="23"/>
          <w:lang w:eastAsia="zh-CN"/>
        </w:rPr>
        <w:t xml:space="preserve"> </w:t>
      </w:r>
      <w:r>
        <w:rPr>
          <w:rFonts w:hint="eastAsia" w:ascii="SimHei" w:hAnsi="SimHei" w:eastAsia="黑体" w:cs="楷体"/>
          <w:b/>
          <w:sz w:val="23"/>
        </w:rPr>
        <w:t>绩效年薪</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2" w:firstLineChars="200"/>
        <w:jc w:val="both"/>
        <w:textAlignment w:val="auto"/>
        <w:rPr>
          <w:rFonts w:hint="eastAsia" w:ascii="楷体" w:hAnsi="楷体" w:eastAsia="楷体" w:cs="楷体"/>
          <w:spacing w:val="-7"/>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2" w:firstLineChars="200"/>
        <w:jc w:val="both"/>
        <w:textAlignment w:val="auto"/>
        <w:rPr>
          <w:rFonts w:hint="eastAsia" w:ascii="楷体" w:hAnsi="楷体" w:eastAsia="楷体" w:cs="楷体"/>
        </w:rPr>
      </w:pPr>
      <w:r>
        <w:rPr>
          <w:rFonts w:hint="eastAsia" w:ascii="SimHei" w:hAnsi="SimHei" w:eastAsia="黑体" w:cs="楷体"/>
          <w:spacing w:val="-7"/>
        </w:rPr>
        <w:t>绩效年薪根据任职人员年度考核结果发放。</w:t>
      </w:r>
      <w:r>
        <w:rPr>
          <w:rFonts w:hint="eastAsia" w:ascii="SimHei" w:hAnsi="SimHei" w:eastAsia="黑体" w:cs="楷体"/>
        </w:rPr>
        <w:t>（考核办法见《某集团股份有限</w:t>
      </w:r>
      <w:r>
        <w:rPr>
          <w:rFonts w:hint="eastAsia" w:ascii="SimHei" w:hAnsi="SimHei" w:eastAsia="黑体" w:cs="楷体"/>
          <w:spacing w:val="-14"/>
        </w:rPr>
        <w:t>公司绩效管理制度》</w:t>
      </w:r>
      <w:r>
        <w:rPr>
          <w:rFonts w:hint="eastAsia" w:ascii="SimHei" w:hAnsi="SimHei" w:eastAsia="黑体" w:cs="楷体"/>
          <w:spacing w:val="-120"/>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公式 4-3：实际发放的绩效年薪＝标准绩效年薪×个人年度绩效系数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40" w:firstLineChars="200"/>
        <w:jc w:val="both"/>
        <w:textAlignment w:val="auto"/>
        <w:rPr>
          <w:rFonts w:hint="eastAsia" w:ascii="楷体" w:hAnsi="楷体" w:eastAsia="楷体" w:cs="楷体"/>
          <w:sz w:val="17"/>
        </w:rPr>
      </w:pP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第二十条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年薪发放</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21" w:firstLineChars="200"/>
        <w:jc w:val="both"/>
        <w:textAlignment w:val="auto"/>
        <w:rPr>
          <w:rFonts w:hint="eastAsia" w:ascii="楷体" w:hAnsi="楷体" w:eastAsia="楷体" w:cs="楷体"/>
          <w:b/>
          <w:sz w:val="16"/>
        </w:rPr>
      </w:pPr>
    </w:p>
    <w:p>
      <w:pPr>
        <w:pStyle w:val="10"/>
        <w:keepNext w:val="0"/>
        <w:keepLines w:val="0"/>
        <w:pageBreakBefore w:val="0"/>
        <w:widowControl w:val="0"/>
        <w:numPr>
          <w:ilvl w:val="0"/>
          <w:numId w:val="2"/>
        </w:numPr>
        <w:tabs>
          <w:tab w:val="left" w:pos="1160"/>
          <w:tab w:val="left" w:pos="116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基本年薪每月定期发放。</w:t>
      </w:r>
    </w:p>
    <w:p>
      <w:pPr>
        <w:pStyle w:val="10"/>
        <w:keepNext w:val="0"/>
        <w:keepLines w:val="0"/>
        <w:pageBreakBefore w:val="0"/>
        <w:widowControl w:val="0"/>
        <w:numPr>
          <w:ilvl w:val="0"/>
          <w:numId w:val="2"/>
        </w:numPr>
        <w:tabs>
          <w:tab w:val="left" w:pos="1160"/>
          <w:tab w:val="left" w:pos="1161"/>
        </w:tabs>
        <w:kinsoku/>
        <w:wordWrap/>
        <w:overflowPunct/>
        <w:topLinePunct w:val="0"/>
        <w:autoSpaceDE w:val="0"/>
        <w:autoSpaceDN w:val="0"/>
        <w:bidi w:val="0"/>
        <w:adjustRightInd/>
        <w:snapToGrid/>
        <w:spacing w:before="0" w:after="0" w:line="360" w:lineRule="auto"/>
        <w:ind w:left="0" w:right="0" w:firstLine="448" w:firstLineChars="200"/>
        <w:jc w:val="both"/>
        <w:textAlignment w:val="auto"/>
        <w:rPr>
          <w:rFonts w:hint="eastAsia" w:ascii="楷体" w:hAnsi="楷体" w:eastAsia="楷体" w:cs="楷体"/>
          <w:sz w:val="24"/>
        </w:rPr>
      </w:pPr>
      <w:r>
        <w:rPr>
          <w:rFonts w:hint="eastAsia" w:ascii="SimHei" w:hAnsi="SimHei" w:eastAsia="黑体" w:cs="楷体"/>
          <w:spacing w:val="-8"/>
          <w:sz w:val="24"/>
        </w:rPr>
        <w:t xml:space="preserve">绩效年薪于次年 </w:t>
      </w:r>
      <w:r>
        <w:rPr>
          <w:rFonts w:hint="eastAsia" w:ascii="SimHei" w:hAnsi="SimHei" w:eastAsia="黑体" w:cs="楷体"/>
          <w:sz w:val="24"/>
        </w:rPr>
        <w:t>1</w:t>
      </w:r>
      <w:r>
        <w:rPr>
          <w:rFonts w:hint="eastAsia" w:ascii="SimHei" w:hAnsi="SimHei" w:eastAsia="黑体" w:cs="楷体"/>
          <w:spacing w:val="-8"/>
          <w:sz w:val="24"/>
        </w:rPr>
        <w:t xml:space="preserve"> 月核算后一次性发放。</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rPr>
      </w:pPr>
      <w:bookmarkStart w:id="19" w:name="_TOC_250006"/>
      <w:bookmarkEnd w:id="19"/>
      <w:bookmarkStart w:id="20" w:name="_Toc22551_WPSOffice_Level1"/>
      <w:r>
        <w:rPr>
          <w:rFonts w:hint="eastAsia" w:ascii="SimHei" w:hAnsi="SimHei" w:eastAsia="黑体" w:cs="楷体"/>
        </w:rPr>
        <w:t>第五章 岗位绩效工资制</w:t>
      </w:r>
      <w:bookmarkEnd w:id="20"/>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第二十一条 适用范围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rPr>
      </w:pPr>
      <w:r>
        <w:rPr>
          <w:rFonts w:hint="eastAsia" w:ascii="SimHei" w:hAnsi="SimHei" w:eastAsia="黑体" w:cs="楷体"/>
          <w:spacing w:val="-5"/>
        </w:rPr>
        <w:t>岗位绩效工资制适用于经营管理职系中层管理岗位</w:t>
      </w:r>
      <w:r>
        <w:rPr>
          <w:rFonts w:hint="eastAsia" w:ascii="SimHei" w:hAnsi="SimHei" w:eastAsia="黑体" w:cs="楷体"/>
        </w:rPr>
        <w:t>（享受年薪制的岗位除外</w:t>
      </w:r>
      <w:r>
        <w:rPr>
          <w:rFonts w:hint="eastAsia" w:ascii="SimHei" w:hAnsi="SimHei" w:eastAsia="黑体" w:cs="楷体"/>
          <w:spacing w:val="-120"/>
        </w:rPr>
        <w:t>）</w:t>
      </w:r>
      <w:r>
        <w:rPr>
          <w:rFonts w:hint="eastAsia" w:ascii="SimHei" w:hAnsi="SimHei" w:eastAsia="黑体" w:cs="楷体"/>
        </w:rPr>
        <w:t>、市场营销职系、专业职能职系和工勤技能职系的岗位。</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第二十二条 薪酬结构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采用岗位绩效工资制的公司员工的薪酬结构包含如下元素。公式 5-1：个人年收入总额的计算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个人年收入总额 ＝基本工资 + 岗位工资 + 年终奖</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40" w:firstLineChars="200"/>
        <w:jc w:val="both"/>
        <w:textAlignment w:val="auto"/>
        <w:rPr>
          <w:rFonts w:hint="eastAsia" w:ascii="楷体" w:hAnsi="楷体" w:eastAsia="楷体" w:cs="楷体"/>
          <w:sz w:val="17"/>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第二十三条 基本工资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rPr>
      </w:pPr>
      <w:r>
        <w:rPr>
          <w:rFonts w:hint="eastAsia" w:ascii="SimHei" w:hAnsi="SimHei" w:eastAsia="黑体" w:cs="楷体"/>
          <w:spacing w:val="-5"/>
        </w:rPr>
        <w:t>基本工资是为保障员工基本生活而设置的薪酬元素。根据行业薪酬状况、地区收入变化程度及员工的工龄等因素来确定，并于每月固定发放。</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公式 5-2：基本工资的计算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基本工资 = 企业最低工资 + 工龄工资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20" w:firstLineChars="200"/>
        <w:jc w:val="both"/>
        <w:textAlignment w:val="auto"/>
        <w:rPr>
          <w:rFonts w:hint="eastAsia" w:ascii="楷体" w:hAnsi="楷体" w:eastAsia="楷体" w:cs="楷体"/>
          <w:sz w:val="16"/>
        </w:rPr>
      </w:pPr>
    </w:p>
    <w:p>
      <w:pPr>
        <w:pStyle w:val="10"/>
        <w:keepNext w:val="0"/>
        <w:keepLines w:val="0"/>
        <w:pageBreakBefore w:val="0"/>
        <w:widowControl w:val="0"/>
        <w:numPr>
          <w:ilvl w:val="0"/>
          <w:numId w:val="3"/>
        </w:numPr>
        <w:tabs>
          <w:tab w:val="left" w:pos="107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企业最低工资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当安顺市企业最低工资标准发生变化时，公司可根据实际情况将此部分工资作相应调整。</w:t>
      </w:r>
    </w:p>
    <w:p>
      <w:pPr>
        <w:pStyle w:val="10"/>
        <w:keepNext w:val="0"/>
        <w:keepLines w:val="0"/>
        <w:pageBreakBefore w:val="0"/>
        <w:widowControl w:val="0"/>
        <w:numPr>
          <w:ilvl w:val="0"/>
          <w:numId w:val="3"/>
        </w:numPr>
        <w:tabs>
          <w:tab w:val="left" w:pos="107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工龄工资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ascii="楷体" w:hAnsi="楷体" w:eastAsia="楷体" w:cs="楷体"/>
        </w:rPr>
      </w:pPr>
      <w:r>
        <w:rPr>
          <w:rFonts w:hint="eastAsia" w:ascii="SimHei" w:hAnsi="SimHei" w:eastAsia="黑体" w:cs="楷体"/>
          <w:spacing w:val="-3"/>
        </w:rPr>
        <w:t xml:space="preserve">工龄工资依据员工实际工龄年限计算，每年按 </w:t>
      </w:r>
      <w:r>
        <w:rPr>
          <w:rFonts w:hint="eastAsia" w:ascii="SimHei" w:hAnsi="SimHei" w:eastAsia="黑体" w:cs="楷体"/>
        </w:rPr>
        <w:t>20</w:t>
      </w:r>
      <w:r>
        <w:rPr>
          <w:rFonts w:hint="eastAsia" w:ascii="SimHei" w:hAnsi="SimHei" w:eastAsia="黑体" w:cs="楷体"/>
          <w:spacing w:val="-13"/>
        </w:rPr>
        <w:t xml:space="preserve"> 元计发，最高不超过 </w:t>
      </w:r>
      <w:r>
        <w:rPr>
          <w:rFonts w:hint="eastAsia" w:ascii="SimHei" w:hAnsi="SimHei" w:eastAsia="黑体" w:cs="楷体"/>
        </w:rPr>
        <w:t>20</w:t>
      </w:r>
      <w:r>
        <w:rPr>
          <w:rFonts w:hint="eastAsia" w:ascii="SimHei" w:hAnsi="SimHei" w:eastAsia="黑体" w:cs="楷体"/>
          <w:spacing w:val="-20"/>
        </w:rPr>
        <w:t xml:space="preserve"> 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已经超过 20 年工龄员工按现有工龄工资计发，不再累计。</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40" w:firstLineChars="200"/>
        <w:jc w:val="both"/>
        <w:textAlignment w:val="auto"/>
        <w:rPr>
          <w:rFonts w:hint="eastAsia" w:ascii="楷体" w:hAnsi="楷体" w:eastAsia="楷体" w:cs="楷体"/>
          <w:sz w:val="17"/>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第二十四条 岗位工资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岗位工资与公司绩效、部门绩效考核和个人绩效考核结果挂钩，按月度发放。公式 5-3：个人月度实发岗位工资的计算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个人月度实发岗位工资 ＝ 岗位工资×个人绩效系数其中：</w:t>
      </w:r>
    </w:p>
    <w:p>
      <w:pPr>
        <w:pStyle w:val="10"/>
        <w:keepNext w:val="0"/>
        <w:keepLines w:val="0"/>
        <w:pageBreakBefore w:val="0"/>
        <w:widowControl w:val="0"/>
        <w:numPr>
          <w:ilvl w:val="0"/>
          <w:numId w:val="4"/>
        </w:numPr>
        <w:tabs>
          <w:tab w:val="left" w:pos="1071"/>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标准岗位工资的具体发放标准参见附表二《岗位薪酬等级对照表》；</w:t>
      </w:r>
    </w:p>
    <w:p>
      <w:pPr>
        <w:pStyle w:val="10"/>
        <w:keepNext w:val="0"/>
        <w:keepLines w:val="0"/>
        <w:pageBreakBefore w:val="0"/>
        <w:widowControl w:val="0"/>
        <w:numPr>
          <w:ilvl w:val="0"/>
          <w:numId w:val="4"/>
        </w:numPr>
        <w:tabs>
          <w:tab w:val="left" w:pos="107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个人绩效系数等于上一季度的个人绩效系数；</w:t>
      </w:r>
    </w:p>
    <w:p>
      <w:pPr>
        <w:pStyle w:val="10"/>
        <w:keepNext w:val="0"/>
        <w:keepLines w:val="0"/>
        <w:pageBreakBefore w:val="0"/>
        <w:widowControl w:val="0"/>
        <w:numPr>
          <w:ilvl w:val="0"/>
          <w:numId w:val="4"/>
        </w:numPr>
        <w:tabs>
          <w:tab w:val="left" w:pos="1071"/>
        </w:tabs>
        <w:kinsoku/>
        <w:wordWrap/>
        <w:overflowPunct/>
        <w:topLinePunct w:val="0"/>
        <w:autoSpaceDE w:val="0"/>
        <w:autoSpaceDN w:val="0"/>
        <w:bidi w:val="0"/>
        <w:adjustRightInd/>
        <w:snapToGrid/>
        <w:spacing w:before="0" w:after="0" w:line="360" w:lineRule="auto"/>
        <w:ind w:left="0" w:right="0" w:firstLine="504" w:firstLineChars="200"/>
        <w:jc w:val="both"/>
        <w:textAlignment w:val="auto"/>
        <w:rPr>
          <w:rFonts w:hint="eastAsia" w:ascii="楷体" w:hAnsi="楷体" w:eastAsia="楷体" w:cs="楷体"/>
        </w:rPr>
      </w:pPr>
      <w:r>
        <w:rPr>
          <w:rFonts w:hint="eastAsia" w:ascii="SimHei" w:hAnsi="SimHei" w:eastAsia="黑体" w:cs="楷体"/>
          <w:spacing w:val="6"/>
          <w:sz w:val="24"/>
        </w:rPr>
        <w:t>个人绩效系数的具体确定方法参见《某集团股份公司绩效管理制</w:t>
      </w:r>
      <w:r>
        <w:rPr>
          <w:rFonts w:hint="eastAsia" w:ascii="SimHei" w:hAnsi="SimHei" w:eastAsia="黑体" w:cs="楷体"/>
          <w:spacing w:val="-80"/>
        </w:rPr>
        <w:t>度》。</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第二十五条 年终奖</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年终奖的计算发放规定见本制度年终奖具体规定。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rPr>
      </w:pPr>
      <w:bookmarkStart w:id="21" w:name="_TOC_250005"/>
      <w:bookmarkEnd w:id="21"/>
      <w:bookmarkStart w:id="22" w:name="_Toc15161_WPSOffice_Level1"/>
      <w:r>
        <w:rPr>
          <w:rFonts w:hint="eastAsia" w:ascii="SimHei" w:hAnsi="SimHei" w:eastAsia="黑体" w:cs="楷体"/>
        </w:rPr>
        <w:t>第六章 协议工资制</w:t>
      </w:r>
      <w:bookmarkEnd w:id="22"/>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21" w:firstLineChars="200"/>
        <w:jc w:val="both"/>
        <w:textAlignment w:val="auto"/>
        <w:rPr>
          <w:rFonts w:hint="eastAsia" w:ascii="楷体" w:hAnsi="楷体" w:eastAsia="楷体" w:cs="楷体"/>
          <w:b/>
          <w:sz w:val="11"/>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第二十六条 适用范围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协议工资制实施的具体对象包括：</w:t>
      </w:r>
    </w:p>
    <w:p>
      <w:pPr>
        <w:pStyle w:val="10"/>
        <w:keepNext w:val="0"/>
        <w:keepLines w:val="0"/>
        <w:pageBreakBefore w:val="0"/>
        <w:widowControl w:val="0"/>
        <w:numPr>
          <w:ilvl w:val="0"/>
          <w:numId w:val="5"/>
        </w:numPr>
        <w:tabs>
          <w:tab w:val="left" w:pos="107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高级人才：指包括专业课题负责人、专题项目开发的专家顾问等面向社会</w:t>
      </w:r>
      <w:r>
        <w:rPr>
          <w:rFonts w:hint="eastAsia" w:ascii="SimHei" w:hAnsi="SimHei" w:eastAsia="黑体" w:cs="楷体"/>
          <w:spacing w:val="2"/>
          <w:sz w:val="24"/>
        </w:rPr>
        <w:t>公开招聘的岗位，当目前的薪酬体制难以招聘到受聘于此类关键岗位的高级人才</w:t>
      </w:r>
      <w:r>
        <w:rPr>
          <w:rFonts w:hint="eastAsia" w:ascii="SimHei" w:hAnsi="SimHei" w:eastAsia="黑体" w:cs="楷体"/>
          <w:spacing w:val="-10"/>
          <w:sz w:val="24"/>
        </w:rPr>
        <w:t>时，可以通过组织专家评估，择优聘任，与受聘人员协商确定工资收入水平和支付方式，达成一致意见后签订协议工资合同。</w:t>
      </w:r>
    </w:p>
    <w:p>
      <w:pPr>
        <w:pStyle w:val="10"/>
        <w:keepNext w:val="0"/>
        <w:keepLines w:val="0"/>
        <w:pageBreakBefore w:val="0"/>
        <w:widowControl w:val="0"/>
        <w:numPr>
          <w:ilvl w:val="0"/>
          <w:numId w:val="5"/>
        </w:numPr>
        <w:tabs>
          <w:tab w:val="left" w:pos="107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外部兼职人员：指公司外部人员在公司兼职担任某项工作或岗位的人员。</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40" w:firstLineChars="200"/>
        <w:jc w:val="both"/>
        <w:textAlignment w:val="auto"/>
        <w:rPr>
          <w:rFonts w:hint="eastAsia" w:ascii="楷体" w:hAnsi="楷体" w:eastAsia="楷体" w:cs="楷体"/>
          <w:sz w:val="17"/>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第二十七条 协议工资的确定与发放</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协议工资以市场价格为基础，在双方谈判的基础上确定。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rPr>
      </w:pPr>
      <w:r>
        <w:rPr>
          <w:rFonts w:hint="eastAsia" w:ascii="SimHei" w:hAnsi="SimHei" w:eastAsia="黑体" w:cs="楷体"/>
          <w:spacing w:val="-4"/>
        </w:rPr>
        <w:t>采取协议工资制的人员和协议工资额需经人力资源部提出，经总经理办公会确定，报董事会审批后实施。</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rPr>
      </w:pPr>
      <w:r>
        <w:rPr>
          <w:rFonts w:hint="eastAsia" w:ascii="SimHei" w:hAnsi="SimHei" w:eastAsia="黑体" w:cs="楷体"/>
          <w:spacing w:val="-4"/>
        </w:rPr>
        <w:t>实行协议工资制的员工与公司之间签订书面工资协议，明确规定薪酬总额、发</w:t>
      </w:r>
      <w:r>
        <w:rPr>
          <w:rFonts w:hint="eastAsia" w:ascii="SimHei" w:hAnsi="SimHei" w:eastAsia="黑体" w:cs="楷体"/>
          <w:spacing w:val="-10"/>
        </w:rPr>
        <w:t>放方式、工作内容和考核方法。实行协议工资制的员工若未能达到协议要求，其薪酬将按照协议的规定执行。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rPr>
      </w:pPr>
      <w:bookmarkStart w:id="23" w:name="_TOC_250004"/>
      <w:bookmarkEnd w:id="23"/>
      <w:bookmarkStart w:id="24" w:name="_Toc29537_WPSOffice_Level1"/>
      <w:r>
        <w:rPr>
          <w:rFonts w:hint="eastAsia" w:ascii="SimHei" w:hAnsi="SimHei" w:eastAsia="黑体" w:cs="楷体"/>
        </w:rPr>
        <w:t>第七章 年终奖</w:t>
      </w:r>
      <w:bookmarkEnd w:id="24"/>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21" w:firstLineChars="200"/>
        <w:jc w:val="both"/>
        <w:textAlignment w:val="auto"/>
        <w:rPr>
          <w:rFonts w:hint="eastAsia" w:ascii="楷体" w:hAnsi="楷体" w:eastAsia="楷体" w:cs="楷体"/>
          <w:b/>
          <w:sz w:val="11"/>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第二十八条 适用范围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rPr>
      </w:pPr>
      <w:r>
        <w:rPr>
          <w:rFonts w:hint="eastAsia" w:ascii="SimHei" w:hAnsi="SimHei" w:eastAsia="黑体" w:cs="楷体"/>
          <w:spacing w:val="-5"/>
        </w:rPr>
        <w:t>年终奖是为员工共享公司经营成果而设立的奖项，体现了公司年度绩效、各部</w:t>
      </w:r>
      <w:r>
        <w:rPr>
          <w:rFonts w:hint="eastAsia" w:ascii="SimHei" w:hAnsi="SimHei" w:eastAsia="黑体" w:cs="楷体"/>
          <w:spacing w:val="-10"/>
        </w:rPr>
        <w:t>门的年度绩效以及员工个人年度工作表现。年终奖主要适用于采取岗位绩效工资制的所有员工。</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第二十九条 年终奖预算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rPr>
      </w:pPr>
      <w:r>
        <w:rPr>
          <w:rFonts w:hint="eastAsia" w:ascii="SimHei" w:hAnsi="SimHei" w:eastAsia="黑体" w:cs="楷体"/>
          <w:spacing w:val="-5"/>
        </w:rPr>
        <w:t>年终奖总额的提取根据公司当年经营情况、外部薪酬市场行情、公司当年薪酬</w:t>
      </w:r>
      <w:r>
        <w:rPr>
          <w:rFonts w:hint="eastAsia" w:ascii="SimHei" w:hAnsi="SimHei" w:eastAsia="黑体" w:cs="楷体"/>
          <w:spacing w:val="-9"/>
        </w:rPr>
        <w:t xml:space="preserve">政策确定，一般占薪酬总额的 </w:t>
      </w:r>
      <w:r>
        <w:rPr>
          <w:rFonts w:hint="eastAsia" w:ascii="SimHei" w:hAnsi="SimHei" w:eastAsia="黑体" w:cs="楷体"/>
        </w:rPr>
        <w:t>10~15%，具体视公司年度经营情况而定。</w:t>
      </w: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第三十条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年终奖实际总额确定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4" w:firstLineChars="200"/>
        <w:jc w:val="both"/>
        <w:textAlignment w:val="auto"/>
        <w:rPr>
          <w:rFonts w:hint="eastAsia" w:ascii="楷体" w:hAnsi="楷体" w:eastAsia="楷体" w:cs="楷体"/>
        </w:rPr>
      </w:pPr>
      <w:r>
        <w:rPr>
          <w:rFonts w:hint="eastAsia" w:ascii="SimHei" w:hAnsi="SimHei" w:eastAsia="黑体" w:cs="楷体"/>
          <w:spacing w:val="-9"/>
        </w:rPr>
        <w:t>每年年终，人力资源部应根据当年利润实现情况、薪酬已发放情况和特殊奖励</w:t>
      </w:r>
      <w:r>
        <w:rPr>
          <w:rFonts w:hint="eastAsia" w:ascii="SimHei" w:hAnsi="SimHei" w:eastAsia="黑体" w:cs="楷体"/>
          <w:spacing w:val="-14"/>
        </w:rPr>
        <w:t>发放情况计算年终奖总额，并计算年终奖分配系数，经公司主管领导审核后报总经理办公会批准。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公式 7-1： 年终奖总额计算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20" w:firstLineChars="200"/>
        <w:jc w:val="both"/>
        <w:textAlignment w:val="auto"/>
        <w:rPr>
          <w:rFonts w:hint="eastAsia" w:ascii="楷体" w:hAnsi="楷体" w:eastAsia="楷体" w:cs="楷体"/>
          <w:sz w:val="16"/>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年终奖总额＝当年实际薪酬总额－已发放薪酬总额－薪酬储备－特殊奖励</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40" w:firstLineChars="200"/>
        <w:jc w:val="both"/>
        <w:textAlignment w:val="auto"/>
        <w:rPr>
          <w:rFonts w:hint="eastAsia" w:ascii="楷体" w:hAnsi="楷体" w:eastAsia="楷体" w:cs="楷体"/>
          <w:sz w:val="17"/>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第三十一条 员工年终奖的核算与发放</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享受年终奖的员工，其年终奖与部门年度考核系数、个人年度考核系数挂钩， 于次年一月份核算后，按二级分配流程发放：</w:t>
      </w:r>
    </w:p>
    <w:p>
      <w:pPr>
        <w:pStyle w:val="10"/>
        <w:keepNext w:val="0"/>
        <w:keepLines w:val="0"/>
        <w:pageBreakBefore w:val="0"/>
        <w:widowControl w:val="0"/>
        <w:numPr>
          <w:ilvl w:val="0"/>
          <w:numId w:val="6"/>
        </w:numPr>
        <w:tabs>
          <w:tab w:val="left" w:pos="107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将公司可发年终奖总额按照各部门全年考核结果的比例关系发放至部门；</w:t>
      </w:r>
    </w:p>
    <w:p>
      <w:pPr>
        <w:pStyle w:val="10"/>
        <w:keepNext w:val="0"/>
        <w:keepLines w:val="0"/>
        <w:pageBreakBefore w:val="0"/>
        <w:widowControl w:val="0"/>
        <w:numPr>
          <w:ilvl w:val="0"/>
          <w:numId w:val="6"/>
        </w:numPr>
        <w:tabs>
          <w:tab w:val="left" w:pos="107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在部门内部按照部门内员工全年考核结果的比例关系发放。</w:t>
      </w:r>
      <w:r>
        <w:rPr>
          <w:rFonts w:hint="eastAsia" w:ascii="SimHei" w:hAnsi="SimHei" w:eastAsia="黑体" w:cs="楷体"/>
          <w:spacing w:val="-20"/>
          <w:sz w:val="24"/>
        </w:rPr>
        <w:t xml:space="preserve">公式 </w:t>
      </w:r>
      <w:r>
        <w:rPr>
          <w:rFonts w:hint="eastAsia" w:ascii="SimHei" w:hAnsi="SimHei" w:eastAsia="黑体" w:cs="楷体"/>
          <w:sz w:val="24"/>
        </w:rPr>
        <w:t>7-2：部门年终奖的计算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部门年终奖分配额 = 公司年终奖总额×（本部门岗位价值工资总额×部门年度绩效系数）/Σ(全体参与分配部门岗位价值工资总额×部门年度绩效系数)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公式 7-3：个人年终奖的计算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个人年终奖分配额 = 部门年终奖分配额×(个人岗位价值工资×个人年度绩效系数)/(∑本部门参与分配人员岗位价值工资×参与分配人员年度绩效系数）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员工岗位发生内部跨部门调整的，年终奖按完整年度计算。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在年终奖金发放日之前离职与公司终止劳动关系的员工，年终奖不给发放。</w:t>
      </w:r>
      <w:bookmarkStart w:id="25" w:name="_TOC_250003"/>
      <w:bookmarkEnd w:id="25"/>
      <w:bookmarkStart w:id="26" w:name="_Toc20084_WPSOffice_Level1"/>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sz w:val="28"/>
          <w:szCs w:val="28"/>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sz w:val="28"/>
          <w:szCs w:val="28"/>
        </w:rPr>
      </w:pPr>
      <w:r>
        <w:rPr>
          <w:rFonts w:hint="eastAsia" w:ascii="SimHei" w:hAnsi="SimHei" w:eastAsia="黑体" w:cs="楷体"/>
          <w:b/>
          <w:bCs/>
          <w:sz w:val="28"/>
          <w:szCs w:val="28"/>
        </w:rPr>
        <w:t>第八章 薪酬调整</w:t>
      </w:r>
      <w:bookmarkEnd w:id="26"/>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第三十二条 薪酬调整的原则</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薪酬调整采取整体调整与个别调整相结合原则。</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20" w:firstLineChars="200"/>
        <w:jc w:val="both"/>
        <w:textAlignment w:val="auto"/>
        <w:rPr>
          <w:rFonts w:hint="eastAsia" w:ascii="楷体" w:hAnsi="楷体" w:eastAsia="楷体" w:cs="楷体"/>
          <w:sz w:val="1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第三十三条 薪酬的整体调整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rPr>
      </w:pPr>
      <w:r>
        <w:rPr>
          <w:rFonts w:hint="eastAsia" w:ascii="SimHei" w:hAnsi="SimHei" w:eastAsia="黑体" w:cs="楷体"/>
          <w:spacing w:val="2"/>
        </w:rPr>
        <w:t>薪酬的整体调整由公司总经理办公会在每年初根据上年度公司的经营业绩及</w:t>
      </w:r>
      <w:r>
        <w:rPr>
          <w:rFonts w:hint="eastAsia" w:ascii="SimHei" w:hAnsi="SimHei" w:eastAsia="黑体" w:cs="楷体"/>
          <w:spacing w:val="-8"/>
        </w:rPr>
        <w:t>董事会的指标要求，参考同行业其他企业的薪酬水平变化做出整体调薪的决定，由公司人力资源部组织执行。</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rPr>
      </w:pPr>
      <w:r>
        <w:rPr>
          <w:rFonts w:hint="eastAsia" w:ascii="SimHei" w:hAnsi="SimHei" w:eastAsia="黑体" w:cs="楷体"/>
          <w:spacing w:val="-5"/>
        </w:rPr>
        <w:t>薪酬整体调整形式是改变薪点点值，实现对公司岗位工资水平的统一调整。调整周期与调整幅度根据公司绩效与公司发展情况决定。</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第三十四条 薪酬的个别调整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薪酬个别调整分为基本工资调整、岗位工资调整。</w:t>
      </w:r>
    </w:p>
    <w:p>
      <w:pPr>
        <w:pStyle w:val="10"/>
        <w:keepNext w:val="0"/>
        <w:keepLines w:val="0"/>
        <w:pageBreakBefore w:val="0"/>
        <w:widowControl w:val="0"/>
        <w:numPr>
          <w:ilvl w:val="0"/>
          <w:numId w:val="7"/>
        </w:numPr>
        <w:tabs>
          <w:tab w:val="left" w:pos="107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基本工资调整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随着工龄的增加，工龄工资每年调整，原则上每年增加 20 元（并将每年 12</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rFonts w:hint="eastAsia" w:ascii="楷体" w:hAnsi="楷体" w:eastAsia="楷体" w:cs="楷体"/>
        </w:rPr>
      </w:pPr>
      <w:r>
        <w:rPr>
          <w:rFonts w:hint="eastAsia" w:ascii="SimHei" w:hAnsi="SimHei" w:eastAsia="黑体" w:cs="楷体"/>
          <w:spacing w:val="-30"/>
        </w:rPr>
        <w:t xml:space="preserve">月 </w:t>
      </w:r>
      <w:r>
        <w:rPr>
          <w:rFonts w:hint="eastAsia" w:ascii="SimHei" w:hAnsi="SimHei" w:eastAsia="黑体" w:cs="楷体"/>
        </w:rPr>
        <w:t>31</w:t>
      </w:r>
      <w:r>
        <w:rPr>
          <w:rFonts w:hint="eastAsia" w:ascii="SimHei" w:hAnsi="SimHei" w:eastAsia="黑体" w:cs="楷体"/>
          <w:spacing w:val="-8"/>
        </w:rPr>
        <w:t xml:space="preserve"> 日为统一调整日，其他时间原则上不进行调整</w:t>
      </w:r>
      <w:r>
        <w:rPr>
          <w:rFonts w:hint="eastAsia" w:ascii="SimHei" w:hAnsi="SimHei" w:eastAsia="黑体" w:cs="楷体"/>
          <w:spacing w:val="-120"/>
        </w:rPr>
        <w:t>）</w:t>
      </w:r>
      <w:r>
        <w:rPr>
          <w:rFonts w:hint="eastAsia" w:ascii="SimHei" w:hAnsi="SimHei" w:eastAsia="黑体" w:cs="楷体"/>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rPr>
      </w:pPr>
      <w:r>
        <w:rPr>
          <w:rFonts w:hint="eastAsia" w:ascii="SimHei" w:hAnsi="SimHei" w:eastAsia="黑体" w:cs="楷体"/>
          <w:spacing w:val="-5"/>
        </w:rPr>
        <w:t>当劳动部门对企业最低工资标准进行调整时，公司根据实际情况将基本工资中的企业最低工资部分作相应调整。</w:t>
      </w:r>
    </w:p>
    <w:p>
      <w:pPr>
        <w:pStyle w:val="10"/>
        <w:keepNext w:val="0"/>
        <w:keepLines w:val="0"/>
        <w:pageBreakBefore w:val="0"/>
        <w:widowControl w:val="0"/>
        <w:numPr>
          <w:ilvl w:val="0"/>
          <w:numId w:val="7"/>
        </w:numPr>
        <w:tabs>
          <w:tab w:val="left" w:pos="107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个人岗位工资调整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个人岗位工资调整根据员工个人岗位变动和考核结果决定，每年考虑是否调整，如果调整，则包括晋级调整、调职调整、晋升调整和降职调整四种方式。</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第三十五条 薪酬的晋升通道</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rPr>
      </w:pPr>
      <w:r>
        <w:rPr>
          <w:rFonts w:hint="eastAsia" w:ascii="SimHei" w:hAnsi="SimHei" w:eastAsia="黑体" w:cs="楷体"/>
          <w:spacing w:val="-5"/>
        </w:rPr>
        <w:t>为给不同岗位员工的薪酬提供合理的晋升空间，根据岗位性质将公司岗位划分</w:t>
      </w:r>
      <w:r>
        <w:rPr>
          <w:rFonts w:hint="eastAsia" w:ascii="SimHei" w:hAnsi="SimHei" w:eastAsia="黑体" w:cs="楷体"/>
          <w:spacing w:val="-11"/>
        </w:rPr>
        <w:t>为经营管理职系、市场营销职系、专业职能职系和工勤技能职系，员工在各自岗位所在职系都可以实现薪酬的晋升。</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第三十六条 晋级调整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ascii="楷体" w:hAnsi="楷体" w:eastAsia="楷体" w:cs="楷体"/>
        </w:rPr>
      </w:pPr>
      <w:r>
        <w:rPr>
          <w:rFonts w:hint="eastAsia" w:ascii="SimHei" w:hAnsi="SimHei" w:eastAsia="黑体" w:cs="楷体"/>
          <w:spacing w:val="-3"/>
        </w:rPr>
        <w:t>每年人力资源部根据员工年度考核结果和晋升预算提出晋级人员名单，报公司主管领导审核，经总经理办公会批准后晋级。</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4" w:firstLineChars="200"/>
        <w:jc w:val="both"/>
        <w:textAlignment w:val="auto"/>
        <w:rPr>
          <w:rFonts w:hint="eastAsia" w:ascii="楷体" w:hAnsi="楷体" w:eastAsia="楷体" w:cs="楷体"/>
        </w:rPr>
      </w:pPr>
      <w:r>
        <w:rPr>
          <w:rFonts w:hint="eastAsia" w:ascii="SimHei" w:hAnsi="SimHei" w:eastAsia="黑体" w:cs="楷体"/>
          <w:spacing w:val="-9"/>
        </w:rPr>
        <w:t>除特殊情况外，对于岗位工资已达到所在职级最高档次的员工，则不再执行职级内晋升，但作为跨职级晋升的优先候选人。</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第三十七条 调岗调整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员工调岗后，岗位工资随着岗位调整而调整，调职调整存在三种情况：</w:t>
      </w:r>
    </w:p>
    <w:p>
      <w:pPr>
        <w:pStyle w:val="10"/>
        <w:keepNext w:val="0"/>
        <w:keepLines w:val="0"/>
        <w:pageBreakBefore w:val="0"/>
        <w:widowControl w:val="0"/>
        <w:numPr>
          <w:ilvl w:val="0"/>
          <w:numId w:val="8"/>
        </w:numPr>
        <w:tabs>
          <w:tab w:val="left" w:pos="107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若原岗位工资已高于新岗位所在职级对应的最高档工资，则按照新岗位所在职级对应的最高档工资计薪；</w:t>
      </w:r>
    </w:p>
    <w:p>
      <w:pPr>
        <w:pStyle w:val="10"/>
        <w:keepNext w:val="0"/>
        <w:keepLines w:val="0"/>
        <w:pageBreakBefore w:val="0"/>
        <w:widowControl w:val="0"/>
        <w:numPr>
          <w:ilvl w:val="0"/>
          <w:numId w:val="8"/>
        </w:numPr>
        <w:tabs>
          <w:tab w:val="left" w:pos="107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若原岗位工资已低于新岗位所在职级对应的最低档工资，则按照新岗位所在职级对应的最低档工资计薪；</w:t>
      </w:r>
    </w:p>
    <w:p>
      <w:pPr>
        <w:pStyle w:val="10"/>
        <w:keepNext w:val="0"/>
        <w:keepLines w:val="0"/>
        <w:pageBreakBefore w:val="0"/>
        <w:widowControl w:val="0"/>
        <w:numPr>
          <w:ilvl w:val="0"/>
          <w:numId w:val="8"/>
        </w:numPr>
        <w:tabs>
          <w:tab w:val="left" w:pos="107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若原岗位工资位于新岗位所在职级对应的最高档和最低档工资之间，则按照新岗位所在的职级对应的岗位工资就近就高档起薪。</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第三十八条 晋升调整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4" w:firstLineChars="200"/>
        <w:jc w:val="both"/>
        <w:textAlignment w:val="auto"/>
        <w:rPr>
          <w:rFonts w:hint="eastAsia" w:ascii="楷体" w:hAnsi="楷体" w:eastAsia="楷体" w:cs="楷体"/>
        </w:rPr>
      </w:pPr>
      <w:r>
        <w:rPr>
          <w:rFonts w:hint="eastAsia" w:ascii="SimHei" w:hAnsi="SimHei" w:eastAsia="黑体" w:cs="楷体"/>
          <w:spacing w:val="-9"/>
        </w:rPr>
        <w:t>员工进行跨职级晋升时，根据员工个人及所晋升岗位具体情况确定其新的岗位工资标准：</w:t>
      </w:r>
    </w:p>
    <w:p>
      <w:pPr>
        <w:pStyle w:val="10"/>
        <w:keepNext w:val="0"/>
        <w:keepLines w:val="0"/>
        <w:pageBreakBefore w:val="0"/>
        <w:widowControl w:val="0"/>
        <w:numPr>
          <w:ilvl w:val="0"/>
          <w:numId w:val="9"/>
        </w:numPr>
        <w:tabs>
          <w:tab w:val="left" w:pos="107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当新岗位工资低于其原岗位工资时，按与原岗位工资就近就高的原则在新岗位所在职级中确定新岗位工资；</w:t>
      </w:r>
    </w:p>
    <w:p>
      <w:pPr>
        <w:pStyle w:val="10"/>
        <w:keepNext w:val="0"/>
        <w:keepLines w:val="0"/>
        <w:pageBreakBefore w:val="0"/>
        <w:widowControl w:val="0"/>
        <w:numPr>
          <w:ilvl w:val="0"/>
          <w:numId w:val="9"/>
        </w:numPr>
        <w:tabs>
          <w:tab w:val="left" w:pos="107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当原岗位工资低于新岗位工资的最低档时，则按照新岗位所在的职级对应的最低档岗位工资计薪。</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第三十九条 降职调整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员工降职后，岗位工资也需要做相应调整：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rPr>
      </w:pPr>
      <w:r>
        <w:rPr>
          <w:rFonts w:hint="eastAsia" w:ascii="SimHei" w:hAnsi="SimHei" w:eastAsia="黑体" w:cs="楷体"/>
          <w:spacing w:val="-4"/>
        </w:rPr>
        <w:t>如果原来的岗位工资高于新岗位所在职级对应的最高档岗位工资，则按新岗位所在的职级的最高档起薪；</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rPr>
      </w:pPr>
      <w:r>
        <w:rPr>
          <w:rFonts w:hint="eastAsia" w:ascii="SimHei" w:hAnsi="SimHei" w:eastAsia="黑体" w:cs="楷体"/>
          <w:spacing w:val="-4"/>
        </w:rPr>
        <w:t>如果原来的岗位工资低于新岗位所在职级对应的最高档岗位工资，则按原来岗位工资对应的新岗位的职级下调一级起薪。</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sz w:val="28"/>
          <w:szCs w:val="28"/>
        </w:rPr>
      </w:pPr>
      <w:bookmarkStart w:id="27" w:name="_TOC_250002"/>
      <w:bookmarkEnd w:id="27"/>
      <w:bookmarkStart w:id="28" w:name="_Toc31240_WPSOffice_Level1"/>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sz w:val="28"/>
          <w:szCs w:val="28"/>
        </w:rPr>
      </w:pPr>
      <w:r>
        <w:rPr>
          <w:rFonts w:hint="eastAsia" w:ascii="SimHei" w:hAnsi="SimHei" w:eastAsia="黑体" w:cs="楷体"/>
          <w:b/>
          <w:bCs/>
          <w:sz w:val="28"/>
          <w:szCs w:val="28"/>
        </w:rPr>
        <w:t>第九章 社保福利</w:t>
      </w:r>
      <w:bookmarkEnd w:id="28"/>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第四十条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社会保险和福利的执行与解释</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人力资源部负责相关社会保险和福利的拟定、执行、解释。公司各部门协助福利政策的落实。</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第四十一条 社会保险的缴纳</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ascii="楷体" w:hAnsi="楷体" w:eastAsia="楷体" w:cs="楷体"/>
        </w:rPr>
      </w:pPr>
      <w:r>
        <w:rPr>
          <w:rFonts w:hint="eastAsia" w:ascii="SimHei" w:hAnsi="SimHei" w:eastAsia="黑体" w:cs="楷体"/>
          <w:spacing w:val="-3"/>
        </w:rPr>
        <w:t>公司按照国家和安顺市有关法律法规的要求为员工缴纳社会社会保险。社会保</w:t>
      </w:r>
      <w:r>
        <w:rPr>
          <w:rFonts w:hint="eastAsia" w:ascii="SimHei" w:hAnsi="SimHei" w:eastAsia="黑体" w:cs="楷体"/>
          <w:spacing w:val="-8"/>
        </w:rPr>
        <w:t>险项目包括主养老社会保险、医疗社会保险、失业社会保险、工伤社会保险、生育社会保险及住房公积金，具体金额的计算参照国家社保政策。</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第四十二条 福利项目及发放</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公司为员工提供的补助包括房补、误餐费、通讯费、差旅费、交通补助、高温费、独生子女费等，补助标准见公司相关规定。</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第四十三条 假期规定及工资发放</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员工享有各类休假的权利，休假包括法定节假日、婚假、产假、护理假、公休假等。按照公司相关规定休假的员工，休假期间的工资按照国家相关规定计发。</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第四十四条 选择性福利</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公司按照经营业绩水平的变化，经人力资源部提议，总经理批准，可酌情安排为员工提供以下其它福利：</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逢春节和中秋节等节日，公司酌情考虑向员工赠送礼品或礼金； 公司可以为全体人员每年提供一次免费体检；</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员工过生日公司可选择是否为员工购买生日蛋糕表示祝福；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员工出现重大疾病、伤残、死亡等意外事件时可以给予一次性救助金；</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员工的父母、配偶或子女死亡，公司可酌情向该名员工发放慰问金以示慰问； 根据公司绩效情况，选择为职工办理社会保险之外的附加社会保险；</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公司为相关岗位员工提供的劳动保护用品； 公司为员工提供企业年金。</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82" w:firstLineChars="200"/>
        <w:jc w:val="both"/>
        <w:textAlignment w:val="auto"/>
        <w:rPr>
          <w:rFonts w:hint="eastAsia" w:ascii="楷体" w:hAnsi="楷体" w:eastAsia="楷体" w:cs="楷体"/>
        </w:rPr>
      </w:pPr>
      <w:bookmarkStart w:id="29" w:name="_TOC_250001"/>
      <w:bookmarkEnd w:id="29"/>
      <w:bookmarkStart w:id="30" w:name="_Toc10897_WPSOffice_Level1"/>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rPr>
      </w:pPr>
      <w:r>
        <w:rPr>
          <w:rFonts w:hint="eastAsia" w:ascii="SimHei" w:hAnsi="SimHei" w:eastAsia="黑体" w:cs="楷体"/>
        </w:rPr>
        <w:t>第十章 扣款与工资发放</w:t>
      </w:r>
      <w:bookmarkEnd w:id="30"/>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第四十五条 试用期薪酬</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4" w:firstLineChars="200"/>
        <w:jc w:val="both"/>
        <w:textAlignment w:val="auto"/>
        <w:rPr>
          <w:rFonts w:hint="eastAsia" w:ascii="楷体" w:hAnsi="楷体" w:eastAsia="楷体" w:cs="楷体"/>
        </w:rPr>
      </w:pPr>
      <w:r>
        <w:rPr>
          <w:rFonts w:hint="eastAsia" w:ascii="SimHei" w:hAnsi="SimHei" w:eastAsia="黑体" w:cs="楷体"/>
          <w:spacing w:val="-9"/>
        </w:rPr>
        <w:t xml:space="preserve">试用期一般为 </w:t>
      </w:r>
      <w:r>
        <w:rPr>
          <w:rFonts w:hint="eastAsia" w:ascii="SimHei" w:hAnsi="SimHei" w:eastAsia="黑体" w:cs="楷体"/>
        </w:rPr>
        <w:t>3 ~ 6</w:t>
      </w:r>
      <w:r>
        <w:rPr>
          <w:rFonts w:hint="eastAsia" w:ascii="SimHei" w:hAnsi="SimHei" w:eastAsia="黑体" w:cs="楷体"/>
          <w:spacing w:val="-8"/>
        </w:rPr>
        <w:t xml:space="preserve"> 个月，期间员工发放全额基本工资，并按照同岗位的最低</w:t>
      </w:r>
      <w:r>
        <w:rPr>
          <w:rFonts w:hint="eastAsia" w:ascii="SimHei" w:hAnsi="SimHei" w:eastAsia="黑体" w:cs="楷体"/>
          <w:spacing w:val="-15"/>
        </w:rPr>
        <w:t xml:space="preserve">岗位工资等级的 </w:t>
      </w:r>
      <w:r>
        <w:rPr>
          <w:rFonts w:hint="eastAsia" w:ascii="SimHei" w:hAnsi="SimHei" w:eastAsia="黑体" w:cs="楷体"/>
        </w:rPr>
        <w:t>60%</w:t>
      </w:r>
      <w:r>
        <w:rPr>
          <w:rFonts w:hint="eastAsia" w:ascii="SimHei" w:hAnsi="SimHei" w:eastAsia="黑体" w:cs="楷体"/>
          <w:spacing w:val="-4"/>
        </w:rPr>
        <w:t>发放岗位工资，但仍需进行个人试用期考核，试用期考核结果仅用于员工转正，不与试用期工资挂钩。</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试用期满后考察合格上岗，按照所处岗位的岗位工资最低等级发放，并开始计发岗位绩效工资。</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第四十六条 长期外派培训或脱产学习的员工薪酬</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公司长期外派培训人员或长期脱产学习人员</w:t>
      </w:r>
      <w:r>
        <w:rPr>
          <w:rFonts w:hint="eastAsia" w:ascii="SimHei" w:hAnsi="SimHei" w:eastAsia="黑体" w:cs="楷体"/>
          <w:spacing w:val="0"/>
        </w:rPr>
        <w:t>（</w:t>
      </w:r>
      <w:r>
        <w:rPr>
          <w:rFonts w:hint="eastAsia" w:ascii="SimHei" w:hAnsi="SimHei" w:eastAsia="黑体" w:cs="楷体"/>
        </w:rPr>
        <w:t>1 个月以上的</w:t>
      </w:r>
      <w:r>
        <w:rPr>
          <w:rFonts w:hint="eastAsia" w:ascii="SimHei" w:hAnsi="SimHei" w:eastAsia="黑体" w:cs="楷体"/>
          <w:spacing w:val="-120"/>
        </w:rPr>
        <w:t>）</w:t>
      </w:r>
      <w:r>
        <w:rPr>
          <w:rFonts w:hint="eastAsia" w:ascii="SimHei" w:hAnsi="SimHei" w:eastAsia="黑体" w:cs="楷体"/>
        </w:rPr>
        <w:t>，培训和学习期间只发基本工资和标准岗位工资，且按全年脱产时间的比例扣发年终奖。</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第四十七条 离职人员薪酬</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rPr>
      </w:pPr>
      <w:r>
        <w:rPr>
          <w:rFonts w:hint="eastAsia" w:ascii="SimHei" w:hAnsi="SimHei" w:eastAsia="黑体" w:cs="楷体"/>
          <w:spacing w:val="-5"/>
        </w:rPr>
        <w:t>因严重过失被公司解除劳动合同的人员、自动离职、申请辞职的员工，离职时清算应发与应扣薪酬后，自解除合同之日起停发员工的薪酬与福利。</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公司因业务发生变化或其他原因导致裁员时，按照国家或公司相关规定处理。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20" w:firstLineChars="200"/>
        <w:jc w:val="both"/>
        <w:textAlignment w:val="auto"/>
        <w:rPr>
          <w:rFonts w:hint="eastAsia" w:ascii="楷体" w:hAnsi="楷体" w:eastAsia="楷体" w:cs="楷体"/>
          <w:sz w:val="1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第四十八条 病假期间薪酬扣发标准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病假期间薪酬计发按照国家相关规定执行。</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40" w:firstLineChars="200"/>
        <w:jc w:val="both"/>
        <w:textAlignment w:val="auto"/>
        <w:rPr>
          <w:rFonts w:hint="eastAsia" w:ascii="楷体" w:hAnsi="楷体" w:eastAsia="楷体" w:cs="楷体"/>
          <w:sz w:val="17"/>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第四十九条 事假期间薪酬扣发标准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4" w:firstLineChars="200"/>
        <w:jc w:val="both"/>
        <w:textAlignment w:val="auto"/>
        <w:rPr>
          <w:rFonts w:hint="eastAsia" w:ascii="楷体" w:hAnsi="楷体" w:eastAsia="楷体" w:cs="楷体"/>
        </w:rPr>
      </w:pPr>
      <w:r>
        <w:rPr>
          <w:rFonts w:hint="eastAsia" w:ascii="SimHei" w:hAnsi="SimHei" w:eastAsia="黑体" w:cs="楷体"/>
          <w:spacing w:val="-9"/>
        </w:rPr>
        <w:t>员工请事假，根据考核情况按出勤比例计发岗位工资。全月请事假的，停发当月岗位绩效工资。</w:t>
      </w: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tabs>
          <w:tab w:val="left" w:pos="2073"/>
        </w:tabs>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第五十条</w:t>
      </w:r>
      <w:r>
        <w:rPr>
          <w:rFonts w:hint="eastAsia" w:ascii="SimHei" w:hAnsi="SimHei" w:eastAsia="黑体" w:cs="楷体"/>
          <w:b/>
          <w:w w:val="105"/>
          <w:sz w:val="23"/>
          <w:lang w:eastAsia="zh-CN"/>
        </w:rPr>
        <w:t xml:space="preserve"> </w:t>
      </w:r>
      <w:r>
        <w:rPr>
          <w:rFonts w:hint="eastAsia" w:ascii="SimHei" w:hAnsi="SimHei" w:eastAsia="黑体" w:cs="楷体"/>
          <w:b/>
          <w:w w:val="105"/>
          <w:sz w:val="23"/>
        </w:rPr>
        <w:t>旷工、迟到或早退薪酬扣发标准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员工有旷工、迟到或早退等现象，按照公司相关管理办法规定计发。</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40" w:firstLineChars="200"/>
        <w:jc w:val="both"/>
        <w:textAlignment w:val="auto"/>
        <w:rPr>
          <w:rFonts w:hint="eastAsia" w:ascii="楷体" w:hAnsi="楷体" w:eastAsia="楷体" w:cs="楷体"/>
          <w:sz w:val="17"/>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第五十一条 代扣代缴项目</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下列规定的扣除额，须从工资中直接扣除：</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20" w:firstLineChars="200"/>
        <w:jc w:val="both"/>
        <w:textAlignment w:val="auto"/>
        <w:rPr>
          <w:rFonts w:hint="eastAsia" w:ascii="楷体" w:hAnsi="楷体" w:eastAsia="楷体" w:cs="楷体"/>
          <w:sz w:val="16"/>
        </w:rPr>
      </w:pPr>
    </w:p>
    <w:p>
      <w:pPr>
        <w:pStyle w:val="10"/>
        <w:keepNext w:val="0"/>
        <w:keepLines w:val="0"/>
        <w:pageBreakBefore w:val="0"/>
        <w:widowControl w:val="0"/>
        <w:numPr>
          <w:ilvl w:val="0"/>
          <w:numId w:val="10"/>
        </w:numPr>
        <w:tabs>
          <w:tab w:val="left" w:pos="1223"/>
          <w:tab w:val="left" w:pos="1224"/>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个人工资所得税；</w:t>
      </w:r>
    </w:p>
    <w:p>
      <w:pPr>
        <w:pStyle w:val="10"/>
        <w:keepNext w:val="0"/>
        <w:keepLines w:val="0"/>
        <w:pageBreakBefore w:val="0"/>
        <w:widowControl w:val="0"/>
        <w:numPr>
          <w:ilvl w:val="0"/>
          <w:numId w:val="10"/>
        </w:numPr>
        <w:tabs>
          <w:tab w:val="left" w:pos="1223"/>
          <w:tab w:val="left" w:pos="1224"/>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各类保险中个人应承担部分；</w:t>
      </w:r>
    </w:p>
    <w:p>
      <w:pPr>
        <w:pStyle w:val="10"/>
        <w:keepNext w:val="0"/>
        <w:keepLines w:val="0"/>
        <w:pageBreakBefore w:val="0"/>
        <w:widowControl w:val="0"/>
        <w:numPr>
          <w:ilvl w:val="0"/>
          <w:numId w:val="10"/>
        </w:numPr>
        <w:tabs>
          <w:tab w:val="left" w:pos="1223"/>
          <w:tab w:val="left" w:pos="1224"/>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司法、仲裁机构判决、裁定中要求代扣的款项；</w:t>
      </w:r>
    </w:p>
    <w:p>
      <w:pPr>
        <w:pStyle w:val="10"/>
        <w:keepNext w:val="0"/>
        <w:keepLines w:val="0"/>
        <w:pageBreakBefore w:val="0"/>
        <w:widowControl w:val="0"/>
        <w:numPr>
          <w:ilvl w:val="0"/>
          <w:numId w:val="10"/>
        </w:numPr>
        <w:tabs>
          <w:tab w:val="left" w:pos="1223"/>
          <w:tab w:val="left" w:pos="1224"/>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与公司订有协议需从个人薪酬中扣除的款项；</w:t>
      </w:r>
    </w:p>
    <w:p>
      <w:pPr>
        <w:pStyle w:val="10"/>
        <w:keepNext w:val="0"/>
        <w:keepLines w:val="0"/>
        <w:pageBreakBefore w:val="0"/>
        <w:widowControl w:val="0"/>
        <w:numPr>
          <w:ilvl w:val="0"/>
          <w:numId w:val="10"/>
        </w:numPr>
        <w:tabs>
          <w:tab w:val="left" w:pos="1223"/>
          <w:tab w:val="left" w:pos="1224"/>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法律、法规以及公司规章制度规定的应从个人薪酬中扣除的款项。</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40" w:firstLineChars="200"/>
        <w:jc w:val="both"/>
        <w:textAlignment w:val="auto"/>
        <w:rPr>
          <w:rFonts w:hint="eastAsia" w:ascii="楷体" w:hAnsi="楷体" w:eastAsia="楷体" w:cs="楷体"/>
          <w:sz w:val="17"/>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第五十二条 薪酬工作时间安排</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每月薪酬工作分为三个阶段，各阶段具体时间按公司规定执行：</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第一阶段：收集统计考勤（每月第一个工作日</w:t>
      </w:r>
      <w:r>
        <w:rPr>
          <w:rFonts w:hint="eastAsia" w:ascii="SimHei" w:hAnsi="SimHei" w:eastAsia="黑体" w:cs="楷体"/>
          <w:spacing w:val="-120"/>
        </w:rPr>
        <w:t>）</w:t>
      </w:r>
      <w:r>
        <w:rPr>
          <w:rFonts w:hint="eastAsia" w:ascii="SimHei" w:hAnsi="SimHei" w:eastAsia="黑体" w:cs="楷体"/>
        </w:rPr>
        <w:t>、收集统计各类扣减数据和考核数据（每个考核周期的最后一个工作日前</w:t>
      </w:r>
      <w:r>
        <w:rPr>
          <w:rFonts w:hint="eastAsia" w:ascii="SimHei" w:hAnsi="SimHei" w:eastAsia="黑体" w:cs="楷体"/>
          <w:spacing w:val="-120"/>
        </w:rPr>
        <w:t>）</w:t>
      </w:r>
      <w:r>
        <w:rPr>
          <w:rFonts w:hint="eastAsia" w:ascii="SimHei" w:hAnsi="SimHei" w:eastAsia="黑体" w:cs="楷体"/>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第二阶段：核算薪酬（</w:t>
      </w:r>
      <w:r>
        <w:rPr>
          <w:rFonts w:hint="eastAsia" w:ascii="SimHei" w:hAnsi="SimHei" w:eastAsia="黑体" w:cs="楷体"/>
          <w:spacing w:val="-20"/>
        </w:rPr>
        <w:t xml:space="preserve">次月 </w:t>
      </w:r>
      <w:r>
        <w:rPr>
          <w:rFonts w:hint="eastAsia" w:ascii="SimHei" w:hAnsi="SimHei" w:eastAsia="黑体" w:cs="楷体"/>
        </w:rPr>
        <w:t>8</w:t>
      </w:r>
      <w:r>
        <w:rPr>
          <w:rFonts w:hint="eastAsia" w:ascii="SimHei" w:hAnsi="SimHei" w:eastAsia="黑体" w:cs="楷体"/>
          <w:spacing w:val="-20"/>
        </w:rPr>
        <w:t xml:space="preserve"> 日前</w:t>
      </w:r>
      <w:r>
        <w:rPr>
          <w:rFonts w:hint="eastAsia" w:ascii="SimHei" w:hAnsi="SimHei" w:eastAsia="黑体" w:cs="楷体"/>
          <w:spacing w:val="-120"/>
        </w:rPr>
        <w:t>）</w:t>
      </w:r>
      <w:r>
        <w:rPr>
          <w:rFonts w:hint="eastAsia" w:ascii="SimHei" w:hAnsi="SimHei" w:eastAsia="黑体" w:cs="楷体"/>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第三阶段：发放薪酬（</w:t>
      </w:r>
      <w:r>
        <w:rPr>
          <w:rFonts w:hint="eastAsia" w:ascii="SimHei" w:hAnsi="SimHei" w:eastAsia="黑体" w:cs="楷体"/>
          <w:spacing w:val="-20"/>
        </w:rPr>
        <w:t xml:space="preserve">次月 </w:t>
      </w:r>
      <w:r>
        <w:rPr>
          <w:rFonts w:hint="eastAsia" w:ascii="SimHei" w:hAnsi="SimHei" w:eastAsia="黑体" w:cs="楷体"/>
        </w:rPr>
        <w:t>10</w:t>
      </w:r>
      <w:r>
        <w:rPr>
          <w:rFonts w:hint="eastAsia" w:ascii="SimHei" w:hAnsi="SimHei" w:eastAsia="黑体" w:cs="楷体"/>
          <w:spacing w:val="-20"/>
        </w:rPr>
        <w:t xml:space="preserve"> 日前</w:t>
      </w:r>
      <w:r>
        <w:rPr>
          <w:rFonts w:hint="eastAsia" w:ascii="SimHei" w:hAnsi="SimHei" w:eastAsia="黑体" w:cs="楷体"/>
          <w:spacing w:val="-120"/>
        </w:rPr>
        <w:t>）</w:t>
      </w:r>
      <w:r>
        <w:rPr>
          <w:rFonts w:hint="eastAsia" w:ascii="SimHei" w:hAnsi="SimHei" w:eastAsia="黑体" w:cs="楷体"/>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40" w:firstLineChars="200"/>
        <w:jc w:val="both"/>
        <w:textAlignment w:val="auto"/>
        <w:rPr>
          <w:rFonts w:hint="eastAsia" w:ascii="楷体" w:hAnsi="楷体" w:eastAsia="楷体" w:cs="楷体"/>
          <w:sz w:val="17"/>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第五十三条 工资延迟发放</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工资需要延迟发放的，人力资源部需在当月 8 日前提出申请，说明延迟发放的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72" w:firstLineChars="200"/>
        <w:jc w:val="both"/>
        <w:textAlignment w:val="auto"/>
        <w:rPr>
          <w:rFonts w:hint="eastAsia" w:ascii="楷体" w:hAnsi="楷体" w:eastAsia="楷体" w:cs="楷体"/>
        </w:rPr>
      </w:pPr>
      <w:r>
        <w:rPr>
          <w:rFonts w:hint="eastAsia" w:ascii="SimHei" w:hAnsi="SimHei" w:eastAsia="黑体" w:cs="楷体"/>
          <w:spacing w:val="-2"/>
        </w:rPr>
        <w:t xml:space="preserve">原因，经公司主管领导审核后，由总经理批准；人力资源部需在本月 </w:t>
      </w:r>
      <w:r>
        <w:rPr>
          <w:rFonts w:hint="eastAsia" w:ascii="SimHei" w:hAnsi="SimHei" w:eastAsia="黑体" w:cs="楷体"/>
        </w:rPr>
        <w:t>10</w:t>
      </w:r>
      <w:r>
        <w:rPr>
          <w:rFonts w:hint="eastAsia" w:ascii="SimHei" w:hAnsi="SimHei" w:eastAsia="黑体" w:cs="楷体"/>
          <w:spacing w:val="-10"/>
        </w:rPr>
        <w:t xml:space="preserve"> 日以前向</w:t>
      </w:r>
      <w:r>
        <w:rPr>
          <w:rFonts w:hint="eastAsia" w:ascii="SimHei" w:hAnsi="SimHei" w:eastAsia="黑体" w:cs="楷体"/>
          <w:spacing w:val="-14"/>
        </w:rPr>
        <w:t>公司全体员工发出工资迟发通知，说明原因；由于个人责任导致工资迟发的，人力资源部应追究相关责任人的责任。</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第五十四条 节假日工资发放</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rPr>
      </w:pPr>
      <w:r>
        <w:rPr>
          <w:rFonts w:hint="eastAsia" w:ascii="SimHei" w:hAnsi="SimHei" w:eastAsia="黑体" w:cs="楷体"/>
          <w:spacing w:val="-5"/>
        </w:rPr>
        <w:t>遇有春节等长假将影响到薪酬核算正常进行的，原则上提前发放工资。由人力资源部提出工作调整方案，经总经理批准后执行。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rPr>
      </w:pPr>
      <w:bookmarkStart w:id="31" w:name="_TOC_250000"/>
      <w:bookmarkEnd w:id="31"/>
      <w:bookmarkStart w:id="32" w:name="_Toc538_WPSOffice_Level1"/>
      <w:r>
        <w:rPr>
          <w:rFonts w:hint="eastAsia" w:ascii="SimHei" w:hAnsi="SimHei" w:eastAsia="黑体" w:cs="楷体"/>
        </w:rPr>
        <w:t>第十一章 附则</w:t>
      </w:r>
      <w:bookmarkEnd w:id="32"/>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第五十五条 本管理制度的解释、修改和调整及审批</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rPr>
      </w:pPr>
      <w:r>
        <w:rPr>
          <w:rFonts w:hint="eastAsia" w:ascii="SimHei" w:hAnsi="SimHei" w:eastAsia="黑体" w:cs="楷体"/>
          <w:spacing w:val="-5"/>
        </w:rPr>
        <w:t>本管理制度由公司人力资源部负责解释、修改和调整，由总经理办公会批准后实施。</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w w:val="105"/>
          <w:sz w:val="23"/>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第五十六条 本管理制度的实施</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2" w:firstLineChars="200"/>
        <w:jc w:val="both"/>
        <w:textAlignment w:val="auto"/>
        <w:rPr>
          <w:rFonts w:hint="eastAsia" w:ascii="楷体" w:hAnsi="楷体" w:eastAsia="楷体" w:cs="楷体"/>
        </w:rPr>
      </w:pPr>
      <w:r>
        <w:rPr>
          <w:rFonts w:hint="eastAsia" w:ascii="SimHei" w:hAnsi="SimHei" w:eastAsia="黑体" w:cs="楷体"/>
          <w:spacing w:val="-7"/>
        </w:rPr>
        <w:t xml:space="preserve">本管理制度自 </w:t>
      </w:r>
      <w:r>
        <w:rPr>
          <w:rFonts w:hint="eastAsia" w:ascii="SimHei" w:hAnsi="SimHei" w:eastAsia="黑体" w:cs="楷体"/>
        </w:rPr>
        <w:t>20</w:t>
      </w:r>
      <w:r>
        <w:rPr>
          <w:rFonts w:hint="eastAsia" w:ascii="SimHei" w:hAnsi="SimHei" w:eastAsia="黑体" w:cs="楷体"/>
          <w:lang w:val="en-US" w:eastAsia="zh-CN"/>
        </w:rPr>
        <w:t>XX</w:t>
      </w:r>
      <w:r>
        <w:rPr>
          <w:rFonts w:hint="eastAsia" w:ascii="SimHei" w:hAnsi="SimHei" w:eastAsia="黑体" w:cs="楷体"/>
          <w:spacing w:val="-24"/>
        </w:rPr>
        <w:t xml:space="preserve"> 年</w:t>
      </w:r>
      <w:r>
        <w:rPr>
          <w:rFonts w:hint="eastAsia" w:ascii="SimHei" w:hAnsi="SimHei" w:eastAsia="黑体" w:cs="楷体"/>
        </w:rPr>
        <w:t>**月**日起颁布。本管理制度实施后，原有类似规章制度自行终止，与本管理制度有抵触的规定一律以本管理制度为准。</w:t>
      </w:r>
    </w:p>
    <w:sectPr>
      <w:pgSz w:w="11910" w:h="16840"/>
      <w:pgMar w:top="850" w:right="1474" w:bottom="850" w:left="1474" w:header="624" w:footer="624" w:gutter="0"/>
      <w:pgBorders>
        <w:top w:val="none" w:sz="0" w:space="0"/>
        <w:left w:val="none" w:sz="0" w:space="0"/>
        <w:bottom w:val="none" w:sz="0" w:space="0"/>
        <w:right w:val="none" w:sz="0" w:space="0"/>
      </w:pgBorders>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19</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pBdr>
        <w:top w:val="none" w:color="auto" w:sz="0" w:space="1"/>
        <w:left w:val="none" w:color="auto" w:sz="0" w:space="4"/>
        <w:bottom w:val="none" w:color="auto" w:sz="0" w:space="1"/>
        <w:right w:val="none" w:color="auto" w:sz="0" w:space="4"/>
        <w:between w:val="none" w:color="auto" w:sz="0" w:space="0"/>
      </w:pBdr>
      <w:autoSpaceDE w:val="0"/>
      <w:autoSpaceDN w:val="0"/>
      <w:spacing w:before="0" w:after="0" w:line="14" w:lineRule="auto"/>
      <w:ind w:left="0" w:leftChars="0" w:right="0" w:rightChars="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1223" w:hanging="483"/>
        <w:jc w:val="left"/>
      </w:pPr>
      <w:rPr>
        <w:rFonts w:hint="default" w:ascii="宋体" w:hAnsi="宋体" w:eastAsia="宋体" w:cs="宋体"/>
        <w:w w:val="100"/>
        <w:sz w:val="24"/>
        <w:szCs w:val="24"/>
      </w:rPr>
    </w:lvl>
    <w:lvl w:ilvl="1" w:tentative="0">
      <w:start w:val="0"/>
      <w:numFmt w:val="bullet"/>
      <w:lvlText w:val="•"/>
      <w:lvlJc w:val="left"/>
      <w:pPr>
        <w:ind w:left="1998" w:hanging="483"/>
      </w:pPr>
      <w:rPr>
        <w:rFonts w:hint="default"/>
      </w:rPr>
    </w:lvl>
    <w:lvl w:ilvl="2" w:tentative="0">
      <w:start w:val="0"/>
      <w:numFmt w:val="bullet"/>
      <w:lvlText w:val="•"/>
      <w:lvlJc w:val="left"/>
      <w:pPr>
        <w:ind w:left="2777" w:hanging="483"/>
      </w:pPr>
      <w:rPr>
        <w:rFonts w:hint="default"/>
      </w:rPr>
    </w:lvl>
    <w:lvl w:ilvl="3" w:tentative="0">
      <w:start w:val="0"/>
      <w:numFmt w:val="bullet"/>
      <w:lvlText w:val="•"/>
      <w:lvlJc w:val="left"/>
      <w:pPr>
        <w:ind w:left="3555" w:hanging="483"/>
      </w:pPr>
      <w:rPr>
        <w:rFonts w:hint="default"/>
      </w:rPr>
    </w:lvl>
    <w:lvl w:ilvl="4" w:tentative="0">
      <w:start w:val="0"/>
      <w:numFmt w:val="bullet"/>
      <w:lvlText w:val="•"/>
      <w:lvlJc w:val="left"/>
      <w:pPr>
        <w:ind w:left="4334" w:hanging="483"/>
      </w:pPr>
      <w:rPr>
        <w:rFonts w:hint="default"/>
      </w:rPr>
    </w:lvl>
    <w:lvl w:ilvl="5" w:tentative="0">
      <w:start w:val="0"/>
      <w:numFmt w:val="bullet"/>
      <w:lvlText w:val="•"/>
      <w:lvlJc w:val="left"/>
      <w:pPr>
        <w:ind w:left="5112" w:hanging="483"/>
      </w:pPr>
      <w:rPr>
        <w:rFonts w:hint="default"/>
      </w:rPr>
    </w:lvl>
    <w:lvl w:ilvl="6" w:tentative="0">
      <w:start w:val="0"/>
      <w:numFmt w:val="bullet"/>
      <w:lvlText w:val="•"/>
      <w:lvlJc w:val="left"/>
      <w:pPr>
        <w:ind w:left="5891" w:hanging="483"/>
      </w:pPr>
      <w:rPr>
        <w:rFonts w:hint="default"/>
      </w:rPr>
    </w:lvl>
    <w:lvl w:ilvl="7" w:tentative="0">
      <w:start w:val="0"/>
      <w:numFmt w:val="bullet"/>
      <w:lvlText w:val="•"/>
      <w:lvlJc w:val="left"/>
      <w:pPr>
        <w:ind w:left="6669" w:hanging="483"/>
      </w:pPr>
      <w:rPr>
        <w:rFonts w:hint="default"/>
      </w:rPr>
    </w:lvl>
    <w:lvl w:ilvl="8" w:tentative="0">
      <w:start w:val="0"/>
      <w:numFmt w:val="bullet"/>
      <w:lvlText w:val="•"/>
      <w:lvlJc w:val="left"/>
      <w:pPr>
        <w:ind w:left="7448" w:hanging="483"/>
      </w:pPr>
      <w:rPr>
        <w:rFonts w:hint="default"/>
      </w:rPr>
    </w:lvl>
  </w:abstractNum>
  <w:abstractNum w:abstractNumId="1">
    <w:nsid w:val="B5E306ED"/>
    <w:multiLevelType w:val="multilevel"/>
    <w:tmpl w:val="B5E306ED"/>
    <w:lvl w:ilvl="0" w:tentative="0">
      <w:start w:val="1"/>
      <w:numFmt w:val="decimal"/>
      <w:lvlText w:val="%1."/>
      <w:lvlJc w:val="left"/>
      <w:pPr>
        <w:ind w:left="230" w:hanging="360"/>
        <w:jc w:val="left"/>
      </w:pPr>
      <w:rPr>
        <w:rFonts w:hint="default" w:ascii="宋体" w:hAnsi="宋体" w:eastAsia="宋体" w:cs="宋体"/>
        <w:spacing w:val="-31"/>
        <w:w w:val="100"/>
        <w:sz w:val="24"/>
        <w:szCs w:val="24"/>
      </w:rPr>
    </w:lvl>
    <w:lvl w:ilvl="1" w:tentative="0">
      <w:start w:val="0"/>
      <w:numFmt w:val="bullet"/>
      <w:lvlText w:val="•"/>
      <w:lvlJc w:val="left"/>
      <w:pPr>
        <w:ind w:left="1116" w:hanging="360"/>
      </w:pPr>
      <w:rPr>
        <w:rFonts w:hint="default"/>
      </w:rPr>
    </w:lvl>
    <w:lvl w:ilvl="2" w:tentative="0">
      <w:start w:val="0"/>
      <w:numFmt w:val="bullet"/>
      <w:lvlText w:val="•"/>
      <w:lvlJc w:val="left"/>
      <w:pPr>
        <w:ind w:left="1993" w:hanging="360"/>
      </w:pPr>
      <w:rPr>
        <w:rFonts w:hint="default"/>
      </w:rPr>
    </w:lvl>
    <w:lvl w:ilvl="3" w:tentative="0">
      <w:start w:val="0"/>
      <w:numFmt w:val="bullet"/>
      <w:lvlText w:val="•"/>
      <w:lvlJc w:val="left"/>
      <w:pPr>
        <w:ind w:left="2869" w:hanging="360"/>
      </w:pPr>
      <w:rPr>
        <w:rFonts w:hint="default"/>
      </w:rPr>
    </w:lvl>
    <w:lvl w:ilvl="4" w:tentative="0">
      <w:start w:val="0"/>
      <w:numFmt w:val="bullet"/>
      <w:lvlText w:val="•"/>
      <w:lvlJc w:val="left"/>
      <w:pPr>
        <w:ind w:left="3746" w:hanging="360"/>
      </w:pPr>
      <w:rPr>
        <w:rFonts w:hint="default"/>
      </w:rPr>
    </w:lvl>
    <w:lvl w:ilvl="5" w:tentative="0">
      <w:start w:val="0"/>
      <w:numFmt w:val="bullet"/>
      <w:lvlText w:val="•"/>
      <w:lvlJc w:val="left"/>
      <w:pPr>
        <w:ind w:left="4622" w:hanging="360"/>
      </w:pPr>
      <w:rPr>
        <w:rFonts w:hint="default"/>
      </w:rPr>
    </w:lvl>
    <w:lvl w:ilvl="6" w:tentative="0">
      <w:start w:val="0"/>
      <w:numFmt w:val="bullet"/>
      <w:lvlText w:val="•"/>
      <w:lvlJc w:val="left"/>
      <w:pPr>
        <w:ind w:left="5499" w:hanging="360"/>
      </w:pPr>
      <w:rPr>
        <w:rFonts w:hint="default"/>
      </w:rPr>
    </w:lvl>
    <w:lvl w:ilvl="7" w:tentative="0">
      <w:start w:val="0"/>
      <w:numFmt w:val="bullet"/>
      <w:lvlText w:val="•"/>
      <w:lvlJc w:val="left"/>
      <w:pPr>
        <w:ind w:left="6375" w:hanging="360"/>
      </w:pPr>
      <w:rPr>
        <w:rFonts w:hint="default"/>
      </w:rPr>
    </w:lvl>
    <w:lvl w:ilvl="8" w:tentative="0">
      <w:start w:val="0"/>
      <w:numFmt w:val="bullet"/>
      <w:lvlText w:val="•"/>
      <w:lvlJc w:val="left"/>
      <w:pPr>
        <w:ind w:left="7252" w:hanging="360"/>
      </w:pPr>
      <w:rPr>
        <w:rFonts w:hint="default"/>
      </w:rPr>
    </w:lvl>
  </w:abstractNum>
  <w:abstractNum w:abstractNumId="2">
    <w:nsid w:val="BF205925"/>
    <w:multiLevelType w:val="multilevel"/>
    <w:tmpl w:val="BF205925"/>
    <w:lvl w:ilvl="0" w:tentative="0">
      <w:start w:val="1"/>
      <w:numFmt w:val="decimal"/>
      <w:lvlText w:val="%1."/>
      <w:lvlJc w:val="left"/>
      <w:pPr>
        <w:ind w:left="1070" w:hanging="360"/>
        <w:jc w:val="left"/>
      </w:pPr>
      <w:rPr>
        <w:rFonts w:hint="default" w:ascii="宋体" w:hAnsi="宋体" w:eastAsia="宋体" w:cs="宋体"/>
        <w:spacing w:val="-120"/>
        <w:w w:val="100"/>
        <w:sz w:val="24"/>
        <w:szCs w:val="24"/>
      </w:rPr>
    </w:lvl>
    <w:lvl w:ilvl="1" w:tentative="0">
      <w:start w:val="0"/>
      <w:numFmt w:val="bullet"/>
      <w:lvlText w:val="•"/>
      <w:lvlJc w:val="left"/>
      <w:pPr>
        <w:ind w:left="1872" w:hanging="360"/>
      </w:pPr>
      <w:rPr>
        <w:rFonts w:hint="default"/>
      </w:rPr>
    </w:lvl>
    <w:lvl w:ilvl="2" w:tentative="0">
      <w:start w:val="0"/>
      <w:numFmt w:val="bullet"/>
      <w:lvlText w:val="•"/>
      <w:lvlJc w:val="left"/>
      <w:pPr>
        <w:ind w:left="2665" w:hanging="360"/>
      </w:pPr>
      <w:rPr>
        <w:rFonts w:hint="default"/>
      </w:rPr>
    </w:lvl>
    <w:lvl w:ilvl="3" w:tentative="0">
      <w:start w:val="0"/>
      <w:numFmt w:val="bullet"/>
      <w:lvlText w:val="•"/>
      <w:lvlJc w:val="left"/>
      <w:pPr>
        <w:ind w:left="3457" w:hanging="360"/>
      </w:pPr>
      <w:rPr>
        <w:rFonts w:hint="default"/>
      </w:rPr>
    </w:lvl>
    <w:lvl w:ilvl="4" w:tentative="0">
      <w:start w:val="0"/>
      <w:numFmt w:val="bullet"/>
      <w:lvlText w:val="•"/>
      <w:lvlJc w:val="left"/>
      <w:pPr>
        <w:ind w:left="4250" w:hanging="360"/>
      </w:pPr>
      <w:rPr>
        <w:rFonts w:hint="default"/>
      </w:rPr>
    </w:lvl>
    <w:lvl w:ilvl="5" w:tentative="0">
      <w:start w:val="0"/>
      <w:numFmt w:val="bullet"/>
      <w:lvlText w:val="•"/>
      <w:lvlJc w:val="left"/>
      <w:pPr>
        <w:ind w:left="5042" w:hanging="360"/>
      </w:pPr>
      <w:rPr>
        <w:rFonts w:hint="default"/>
      </w:rPr>
    </w:lvl>
    <w:lvl w:ilvl="6" w:tentative="0">
      <w:start w:val="0"/>
      <w:numFmt w:val="bullet"/>
      <w:lvlText w:val="•"/>
      <w:lvlJc w:val="left"/>
      <w:pPr>
        <w:ind w:left="5835" w:hanging="360"/>
      </w:pPr>
      <w:rPr>
        <w:rFonts w:hint="default"/>
      </w:rPr>
    </w:lvl>
    <w:lvl w:ilvl="7" w:tentative="0">
      <w:start w:val="0"/>
      <w:numFmt w:val="bullet"/>
      <w:lvlText w:val="•"/>
      <w:lvlJc w:val="left"/>
      <w:pPr>
        <w:ind w:left="6627" w:hanging="360"/>
      </w:pPr>
      <w:rPr>
        <w:rFonts w:hint="default"/>
      </w:rPr>
    </w:lvl>
    <w:lvl w:ilvl="8" w:tentative="0">
      <w:start w:val="0"/>
      <w:numFmt w:val="bullet"/>
      <w:lvlText w:val="•"/>
      <w:lvlJc w:val="left"/>
      <w:pPr>
        <w:ind w:left="7420" w:hanging="360"/>
      </w:pPr>
      <w:rPr>
        <w:rFonts w:hint="default"/>
      </w:rPr>
    </w:lvl>
  </w:abstractNum>
  <w:abstractNum w:abstractNumId="3">
    <w:nsid w:val="CF092B84"/>
    <w:multiLevelType w:val="multilevel"/>
    <w:tmpl w:val="CF092B84"/>
    <w:lvl w:ilvl="0" w:tentative="0">
      <w:start w:val="1"/>
      <w:numFmt w:val="decimal"/>
      <w:lvlText w:val="%1."/>
      <w:lvlJc w:val="left"/>
      <w:pPr>
        <w:ind w:left="1160" w:hanging="420"/>
        <w:jc w:val="left"/>
      </w:pPr>
      <w:rPr>
        <w:rFonts w:hint="default" w:ascii="Arial" w:hAnsi="Arial" w:eastAsia="Arial" w:cs="Arial"/>
        <w:w w:val="100"/>
        <w:sz w:val="24"/>
        <w:szCs w:val="24"/>
      </w:rPr>
    </w:lvl>
    <w:lvl w:ilvl="1" w:tentative="0">
      <w:start w:val="0"/>
      <w:numFmt w:val="bullet"/>
      <w:lvlText w:val="•"/>
      <w:lvlJc w:val="left"/>
      <w:pPr>
        <w:ind w:left="1944" w:hanging="420"/>
      </w:pPr>
      <w:rPr>
        <w:rFonts w:hint="default"/>
      </w:rPr>
    </w:lvl>
    <w:lvl w:ilvl="2" w:tentative="0">
      <w:start w:val="0"/>
      <w:numFmt w:val="bullet"/>
      <w:lvlText w:val="•"/>
      <w:lvlJc w:val="left"/>
      <w:pPr>
        <w:ind w:left="2729" w:hanging="420"/>
      </w:pPr>
      <w:rPr>
        <w:rFonts w:hint="default"/>
      </w:rPr>
    </w:lvl>
    <w:lvl w:ilvl="3" w:tentative="0">
      <w:start w:val="0"/>
      <w:numFmt w:val="bullet"/>
      <w:lvlText w:val="•"/>
      <w:lvlJc w:val="left"/>
      <w:pPr>
        <w:ind w:left="3513" w:hanging="420"/>
      </w:pPr>
      <w:rPr>
        <w:rFonts w:hint="default"/>
      </w:rPr>
    </w:lvl>
    <w:lvl w:ilvl="4" w:tentative="0">
      <w:start w:val="0"/>
      <w:numFmt w:val="bullet"/>
      <w:lvlText w:val="•"/>
      <w:lvlJc w:val="left"/>
      <w:pPr>
        <w:ind w:left="4298" w:hanging="420"/>
      </w:pPr>
      <w:rPr>
        <w:rFonts w:hint="default"/>
      </w:rPr>
    </w:lvl>
    <w:lvl w:ilvl="5" w:tentative="0">
      <w:start w:val="0"/>
      <w:numFmt w:val="bullet"/>
      <w:lvlText w:val="•"/>
      <w:lvlJc w:val="left"/>
      <w:pPr>
        <w:ind w:left="5082" w:hanging="420"/>
      </w:pPr>
      <w:rPr>
        <w:rFonts w:hint="default"/>
      </w:rPr>
    </w:lvl>
    <w:lvl w:ilvl="6" w:tentative="0">
      <w:start w:val="0"/>
      <w:numFmt w:val="bullet"/>
      <w:lvlText w:val="•"/>
      <w:lvlJc w:val="left"/>
      <w:pPr>
        <w:ind w:left="5867" w:hanging="420"/>
      </w:pPr>
      <w:rPr>
        <w:rFonts w:hint="default"/>
      </w:rPr>
    </w:lvl>
    <w:lvl w:ilvl="7" w:tentative="0">
      <w:start w:val="0"/>
      <w:numFmt w:val="bullet"/>
      <w:lvlText w:val="•"/>
      <w:lvlJc w:val="left"/>
      <w:pPr>
        <w:ind w:left="6651" w:hanging="420"/>
      </w:pPr>
      <w:rPr>
        <w:rFonts w:hint="default"/>
      </w:rPr>
    </w:lvl>
    <w:lvl w:ilvl="8" w:tentative="0">
      <w:start w:val="0"/>
      <w:numFmt w:val="bullet"/>
      <w:lvlText w:val="•"/>
      <w:lvlJc w:val="left"/>
      <w:pPr>
        <w:ind w:left="7436" w:hanging="420"/>
      </w:pPr>
      <w:rPr>
        <w:rFonts w:hint="default"/>
      </w:rPr>
    </w:lvl>
  </w:abstractNum>
  <w:abstractNum w:abstractNumId="4">
    <w:nsid w:val="0053208E"/>
    <w:multiLevelType w:val="multilevel"/>
    <w:tmpl w:val="0053208E"/>
    <w:lvl w:ilvl="0" w:tentative="0">
      <w:start w:val="1"/>
      <w:numFmt w:val="decimal"/>
      <w:lvlText w:val="%1."/>
      <w:lvlJc w:val="left"/>
      <w:pPr>
        <w:ind w:left="1130" w:hanging="420"/>
        <w:jc w:val="left"/>
      </w:pPr>
      <w:rPr>
        <w:rFonts w:hint="default" w:ascii="宋体" w:hAnsi="宋体" w:eastAsia="宋体" w:cs="宋体"/>
        <w:w w:val="100"/>
        <w:sz w:val="24"/>
        <w:szCs w:val="24"/>
      </w:rPr>
    </w:lvl>
    <w:lvl w:ilvl="1" w:tentative="0">
      <w:start w:val="0"/>
      <w:numFmt w:val="bullet"/>
      <w:lvlText w:val="•"/>
      <w:lvlJc w:val="left"/>
      <w:pPr>
        <w:ind w:left="1926" w:hanging="420"/>
      </w:pPr>
      <w:rPr>
        <w:rFonts w:hint="default"/>
      </w:rPr>
    </w:lvl>
    <w:lvl w:ilvl="2" w:tentative="0">
      <w:start w:val="0"/>
      <w:numFmt w:val="bullet"/>
      <w:lvlText w:val="•"/>
      <w:lvlJc w:val="left"/>
      <w:pPr>
        <w:ind w:left="2713" w:hanging="420"/>
      </w:pPr>
      <w:rPr>
        <w:rFonts w:hint="default"/>
      </w:rPr>
    </w:lvl>
    <w:lvl w:ilvl="3" w:tentative="0">
      <w:start w:val="0"/>
      <w:numFmt w:val="bullet"/>
      <w:lvlText w:val="•"/>
      <w:lvlJc w:val="left"/>
      <w:pPr>
        <w:ind w:left="3499" w:hanging="420"/>
      </w:pPr>
      <w:rPr>
        <w:rFonts w:hint="default"/>
      </w:rPr>
    </w:lvl>
    <w:lvl w:ilvl="4" w:tentative="0">
      <w:start w:val="0"/>
      <w:numFmt w:val="bullet"/>
      <w:lvlText w:val="•"/>
      <w:lvlJc w:val="left"/>
      <w:pPr>
        <w:ind w:left="4286" w:hanging="420"/>
      </w:pPr>
      <w:rPr>
        <w:rFonts w:hint="default"/>
      </w:rPr>
    </w:lvl>
    <w:lvl w:ilvl="5" w:tentative="0">
      <w:start w:val="0"/>
      <w:numFmt w:val="bullet"/>
      <w:lvlText w:val="•"/>
      <w:lvlJc w:val="left"/>
      <w:pPr>
        <w:ind w:left="5072" w:hanging="420"/>
      </w:pPr>
      <w:rPr>
        <w:rFonts w:hint="default"/>
      </w:rPr>
    </w:lvl>
    <w:lvl w:ilvl="6" w:tentative="0">
      <w:start w:val="0"/>
      <w:numFmt w:val="bullet"/>
      <w:lvlText w:val="•"/>
      <w:lvlJc w:val="left"/>
      <w:pPr>
        <w:ind w:left="5859" w:hanging="420"/>
      </w:pPr>
      <w:rPr>
        <w:rFonts w:hint="default"/>
      </w:rPr>
    </w:lvl>
    <w:lvl w:ilvl="7" w:tentative="0">
      <w:start w:val="0"/>
      <w:numFmt w:val="bullet"/>
      <w:lvlText w:val="•"/>
      <w:lvlJc w:val="left"/>
      <w:pPr>
        <w:ind w:left="6645" w:hanging="420"/>
      </w:pPr>
      <w:rPr>
        <w:rFonts w:hint="default"/>
      </w:rPr>
    </w:lvl>
    <w:lvl w:ilvl="8" w:tentative="0">
      <w:start w:val="0"/>
      <w:numFmt w:val="bullet"/>
      <w:lvlText w:val="•"/>
      <w:lvlJc w:val="left"/>
      <w:pPr>
        <w:ind w:left="7432" w:hanging="420"/>
      </w:pPr>
      <w:rPr>
        <w:rFonts w:hint="default"/>
      </w:rPr>
    </w:lvl>
  </w:abstractNum>
  <w:abstractNum w:abstractNumId="5">
    <w:nsid w:val="0248C179"/>
    <w:multiLevelType w:val="multilevel"/>
    <w:tmpl w:val="0248C179"/>
    <w:lvl w:ilvl="0" w:tentative="0">
      <w:start w:val="1"/>
      <w:numFmt w:val="decimal"/>
      <w:lvlText w:val="%1."/>
      <w:lvlJc w:val="left"/>
      <w:pPr>
        <w:ind w:left="230" w:hanging="360"/>
        <w:jc w:val="left"/>
      </w:pPr>
      <w:rPr>
        <w:rFonts w:hint="default" w:ascii="宋体" w:hAnsi="宋体" w:eastAsia="宋体" w:cs="宋体"/>
        <w:w w:val="100"/>
        <w:sz w:val="24"/>
        <w:szCs w:val="24"/>
      </w:rPr>
    </w:lvl>
    <w:lvl w:ilvl="1" w:tentative="0">
      <w:start w:val="0"/>
      <w:numFmt w:val="bullet"/>
      <w:lvlText w:val="•"/>
      <w:lvlJc w:val="left"/>
      <w:pPr>
        <w:ind w:left="1116" w:hanging="360"/>
      </w:pPr>
      <w:rPr>
        <w:rFonts w:hint="default"/>
      </w:rPr>
    </w:lvl>
    <w:lvl w:ilvl="2" w:tentative="0">
      <w:start w:val="0"/>
      <w:numFmt w:val="bullet"/>
      <w:lvlText w:val="•"/>
      <w:lvlJc w:val="left"/>
      <w:pPr>
        <w:ind w:left="1993" w:hanging="360"/>
      </w:pPr>
      <w:rPr>
        <w:rFonts w:hint="default"/>
      </w:rPr>
    </w:lvl>
    <w:lvl w:ilvl="3" w:tentative="0">
      <w:start w:val="0"/>
      <w:numFmt w:val="bullet"/>
      <w:lvlText w:val="•"/>
      <w:lvlJc w:val="left"/>
      <w:pPr>
        <w:ind w:left="2869" w:hanging="360"/>
      </w:pPr>
      <w:rPr>
        <w:rFonts w:hint="default"/>
      </w:rPr>
    </w:lvl>
    <w:lvl w:ilvl="4" w:tentative="0">
      <w:start w:val="0"/>
      <w:numFmt w:val="bullet"/>
      <w:lvlText w:val="•"/>
      <w:lvlJc w:val="left"/>
      <w:pPr>
        <w:ind w:left="3746" w:hanging="360"/>
      </w:pPr>
      <w:rPr>
        <w:rFonts w:hint="default"/>
      </w:rPr>
    </w:lvl>
    <w:lvl w:ilvl="5" w:tentative="0">
      <w:start w:val="0"/>
      <w:numFmt w:val="bullet"/>
      <w:lvlText w:val="•"/>
      <w:lvlJc w:val="left"/>
      <w:pPr>
        <w:ind w:left="4622" w:hanging="360"/>
      </w:pPr>
      <w:rPr>
        <w:rFonts w:hint="default"/>
      </w:rPr>
    </w:lvl>
    <w:lvl w:ilvl="6" w:tentative="0">
      <w:start w:val="0"/>
      <w:numFmt w:val="bullet"/>
      <w:lvlText w:val="•"/>
      <w:lvlJc w:val="left"/>
      <w:pPr>
        <w:ind w:left="5499" w:hanging="360"/>
      </w:pPr>
      <w:rPr>
        <w:rFonts w:hint="default"/>
      </w:rPr>
    </w:lvl>
    <w:lvl w:ilvl="7" w:tentative="0">
      <w:start w:val="0"/>
      <w:numFmt w:val="bullet"/>
      <w:lvlText w:val="•"/>
      <w:lvlJc w:val="left"/>
      <w:pPr>
        <w:ind w:left="6375" w:hanging="360"/>
      </w:pPr>
      <w:rPr>
        <w:rFonts w:hint="default"/>
      </w:rPr>
    </w:lvl>
    <w:lvl w:ilvl="8" w:tentative="0">
      <w:start w:val="0"/>
      <w:numFmt w:val="bullet"/>
      <w:lvlText w:val="•"/>
      <w:lvlJc w:val="left"/>
      <w:pPr>
        <w:ind w:left="7252" w:hanging="360"/>
      </w:pPr>
      <w:rPr>
        <w:rFonts w:hint="default"/>
      </w:rPr>
    </w:lvl>
  </w:abstractNum>
  <w:abstractNum w:abstractNumId="6">
    <w:nsid w:val="03D62ECE"/>
    <w:multiLevelType w:val="multilevel"/>
    <w:tmpl w:val="03D62ECE"/>
    <w:lvl w:ilvl="0" w:tentative="0">
      <w:start w:val="1"/>
      <w:numFmt w:val="decimal"/>
      <w:lvlText w:val="%1."/>
      <w:lvlJc w:val="left"/>
      <w:pPr>
        <w:ind w:left="710" w:hanging="360"/>
        <w:jc w:val="left"/>
      </w:pPr>
      <w:rPr>
        <w:rFonts w:hint="default" w:ascii="宋体" w:hAnsi="宋体" w:eastAsia="宋体" w:cs="宋体"/>
        <w:w w:val="100"/>
        <w:sz w:val="24"/>
        <w:szCs w:val="24"/>
      </w:rPr>
    </w:lvl>
    <w:lvl w:ilvl="1" w:tentative="0">
      <w:start w:val="0"/>
      <w:numFmt w:val="bullet"/>
      <w:lvlText w:val="•"/>
      <w:lvlJc w:val="left"/>
      <w:pPr>
        <w:ind w:left="1548" w:hanging="360"/>
      </w:pPr>
      <w:rPr>
        <w:rFonts w:hint="default"/>
      </w:rPr>
    </w:lvl>
    <w:lvl w:ilvl="2" w:tentative="0">
      <w:start w:val="0"/>
      <w:numFmt w:val="bullet"/>
      <w:lvlText w:val="•"/>
      <w:lvlJc w:val="left"/>
      <w:pPr>
        <w:ind w:left="2377" w:hanging="360"/>
      </w:pPr>
      <w:rPr>
        <w:rFonts w:hint="default"/>
      </w:rPr>
    </w:lvl>
    <w:lvl w:ilvl="3" w:tentative="0">
      <w:start w:val="0"/>
      <w:numFmt w:val="bullet"/>
      <w:lvlText w:val="•"/>
      <w:lvlJc w:val="left"/>
      <w:pPr>
        <w:ind w:left="3205" w:hanging="360"/>
      </w:pPr>
      <w:rPr>
        <w:rFonts w:hint="default"/>
      </w:rPr>
    </w:lvl>
    <w:lvl w:ilvl="4" w:tentative="0">
      <w:start w:val="0"/>
      <w:numFmt w:val="bullet"/>
      <w:lvlText w:val="•"/>
      <w:lvlJc w:val="left"/>
      <w:pPr>
        <w:ind w:left="4034" w:hanging="360"/>
      </w:pPr>
      <w:rPr>
        <w:rFonts w:hint="default"/>
      </w:rPr>
    </w:lvl>
    <w:lvl w:ilvl="5" w:tentative="0">
      <w:start w:val="0"/>
      <w:numFmt w:val="bullet"/>
      <w:lvlText w:val="•"/>
      <w:lvlJc w:val="left"/>
      <w:pPr>
        <w:ind w:left="4862" w:hanging="360"/>
      </w:pPr>
      <w:rPr>
        <w:rFonts w:hint="default"/>
      </w:rPr>
    </w:lvl>
    <w:lvl w:ilvl="6" w:tentative="0">
      <w:start w:val="0"/>
      <w:numFmt w:val="bullet"/>
      <w:lvlText w:val="•"/>
      <w:lvlJc w:val="left"/>
      <w:pPr>
        <w:ind w:left="5691" w:hanging="360"/>
      </w:pPr>
      <w:rPr>
        <w:rFonts w:hint="default"/>
      </w:rPr>
    </w:lvl>
    <w:lvl w:ilvl="7" w:tentative="0">
      <w:start w:val="0"/>
      <w:numFmt w:val="bullet"/>
      <w:lvlText w:val="•"/>
      <w:lvlJc w:val="left"/>
      <w:pPr>
        <w:ind w:left="6519" w:hanging="360"/>
      </w:pPr>
      <w:rPr>
        <w:rFonts w:hint="default"/>
      </w:rPr>
    </w:lvl>
    <w:lvl w:ilvl="8" w:tentative="0">
      <w:start w:val="0"/>
      <w:numFmt w:val="bullet"/>
      <w:lvlText w:val="•"/>
      <w:lvlJc w:val="left"/>
      <w:pPr>
        <w:ind w:left="7348" w:hanging="360"/>
      </w:pPr>
      <w:rPr>
        <w:rFonts w:hint="default"/>
      </w:rPr>
    </w:lvl>
  </w:abstractNum>
  <w:abstractNum w:abstractNumId="7">
    <w:nsid w:val="25B654F3"/>
    <w:multiLevelType w:val="multilevel"/>
    <w:tmpl w:val="25B654F3"/>
    <w:lvl w:ilvl="0" w:tentative="0">
      <w:start w:val="1"/>
      <w:numFmt w:val="decimal"/>
      <w:lvlText w:val="%1."/>
      <w:lvlJc w:val="left"/>
      <w:pPr>
        <w:ind w:left="1070" w:hanging="360"/>
        <w:jc w:val="left"/>
      </w:pPr>
      <w:rPr>
        <w:rFonts w:hint="default" w:ascii="宋体" w:hAnsi="宋体" w:eastAsia="宋体" w:cs="宋体"/>
        <w:w w:val="100"/>
        <w:sz w:val="24"/>
        <w:szCs w:val="24"/>
      </w:rPr>
    </w:lvl>
    <w:lvl w:ilvl="1" w:tentative="0">
      <w:start w:val="0"/>
      <w:numFmt w:val="bullet"/>
      <w:lvlText w:val="•"/>
      <w:lvlJc w:val="left"/>
      <w:pPr>
        <w:ind w:left="1872" w:hanging="360"/>
      </w:pPr>
      <w:rPr>
        <w:rFonts w:hint="default"/>
      </w:rPr>
    </w:lvl>
    <w:lvl w:ilvl="2" w:tentative="0">
      <w:start w:val="0"/>
      <w:numFmt w:val="bullet"/>
      <w:lvlText w:val="•"/>
      <w:lvlJc w:val="left"/>
      <w:pPr>
        <w:ind w:left="2665" w:hanging="360"/>
      </w:pPr>
      <w:rPr>
        <w:rFonts w:hint="default"/>
      </w:rPr>
    </w:lvl>
    <w:lvl w:ilvl="3" w:tentative="0">
      <w:start w:val="0"/>
      <w:numFmt w:val="bullet"/>
      <w:lvlText w:val="•"/>
      <w:lvlJc w:val="left"/>
      <w:pPr>
        <w:ind w:left="3457" w:hanging="360"/>
      </w:pPr>
      <w:rPr>
        <w:rFonts w:hint="default"/>
      </w:rPr>
    </w:lvl>
    <w:lvl w:ilvl="4" w:tentative="0">
      <w:start w:val="0"/>
      <w:numFmt w:val="bullet"/>
      <w:lvlText w:val="•"/>
      <w:lvlJc w:val="left"/>
      <w:pPr>
        <w:ind w:left="4250" w:hanging="360"/>
      </w:pPr>
      <w:rPr>
        <w:rFonts w:hint="default"/>
      </w:rPr>
    </w:lvl>
    <w:lvl w:ilvl="5" w:tentative="0">
      <w:start w:val="0"/>
      <w:numFmt w:val="bullet"/>
      <w:lvlText w:val="•"/>
      <w:lvlJc w:val="left"/>
      <w:pPr>
        <w:ind w:left="5042" w:hanging="360"/>
      </w:pPr>
      <w:rPr>
        <w:rFonts w:hint="default"/>
      </w:rPr>
    </w:lvl>
    <w:lvl w:ilvl="6" w:tentative="0">
      <w:start w:val="0"/>
      <w:numFmt w:val="bullet"/>
      <w:lvlText w:val="•"/>
      <w:lvlJc w:val="left"/>
      <w:pPr>
        <w:ind w:left="5835" w:hanging="360"/>
      </w:pPr>
      <w:rPr>
        <w:rFonts w:hint="default"/>
      </w:rPr>
    </w:lvl>
    <w:lvl w:ilvl="7" w:tentative="0">
      <w:start w:val="0"/>
      <w:numFmt w:val="bullet"/>
      <w:lvlText w:val="•"/>
      <w:lvlJc w:val="left"/>
      <w:pPr>
        <w:ind w:left="6627" w:hanging="360"/>
      </w:pPr>
      <w:rPr>
        <w:rFonts w:hint="default"/>
      </w:rPr>
    </w:lvl>
    <w:lvl w:ilvl="8" w:tentative="0">
      <w:start w:val="0"/>
      <w:numFmt w:val="bullet"/>
      <w:lvlText w:val="•"/>
      <w:lvlJc w:val="left"/>
      <w:pPr>
        <w:ind w:left="7420" w:hanging="360"/>
      </w:pPr>
      <w:rPr>
        <w:rFonts w:hint="default"/>
      </w:rPr>
    </w:lvl>
  </w:abstractNum>
  <w:abstractNum w:abstractNumId="8">
    <w:nsid w:val="59ADCABA"/>
    <w:multiLevelType w:val="multilevel"/>
    <w:tmpl w:val="59ADCABA"/>
    <w:lvl w:ilvl="0" w:tentative="0">
      <w:start w:val="1"/>
      <w:numFmt w:val="decimal"/>
      <w:lvlText w:val="%1."/>
      <w:lvlJc w:val="left"/>
      <w:pPr>
        <w:ind w:left="1070" w:hanging="360"/>
        <w:jc w:val="left"/>
      </w:pPr>
      <w:rPr>
        <w:rFonts w:hint="default" w:ascii="宋体" w:hAnsi="宋体" w:eastAsia="宋体" w:cs="宋体"/>
        <w:w w:val="100"/>
        <w:sz w:val="24"/>
        <w:szCs w:val="24"/>
      </w:rPr>
    </w:lvl>
    <w:lvl w:ilvl="1" w:tentative="0">
      <w:start w:val="0"/>
      <w:numFmt w:val="bullet"/>
      <w:lvlText w:val="•"/>
      <w:lvlJc w:val="left"/>
      <w:pPr>
        <w:ind w:left="1872" w:hanging="360"/>
      </w:pPr>
      <w:rPr>
        <w:rFonts w:hint="default"/>
      </w:rPr>
    </w:lvl>
    <w:lvl w:ilvl="2" w:tentative="0">
      <w:start w:val="0"/>
      <w:numFmt w:val="bullet"/>
      <w:lvlText w:val="•"/>
      <w:lvlJc w:val="left"/>
      <w:pPr>
        <w:ind w:left="2665" w:hanging="360"/>
      </w:pPr>
      <w:rPr>
        <w:rFonts w:hint="default"/>
      </w:rPr>
    </w:lvl>
    <w:lvl w:ilvl="3" w:tentative="0">
      <w:start w:val="0"/>
      <w:numFmt w:val="bullet"/>
      <w:lvlText w:val="•"/>
      <w:lvlJc w:val="left"/>
      <w:pPr>
        <w:ind w:left="3457" w:hanging="360"/>
      </w:pPr>
      <w:rPr>
        <w:rFonts w:hint="default"/>
      </w:rPr>
    </w:lvl>
    <w:lvl w:ilvl="4" w:tentative="0">
      <w:start w:val="0"/>
      <w:numFmt w:val="bullet"/>
      <w:lvlText w:val="•"/>
      <w:lvlJc w:val="left"/>
      <w:pPr>
        <w:ind w:left="4250" w:hanging="360"/>
      </w:pPr>
      <w:rPr>
        <w:rFonts w:hint="default"/>
      </w:rPr>
    </w:lvl>
    <w:lvl w:ilvl="5" w:tentative="0">
      <w:start w:val="0"/>
      <w:numFmt w:val="bullet"/>
      <w:lvlText w:val="•"/>
      <w:lvlJc w:val="left"/>
      <w:pPr>
        <w:ind w:left="5042" w:hanging="360"/>
      </w:pPr>
      <w:rPr>
        <w:rFonts w:hint="default"/>
      </w:rPr>
    </w:lvl>
    <w:lvl w:ilvl="6" w:tentative="0">
      <w:start w:val="0"/>
      <w:numFmt w:val="bullet"/>
      <w:lvlText w:val="•"/>
      <w:lvlJc w:val="left"/>
      <w:pPr>
        <w:ind w:left="5835" w:hanging="360"/>
      </w:pPr>
      <w:rPr>
        <w:rFonts w:hint="default"/>
      </w:rPr>
    </w:lvl>
    <w:lvl w:ilvl="7" w:tentative="0">
      <w:start w:val="0"/>
      <w:numFmt w:val="bullet"/>
      <w:lvlText w:val="•"/>
      <w:lvlJc w:val="left"/>
      <w:pPr>
        <w:ind w:left="6627" w:hanging="360"/>
      </w:pPr>
      <w:rPr>
        <w:rFonts w:hint="default"/>
      </w:rPr>
    </w:lvl>
    <w:lvl w:ilvl="8" w:tentative="0">
      <w:start w:val="0"/>
      <w:numFmt w:val="bullet"/>
      <w:lvlText w:val="•"/>
      <w:lvlJc w:val="left"/>
      <w:pPr>
        <w:ind w:left="7420" w:hanging="360"/>
      </w:pPr>
      <w:rPr>
        <w:rFonts w:hint="default"/>
      </w:rPr>
    </w:lvl>
  </w:abstractNum>
  <w:abstractNum w:abstractNumId="9">
    <w:nsid w:val="72183CF9"/>
    <w:multiLevelType w:val="multilevel"/>
    <w:tmpl w:val="72183CF9"/>
    <w:lvl w:ilvl="0" w:tentative="0">
      <w:start w:val="1"/>
      <w:numFmt w:val="decimal"/>
      <w:lvlText w:val="%1."/>
      <w:lvlJc w:val="left"/>
      <w:pPr>
        <w:ind w:left="230" w:hanging="360"/>
        <w:jc w:val="left"/>
      </w:pPr>
      <w:rPr>
        <w:rFonts w:hint="default" w:ascii="宋体" w:hAnsi="宋体" w:eastAsia="宋体" w:cs="宋体"/>
        <w:w w:val="100"/>
        <w:sz w:val="24"/>
        <w:szCs w:val="24"/>
      </w:rPr>
    </w:lvl>
    <w:lvl w:ilvl="1" w:tentative="0">
      <w:start w:val="0"/>
      <w:numFmt w:val="bullet"/>
      <w:lvlText w:val="•"/>
      <w:lvlJc w:val="left"/>
      <w:pPr>
        <w:ind w:left="1116" w:hanging="360"/>
      </w:pPr>
      <w:rPr>
        <w:rFonts w:hint="default"/>
      </w:rPr>
    </w:lvl>
    <w:lvl w:ilvl="2" w:tentative="0">
      <w:start w:val="0"/>
      <w:numFmt w:val="bullet"/>
      <w:lvlText w:val="•"/>
      <w:lvlJc w:val="left"/>
      <w:pPr>
        <w:ind w:left="1993" w:hanging="360"/>
      </w:pPr>
      <w:rPr>
        <w:rFonts w:hint="default"/>
      </w:rPr>
    </w:lvl>
    <w:lvl w:ilvl="3" w:tentative="0">
      <w:start w:val="0"/>
      <w:numFmt w:val="bullet"/>
      <w:lvlText w:val="•"/>
      <w:lvlJc w:val="left"/>
      <w:pPr>
        <w:ind w:left="2869" w:hanging="360"/>
      </w:pPr>
      <w:rPr>
        <w:rFonts w:hint="default"/>
      </w:rPr>
    </w:lvl>
    <w:lvl w:ilvl="4" w:tentative="0">
      <w:start w:val="0"/>
      <w:numFmt w:val="bullet"/>
      <w:lvlText w:val="•"/>
      <w:lvlJc w:val="left"/>
      <w:pPr>
        <w:ind w:left="3746" w:hanging="360"/>
      </w:pPr>
      <w:rPr>
        <w:rFonts w:hint="default"/>
      </w:rPr>
    </w:lvl>
    <w:lvl w:ilvl="5" w:tentative="0">
      <w:start w:val="0"/>
      <w:numFmt w:val="bullet"/>
      <w:lvlText w:val="•"/>
      <w:lvlJc w:val="left"/>
      <w:pPr>
        <w:ind w:left="4622" w:hanging="360"/>
      </w:pPr>
      <w:rPr>
        <w:rFonts w:hint="default"/>
      </w:rPr>
    </w:lvl>
    <w:lvl w:ilvl="6" w:tentative="0">
      <w:start w:val="0"/>
      <w:numFmt w:val="bullet"/>
      <w:lvlText w:val="•"/>
      <w:lvlJc w:val="left"/>
      <w:pPr>
        <w:ind w:left="5499" w:hanging="360"/>
      </w:pPr>
      <w:rPr>
        <w:rFonts w:hint="default"/>
      </w:rPr>
    </w:lvl>
    <w:lvl w:ilvl="7" w:tentative="0">
      <w:start w:val="0"/>
      <w:numFmt w:val="bullet"/>
      <w:lvlText w:val="•"/>
      <w:lvlJc w:val="left"/>
      <w:pPr>
        <w:ind w:left="6375" w:hanging="360"/>
      </w:pPr>
      <w:rPr>
        <w:rFonts w:hint="default"/>
      </w:rPr>
    </w:lvl>
    <w:lvl w:ilvl="8" w:tentative="0">
      <w:start w:val="0"/>
      <w:numFmt w:val="bullet"/>
      <w:lvlText w:val="•"/>
      <w:lvlJc w:val="left"/>
      <w:pPr>
        <w:ind w:left="7252" w:hanging="360"/>
      </w:pPr>
      <w:rPr>
        <w:rFonts w:hint="default"/>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useFELayout/>
    <w:compatSetting w:name="compatibilityMode" w:uri="http://schemas.microsoft.com/office/word" w:val="12"/>
  </w:compat>
  <w:rsids>
    <w:rsidRoot w:val="00000000"/>
    <w:rsid w:val="1ADB34A6"/>
    <w:rsid w:val="32AD2941"/>
    <w:rsid w:val="4F6E52A5"/>
    <w:rsid w:val="5F553484"/>
    <w:rsid w:val="6EE92F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123"/>
      <w:ind w:left="3"/>
      <w:jc w:val="center"/>
      <w:outlineLvl w:val="1"/>
    </w:pPr>
    <w:rPr>
      <w:rFonts w:ascii="宋体" w:hAnsi="宋体" w:eastAsia="宋体" w:cs="宋体"/>
      <w:b/>
      <w:bCs/>
      <w:sz w:val="29"/>
      <w:szCs w:val="29"/>
    </w:rPr>
  </w:style>
  <w:style w:type="paragraph" w:styleId="3">
    <w:name w:val="heading 2"/>
    <w:basedOn w:val="1"/>
    <w:next w:val="1"/>
    <w:qFormat/>
    <w:uiPriority w:val="1"/>
    <w:pPr>
      <w:spacing w:before="221"/>
      <w:ind w:left="1"/>
      <w:jc w:val="center"/>
      <w:outlineLvl w:val="2"/>
    </w:pPr>
    <w:rPr>
      <w:rFonts w:ascii="宋体" w:hAnsi="宋体" w:eastAsia="宋体" w:cs="宋体"/>
      <w:b/>
      <w:bCs/>
      <w:sz w:val="27"/>
      <w:szCs w:val="27"/>
    </w:rPr>
  </w:style>
  <w:style w:type="character" w:default="1" w:styleId="8">
    <w:name w:val="Default Paragraph Font"/>
    <w:semiHidden/>
    <w:unhideWhenUsed/>
    <w:qFormat/>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1"/>
    <w:pPr>
      <w:spacing w:before="209"/>
      <w:ind w:left="230"/>
    </w:pPr>
    <w:rPr>
      <w:rFonts w:ascii="宋体" w:hAnsi="宋体" w:eastAsia="宋体" w:cs="宋体"/>
      <w:b/>
      <w:bCs/>
      <w:sz w:val="20"/>
      <w:szCs w:val="20"/>
    </w:rPr>
  </w:style>
  <w:style w:type="table" w:customStyle="1" w:styleId="9">
    <w:name w:val="Table Normal"/>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pPr>
      <w:spacing w:before="211"/>
      <w:ind w:left="230" w:hanging="360"/>
    </w:pPr>
    <w:rPr>
      <w:rFonts w:ascii="宋体" w:hAnsi="宋体" w:eastAsia="宋体" w:cs="宋体"/>
    </w:rPr>
  </w:style>
  <w:style w:type="paragraph" w:customStyle="1" w:styleId="11">
    <w:name w:val="Table Paragraph"/>
    <w:basedOn w:val="1"/>
    <w:qFormat/>
    <w:uiPriority w:val="1"/>
    <w:pPr>
      <w:spacing w:line="292" w:lineRule="exact"/>
      <w:ind w:left="105"/>
    </w:pPr>
    <w:rPr>
      <w:rFonts w:ascii="宋体" w:hAnsi="宋体" w:eastAsia="宋体" w:cs="宋体"/>
    </w:rPr>
  </w:style>
  <w:style w:type="paragraph" w:customStyle="1" w:styleId="12">
    <w:name w:val="WPSOffice手动目录 1"/>
    <w:qFormat/>
    <w:uiPriority w:val="0"/>
    <w:pPr>
      <w:ind w:leftChars="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d709e5d-514f-44f8-b041-5e1740892427}"/>
        <w:style w:val=""/>
        <w:category>
          <w:name w:val="常规"/>
          <w:gallery w:val="placeholder"/>
        </w:category>
        <w:types>
          <w:type w:val="bbPlcHdr"/>
        </w:types>
        <w:behaviors>
          <w:behavior w:val="content"/>
        </w:behaviors>
        <w:description w:val=""/>
        <w:guid w:val="{5d709e5d-514f-44f8-b041-5e1740892427}"/>
      </w:docPartPr>
      <w:docPartBody>
        <w:p>
          <w:r>
            <w:rPr>
              <w:color w:val="808080"/>
            </w:rPr>
            <w:t>单击此处输入文字。</w:t>
          </w:r>
        </w:p>
      </w:docPartBody>
    </w:docPart>
    <w:docPart>
      <w:docPartPr>
        <w:name w:val="{7136548d-4fc3-4947-87c6-eab80817f2a5}"/>
        <w:style w:val=""/>
        <w:category>
          <w:name w:val="常规"/>
          <w:gallery w:val="placeholder"/>
        </w:category>
        <w:types>
          <w:type w:val="bbPlcHdr"/>
        </w:types>
        <w:behaviors>
          <w:behavior w:val="content"/>
        </w:behaviors>
        <w:description w:val=""/>
        <w:guid w:val="{7136548d-4fc3-4947-87c6-eab80817f2a5}"/>
      </w:docPartPr>
      <w:docPartBody>
        <w:p>
          <w:r>
            <w:rPr>
              <w:color w:val="808080"/>
            </w:rPr>
            <w:t>单击此处输入文字。</w:t>
          </w:r>
        </w:p>
      </w:docPartBody>
    </w:docPart>
    <w:docPart>
      <w:docPartPr>
        <w:name w:val="{5c93989a-dbeb-4950-bc9f-b249c96cc97c}"/>
        <w:style w:val=""/>
        <w:category>
          <w:name w:val="常规"/>
          <w:gallery w:val="placeholder"/>
        </w:category>
        <w:types>
          <w:type w:val="bbPlcHdr"/>
        </w:types>
        <w:behaviors>
          <w:behavior w:val="content"/>
        </w:behaviors>
        <w:description w:val=""/>
        <w:guid w:val="{5c93989a-dbeb-4950-bc9f-b249c96cc97c}"/>
      </w:docPartPr>
      <w:docPartBody>
        <w:p>
          <w:r>
            <w:rPr>
              <w:color w:val="808080"/>
            </w:rPr>
            <w:t>单击此处输入文字。</w:t>
          </w:r>
        </w:p>
      </w:docPartBody>
    </w:docPart>
    <w:docPart>
      <w:docPartPr>
        <w:name w:val="{3259ef28-cbf8-499d-a70d-e61cde804c3b}"/>
        <w:style w:val=""/>
        <w:category>
          <w:name w:val="常规"/>
          <w:gallery w:val="placeholder"/>
        </w:category>
        <w:types>
          <w:type w:val="bbPlcHdr"/>
        </w:types>
        <w:behaviors>
          <w:behavior w:val="content"/>
        </w:behaviors>
        <w:description w:val=""/>
        <w:guid w:val="{3259ef28-cbf8-499d-a70d-e61cde804c3b}"/>
      </w:docPartPr>
      <w:docPartBody>
        <w:p>
          <w:r>
            <w:rPr>
              <w:color w:val="808080"/>
            </w:rPr>
            <w:t>单击此处输入文字。</w:t>
          </w:r>
        </w:p>
      </w:docPartBody>
    </w:docPart>
    <w:docPart>
      <w:docPartPr>
        <w:name w:val="{e8e3379b-b460-451d-a709-8f34e7e1818f}"/>
        <w:style w:val=""/>
        <w:category>
          <w:name w:val="常规"/>
          <w:gallery w:val="placeholder"/>
        </w:category>
        <w:types>
          <w:type w:val="bbPlcHdr"/>
        </w:types>
        <w:behaviors>
          <w:behavior w:val="content"/>
        </w:behaviors>
        <w:description w:val=""/>
        <w:guid w:val="{e8e3379b-b460-451d-a709-8f34e7e1818f}"/>
      </w:docPartPr>
      <w:docPartBody>
        <w:p>
          <w:r>
            <w:rPr>
              <w:color w:val="808080"/>
            </w:rPr>
            <w:t>单击此处输入文字。</w:t>
          </w:r>
        </w:p>
      </w:docPartBody>
    </w:docPart>
    <w:docPart>
      <w:docPartPr>
        <w:name w:val="{9792e910-4e26-433d-99df-7bc9306aed8b}"/>
        <w:style w:val=""/>
        <w:category>
          <w:name w:val="常规"/>
          <w:gallery w:val="placeholder"/>
        </w:category>
        <w:types>
          <w:type w:val="bbPlcHdr"/>
        </w:types>
        <w:behaviors>
          <w:behavior w:val="content"/>
        </w:behaviors>
        <w:description w:val=""/>
        <w:guid w:val="{9792e910-4e26-433d-99df-7bc9306aed8b}"/>
      </w:docPartPr>
      <w:docPartBody>
        <w:p>
          <w:r>
            <w:rPr>
              <w:color w:val="808080"/>
            </w:rPr>
            <w:t>单击此处输入文字。</w:t>
          </w:r>
        </w:p>
      </w:docPartBody>
    </w:docPart>
    <w:docPart>
      <w:docPartPr>
        <w:name w:val="{0549f596-c1bf-4df7-bf58-f4a919a2f33a}"/>
        <w:style w:val=""/>
        <w:category>
          <w:name w:val="常规"/>
          <w:gallery w:val="placeholder"/>
        </w:category>
        <w:types>
          <w:type w:val="bbPlcHdr"/>
        </w:types>
        <w:behaviors>
          <w:behavior w:val="content"/>
        </w:behaviors>
        <w:description w:val=""/>
        <w:guid w:val="{0549f596-c1bf-4df7-bf58-f4a919a2f33a}"/>
      </w:docPartPr>
      <w:docPartBody>
        <w:p>
          <w:r>
            <w:rPr>
              <w:color w:val="808080"/>
            </w:rPr>
            <w:t>单击此处输入文字。</w:t>
          </w:r>
        </w:p>
      </w:docPartBody>
    </w:docPart>
    <w:docPart>
      <w:docPartPr>
        <w:name w:val="{cb43519e-dc20-4601-9680-dc0ff449157d}"/>
        <w:style w:val=""/>
        <w:category>
          <w:name w:val="常规"/>
          <w:gallery w:val="placeholder"/>
        </w:category>
        <w:types>
          <w:type w:val="bbPlcHdr"/>
        </w:types>
        <w:behaviors>
          <w:behavior w:val="content"/>
        </w:behaviors>
        <w:description w:val=""/>
        <w:guid w:val="{cb43519e-dc20-4601-9680-dc0ff449157d}"/>
      </w:docPartPr>
      <w:docPartBody>
        <w:p>
          <w:r>
            <w:rPr>
              <w:color w:val="808080"/>
            </w:rPr>
            <w:t>单击此处输入文字。</w:t>
          </w:r>
        </w:p>
      </w:docPartBody>
    </w:docPart>
    <w:docPart>
      <w:docPartPr>
        <w:name w:val="{4a14188e-f6b4-424b-b83e-0913bfee8be8}"/>
        <w:style w:val=""/>
        <w:category>
          <w:name w:val="常规"/>
          <w:gallery w:val="placeholder"/>
        </w:category>
        <w:types>
          <w:type w:val="bbPlcHdr"/>
        </w:types>
        <w:behaviors>
          <w:behavior w:val="content"/>
        </w:behaviors>
        <w:description w:val=""/>
        <w:guid w:val="{4a14188e-f6b4-424b-b83e-0913bfee8be8}"/>
      </w:docPartPr>
      <w:docPartBody>
        <w:p>
          <w:r>
            <w:rPr>
              <w:color w:val="808080"/>
            </w:rPr>
            <w:t>单击此处输入文字。</w:t>
          </w:r>
        </w:p>
      </w:docPartBody>
    </w:docPart>
    <w:docPart>
      <w:docPartPr>
        <w:name w:val="{5f316790-1658-4b98-b278-ca398f40f8a0}"/>
        <w:style w:val=""/>
        <w:category>
          <w:name w:val="常规"/>
          <w:gallery w:val="placeholder"/>
        </w:category>
        <w:types>
          <w:type w:val="bbPlcHdr"/>
        </w:types>
        <w:behaviors>
          <w:behavior w:val="content"/>
        </w:behaviors>
        <w:description w:val=""/>
        <w:guid w:val="{5f316790-1658-4b98-b278-ca398f40f8a0}"/>
      </w:docPartPr>
      <w:docPartBody>
        <w:p>
          <w:r>
            <w:rPr>
              <w:color w:val="808080"/>
            </w:rPr>
            <w:t>单击此处输入文字。</w:t>
          </w:r>
        </w:p>
      </w:docPartBody>
    </w:docPart>
    <w:docPart>
      <w:docPartPr>
        <w:name w:val="{751a7fbd-0b04-413d-9cbb-7819c3d71253}"/>
        <w:style w:val=""/>
        <w:category>
          <w:name w:val="常规"/>
          <w:gallery w:val="placeholder"/>
        </w:category>
        <w:types>
          <w:type w:val="bbPlcHdr"/>
        </w:types>
        <w:behaviors>
          <w:behavior w:val="content"/>
        </w:behaviors>
        <w:description w:val=""/>
        <w:guid w:val="{751a7fbd-0b04-413d-9cbb-7819c3d7125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2019-09-17T08:54:00Z</dcterms:created>
  <dc:creator>Administrator</dc:creator>
  <cp:lastModifiedBy>Administrator</cp:lastModifiedBy>
  <dcterms:modified xsi:type="dcterms:W3CDTF">2019-10-15T06:36:43Z</dcterms:modified>
  <dc:title>Microsoft Word - 16 旅游行业薪酬体系设计案例.doc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2017-06-15T00:00:00Z</vt:filetime>
  </property>
  <property fmtid="{D5CDD505-2E9C-101B-9397-08002B2CF9AE}" pid="3" name="Creator">
    <vt:lpwstr>Word</vt:lpwstr>
  </property>
  <property fmtid="{D5CDD505-2E9C-101B-9397-08002B2CF9AE}" pid="4" name="LastSaved">
    <vt:filetime>2019-09-17T00:00:00Z</vt:filetime>
  </property>
  <property fmtid="{D5CDD505-2E9C-101B-9397-08002B2CF9AE}" pid="5" name="KSOProductBuildVer">
    <vt:lpwstr>2052-11.1.0.9098</vt:lpwstr>
  </property>
</Properties>
</file>