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z w:val="40"/>
          <w:szCs w:val="22"/>
        </w:rPr>
      </w:pPr>
      <w:bookmarkStart w:id="0" w:name="_GoBack"/>
      <w:bookmarkEnd w:id="0"/>
      <w:r>
        <w:rPr>
          <w:rFonts w:hint="eastAsia" w:ascii="SimHei" w:hAnsi="SimHei" w:eastAsia="黑体" w:cs="楷体"/>
          <w:b/>
          <w:bCs/>
          <w:sz w:val="40"/>
          <w:szCs w:val="22"/>
        </w:rPr>
        <w:t>建筑设计行业薪酬体系设计方案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position w:val="0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第一章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  <w:lang w:val="en-US" w:eastAsia="zh-CN"/>
        </w:rPr>
        <w:t xml:space="preserve">  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第一条 基本目标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建立与院经营发展要求相适应的薪酬体系，形成良好的人才激励机制与激励导向，最大限度的发挥员工个人潜能，创造良好的人才成长环境。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第二条 基本原则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1、综合考虑薪酬体系对外的竞争性和企业的经济承受力，合理设定全院的总体薪酬水平。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2、体现效率，兼顾公平。注重多劳多得，同时兼顾全院的协调发展。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3、充分体现激励约束性，全院员工的收入都和绩效挂钩，从而使得员工的绩效表现直接影响个人收入。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4、针对不同岗位设定不同的薪酬模式，从而充分体现不同岗位的工作特点与工作导向。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第三条 适用范围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本管理制度适用于与院签订正式劳动合同的员工。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w w:val="105"/>
          <w:position w:val="0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第二章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ab/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薪酬体系的构成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第四条 薪酬体系构成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全院的薪酬体系由生产人员收入、其他人员收入、津贴、市场奖组成。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第五条 生产人员收入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生产人员收入=基本工资+项目产值提成具体内容见第三章。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第六条 其他人员收入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其他人员收入包括院部人员、总师室人员、办公室人员、市场部人员收入，具体内容见第四章。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第七条 津贴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津贴包括行政津贴、注册津贴、职称津贴三项。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行政津贴发放对象为生产部门（创意室、建筑所、结构所和设备所）部门负责人，标准为 300 元/月，每月发放一次。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注册津贴为鼓励员工考取注册资格发放，其中获国家一级注册建筑师、结构师资格，500 元/月；获国家二级注册建筑师、结构师资格，200 元/月；每月发放一次。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职称津贴发放对象为非管理服务类、非市场类，且有中、高级职称的员工；其中获取高级职称的人员，200 元/月；获取中级职称的人员，150 元/月；每月发放一次。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第八条 市场奖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为提倡全院营销的概念，特设定市场奖。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其中院长、分管市场的副院长、分管生产副院长在完成一定额度的合同额之后， 对超出预定额度的合同额进行奖励；其中超出 100 万部分奖励 3%；100-200 万部分奖励 4%；200 万以上的奖励 5%。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院其他人员，能够给院里直接带来项目的，根据项目的合同金额提取 5%作为奖励。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院部根据合同金额，测算市场奖，并根据收入实际到帐情况发放。市场奖每年度发放一次。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w w:val="105"/>
          <w:position w:val="0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第三章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  <w:lang w:val="en-US" w:eastAsia="zh-CN"/>
        </w:rPr>
        <w:t xml:space="preserve">  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生产人员收入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第九条 收入构成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生产人员收入=基本工资+项目产值提成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部分岗位每月发放一定的额度的岗位奖金，在项目产值提成中扣除。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第十条 基本工资与岗位奖金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不同岗位的基本工资、岗位奖金标准如下表：</w:t>
      </w:r>
    </w:p>
    <w:tbl>
      <w:tblPr>
        <w:tblStyle w:val="4"/>
        <w:tblW w:w="8727" w:type="dxa"/>
        <w:jc w:val="center"/>
        <w:tblInd w:w="1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7"/>
        <w:gridCol w:w="1695"/>
        <w:gridCol w:w="7"/>
        <w:gridCol w:w="1565"/>
        <w:gridCol w:w="7"/>
        <w:gridCol w:w="1769"/>
        <w:gridCol w:w="7"/>
        <w:gridCol w:w="27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924" w:type="dxa"/>
          <w:wAfter w:w="2753" w:type="dxa"/>
          <w:trHeight w:val="469" w:hRule="atLeast"/>
          <w:jc w:val="center"/>
        </w:trPr>
        <w:tc>
          <w:tcPr>
            <w:tcW w:w="1702" w:type="dxa"/>
            <w:gridSpan w:val="2"/>
            <w:tcBorders>
              <w:righ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岗位</w:t>
            </w:r>
          </w:p>
        </w:tc>
        <w:tc>
          <w:tcPr>
            <w:tcW w:w="1572" w:type="dxa"/>
            <w:gridSpan w:val="2"/>
            <w:tcBorders>
              <w:lef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基本工资</w:t>
            </w:r>
          </w:p>
        </w:tc>
        <w:tc>
          <w:tcPr>
            <w:tcW w:w="1776" w:type="dxa"/>
            <w:gridSpan w:val="2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岗位奖金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924" w:type="dxa"/>
          <w:wAfter w:w="2753" w:type="dxa"/>
          <w:trHeight w:val="469" w:hRule="atLeast"/>
          <w:jc w:val="center"/>
        </w:trPr>
        <w:tc>
          <w:tcPr>
            <w:tcW w:w="1702" w:type="dxa"/>
            <w:gridSpan w:val="2"/>
            <w:tcBorders>
              <w:righ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主任设计师</w:t>
            </w:r>
          </w:p>
        </w:tc>
        <w:tc>
          <w:tcPr>
            <w:tcW w:w="1572" w:type="dxa"/>
            <w:gridSpan w:val="2"/>
            <w:tcBorders>
              <w:lef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1800</w:t>
            </w:r>
          </w:p>
        </w:tc>
        <w:tc>
          <w:tcPr>
            <w:tcW w:w="1776" w:type="dxa"/>
            <w:gridSpan w:val="2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17" w:type="dxa"/>
            <w:vMerge w:val="restart"/>
            <w:tcBorders>
              <w:left w:val="nil"/>
              <w:bottom w:val="nil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18" w:space="0"/>
              <w:left w:val="single" w:color="000000" w:sz="12" w:space="0"/>
              <w:bottom w:val="single" w:color="000000" w:sz="12" w:space="0"/>
              <w:righ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设计师 A</w:t>
            </w:r>
          </w:p>
        </w:tc>
        <w:tc>
          <w:tcPr>
            <w:tcW w:w="1572" w:type="dxa"/>
            <w:gridSpan w:val="2"/>
            <w:tcBorders>
              <w:top w:val="single" w:color="000000" w:sz="18" w:space="0"/>
              <w:left w:val="double" w:color="000000" w:sz="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1500</w:t>
            </w:r>
          </w:p>
        </w:tc>
        <w:tc>
          <w:tcPr>
            <w:tcW w:w="1776" w:type="dxa"/>
            <w:gridSpan w:val="2"/>
            <w:tcBorders>
              <w:top w:val="single" w:color="000000" w:sz="1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500</w:t>
            </w:r>
          </w:p>
        </w:tc>
        <w:tc>
          <w:tcPr>
            <w:tcW w:w="2760" w:type="dxa"/>
            <w:gridSpan w:val="2"/>
            <w:vMerge w:val="restart"/>
            <w:tcBorders>
              <w:left w:val="single" w:color="000000" w:sz="12" w:space="0"/>
              <w:bottom w:val="nil"/>
              <w:right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17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设计师 B</w:t>
            </w:r>
          </w:p>
        </w:tc>
        <w:tc>
          <w:tcPr>
            <w:tcW w:w="1572" w:type="dxa"/>
            <w:gridSpan w:val="2"/>
            <w:tcBorders>
              <w:top w:val="single" w:color="000000" w:sz="12" w:space="0"/>
              <w:left w:val="double" w:color="000000" w:sz="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1200</w:t>
            </w:r>
          </w:p>
        </w:tc>
        <w:tc>
          <w:tcPr>
            <w:tcW w:w="17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300</w:t>
            </w:r>
          </w:p>
        </w:tc>
        <w:tc>
          <w:tcPr>
            <w:tcW w:w="2760" w:type="dxa"/>
            <w:gridSpan w:val="2"/>
            <w:vMerge w:val="continue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17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助理设计师 A</w:t>
            </w:r>
          </w:p>
        </w:tc>
        <w:tc>
          <w:tcPr>
            <w:tcW w:w="1572" w:type="dxa"/>
            <w:gridSpan w:val="2"/>
            <w:tcBorders>
              <w:top w:val="single" w:color="000000" w:sz="12" w:space="0"/>
              <w:left w:val="double" w:color="000000" w:sz="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1000</w:t>
            </w:r>
          </w:p>
        </w:tc>
        <w:tc>
          <w:tcPr>
            <w:tcW w:w="17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2"/>
              </w:rPr>
            </w:pPr>
          </w:p>
        </w:tc>
        <w:tc>
          <w:tcPr>
            <w:tcW w:w="2760" w:type="dxa"/>
            <w:gridSpan w:val="2"/>
            <w:vMerge w:val="continue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17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double" w:color="000000" w:sz="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助理设计师 B</w:t>
            </w:r>
          </w:p>
        </w:tc>
        <w:tc>
          <w:tcPr>
            <w:tcW w:w="1572" w:type="dxa"/>
            <w:gridSpan w:val="2"/>
            <w:tcBorders>
              <w:top w:val="single" w:color="000000" w:sz="12" w:space="0"/>
              <w:left w:val="double" w:color="000000" w:sz="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0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position w:val="0"/>
                <w:sz w:val="20"/>
              </w:rPr>
              <w:t>800</w:t>
            </w:r>
          </w:p>
        </w:tc>
        <w:tc>
          <w:tcPr>
            <w:tcW w:w="17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2"/>
              </w:rPr>
            </w:pPr>
          </w:p>
        </w:tc>
        <w:tc>
          <w:tcPr>
            <w:tcW w:w="2760" w:type="dxa"/>
            <w:gridSpan w:val="2"/>
            <w:vMerge w:val="continue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0" w:firstLineChars="20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position w:val="0"/>
                <w:sz w:val="2"/>
                <w:szCs w:val="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2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  <w:sz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基本工资与岗位奖金每月发放，岗位奖金在半年度项目产值提成结算时扣除。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第十条 项目产值提成的计算与发放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  <w:sz w:val="20"/>
        </w:rPr>
      </w:pPr>
      <w:r>
        <w:rPr>
          <w:rFonts w:hint="eastAsia" w:ascii="SimHei" w:hAnsi="SimHei" w:eastAsia="黑体" w:cs="楷体"/>
          <w:spacing w:val="0"/>
          <w:position w:val="0"/>
        </w:rPr>
        <w:t>生产人员项目产值提成=（项目产值-3 万元）</w:t>
      </w:r>
      <w:r>
        <w:rPr>
          <w:rFonts w:hint="eastAsia" w:ascii="SimHei" w:hAnsi="SimHei" w:eastAsia="黑体" w:cs="楷体"/>
          <w:spacing w:val="0"/>
          <w:position w:val="0"/>
          <w:sz w:val="20"/>
        </w:rPr>
        <w:t>×0.28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其中项目产值为当年度生产人员可供提成的项目产值；3 万元为不提成产值；0.28 为提成系数。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项目产值提成每半年度汇总测算并发放。其中前评估部分产值（项目产值的85%）全部发放；后评估部分产值（项目产值的 15%）中的 5%作为所长基金，所得提成由所长在全所范围内调剂发放，其余 10%根据后续服务工作情况发放。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第十一条  项目产值的测算</w:t>
      </w:r>
      <w:r>
        <w:rPr>
          <w:rFonts w:hint="eastAsia" w:ascii="SimHei" w:hAnsi="SimHei" w:eastAsia="黑体" w:cs="楷体"/>
          <w:b/>
          <w:spacing w:val="0"/>
          <w:position w:val="0"/>
          <w:sz w:val="23"/>
        </w:rPr>
        <w:t>1、单个项目产值的测算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根据院设定的该项目信息指导价，提取 8%为方案创作产值，提取 3%为项目管理产值。剩余为项目产值。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  <w:sz w:val="24"/>
        </w:rPr>
      </w:pPr>
      <w:r>
        <w:rPr>
          <w:rFonts w:hint="eastAsia" w:ascii="SimHei" w:hAnsi="SimHei" w:eastAsia="黑体" w:cs="楷体"/>
          <w:spacing w:val="0"/>
          <w:position w:val="0"/>
        </w:rPr>
        <w:t>其中在测算项目组实际产值时，应考虑项目考核因素，根据公式</w:t>
      </w:r>
      <w:r>
        <w:rPr>
          <w:rFonts w:hint="eastAsia" w:ascii="SimHei" w:hAnsi="SimHei" w:eastAsia="黑体" w:cs="楷体"/>
          <w:b/>
          <w:spacing w:val="0"/>
          <w:position w:val="0"/>
          <w:sz w:val="23"/>
          <w:u w:val="single"/>
        </w:rPr>
        <w:t>项目实际产值</w:t>
      </w:r>
      <w:r>
        <w:rPr>
          <w:rFonts w:hint="eastAsia" w:ascii="SimHei" w:hAnsi="SimHei" w:eastAsia="黑体" w:cs="楷体"/>
          <w:b/>
          <w:spacing w:val="0"/>
          <w:w w:val="103"/>
          <w:position w:val="0"/>
          <w:sz w:val="23"/>
          <w:u w:val="single"/>
        </w:rPr>
        <w:t>=K</w:t>
      </w:r>
      <w:r>
        <w:rPr>
          <w:rFonts w:hint="eastAsia" w:ascii="SimHei" w:hAnsi="SimHei" w:eastAsia="黑体" w:cs="楷体"/>
          <w:b/>
          <w:spacing w:val="0"/>
          <w:w w:val="108"/>
          <w:position w:val="0"/>
          <w:sz w:val="11"/>
          <w:u w:val="single"/>
        </w:rPr>
        <w:t>0</w:t>
      </w:r>
      <w:r>
        <w:rPr>
          <w:rFonts w:hint="eastAsia" w:ascii="SimHei" w:hAnsi="SimHei" w:eastAsia="黑体" w:cs="楷体"/>
          <w:b/>
          <w:spacing w:val="0"/>
          <w:w w:val="103"/>
          <w:position w:val="0"/>
          <w:sz w:val="23"/>
          <w:u w:val="single"/>
        </w:rPr>
        <w:t>×项目产</w:t>
      </w:r>
      <w:r>
        <w:rPr>
          <w:rFonts w:hint="eastAsia" w:ascii="SimHei" w:hAnsi="SimHei" w:eastAsia="黑体" w:cs="楷体"/>
          <w:b/>
          <w:spacing w:val="0"/>
          <w:w w:val="103"/>
          <w:position w:val="0"/>
          <w:sz w:val="23"/>
        </w:rPr>
        <w:t>值</w:t>
      </w:r>
      <w:r>
        <w:rPr>
          <w:rFonts w:hint="eastAsia" w:ascii="SimHei" w:hAnsi="SimHei" w:eastAsia="黑体" w:cs="楷体"/>
          <w:spacing w:val="0"/>
          <w:position w:val="0"/>
          <w:sz w:val="24"/>
        </w:rPr>
        <w:t>计算。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 K</w:t>
      </w:r>
      <w:r>
        <w:rPr>
          <w:rFonts w:hint="eastAsia" w:ascii="SimHei" w:hAnsi="SimHei" w:eastAsia="黑体" w:cs="楷体"/>
          <w:spacing w:val="0"/>
          <w:position w:val="0"/>
          <w:sz w:val="12"/>
        </w:rPr>
        <w:t xml:space="preserve">0 </w:t>
      </w:r>
      <w:r>
        <w:rPr>
          <w:rFonts w:hint="eastAsia" w:ascii="SimHei" w:hAnsi="SimHei" w:eastAsia="黑体" w:cs="楷体"/>
          <w:spacing w:val="0"/>
          <w:position w:val="0"/>
        </w:rPr>
        <w:t>为项目考核系数，详细内容见《绩效考核制度》。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2、创作室员工个人产值的测算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创意室方案创作人员的产值收入可以按照如下方式确定：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（1）对参与投标的项目，如果是只含方案设计的项目，中标后按照项目产值计；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（2）如果没有中标，院里给予创作补贴，补贴来源方案创作产值，为项目信息指导价的 8%。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（3）对于既含有方案设计又含有施工图设计的项目，创意室方案设计人员中标后可获得为该方案的创作基金＋建筑所分割的产值，即项目信息指导价×8%＋建筑所项目信息指导价×30%。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3、专业所员工个人单个项目产值的测算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个人单个项目产值=项目产值×专业工比×个人工比×95%×K</w:t>
      </w:r>
      <w:r>
        <w:rPr>
          <w:rFonts w:hint="eastAsia" w:ascii="SimHei" w:hAnsi="SimHei" w:eastAsia="黑体" w:cs="楷体"/>
          <w:spacing w:val="0"/>
          <w:position w:val="0"/>
          <w:sz w:val="12"/>
        </w:rPr>
        <w:t>1</w:t>
      </w:r>
      <w:r>
        <w:rPr>
          <w:rFonts w:hint="eastAsia" w:ascii="SimHei" w:hAnsi="SimHei" w:eastAsia="黑体" w:cs="楷体"/>
          <w:spacing w:val="0"/>
          <w:position w:val="0"/>
        </w:rPr>
        <w:t>担任助理设计师 B、助理设计师 A 岗位人员的个人单个项目产值还应分别提取40%、30%给相应的师父。上述公式中：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（1）专业工比为建筑、结构、设备（不含暖通）=42：38：20。建筑专业中30%为方案创作工作工比。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（2）个人工比按照《民用建筑设计劳动定额（2000 版）》中规定执行。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（3）95%为提取 5%作为专业所所长产值所做的调整。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（4）K</w:t>
      </w:r>
      <w:r>
        <w:rPr>
          <w:rFonts w:hint="eastAsia" w:ascii="SimHei" w:hAnsi="SimHei" w:eastAsia="黑体" w:cs="楷体"/>
          <w:spacing w:val="0"/>
          <w:position w:val="0"/>
          <w:sz w:val="12"/>
        </w:rPr>
        <w:t xml:space="preserve">1 </w:t>
      </w:r>
      <w:r>
        <w:rPr>
          <w:rFonts w:hint="eastAsia" w:ascii="SimHei" w:hAnsi="SimHei" w:eastAsia="黑体" w:cs="楷体"/>
          <w:spacing w:val="0"/>
          <w:position w:val="0"/>
        </w:rPr>
        <w:t>为个人项目考核系数，详细内容见《绩效考核制度》。同时，每一项目内所有参设人员的个人项目产值之和（未乘 95%之前的数字），不能高于经过项目考核调整后形成的该项目实际产值。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3、专业所所长、创意室主任个人产值的测算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spacing w:val="0"/>
          <w:position w:val="0"/>
          <w:sz w:val="24"/>
        </w:rPr>
        <w:t>专业所所长、创意室主任项目产值=</w:t>
      </w:r>
      <w:r>
        <w:rPr>
          <w:rFonts w:hint="eastAsia" w:ascii="SimHei" w:hAnsi="SimHei" w:eastAsia="黑体" w:cs="楷体"/>
          <w:b/>
          <w:spacing w:val="0"/>
          <w:position w:val="0"/>
          <w:sz w:val="23"/>
        </w:rPr>
        <w:t>个人项目产值+专业所产值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其中专业所产值为全所的 5%，个人项目产值按照本条第 2 款规定的方式确定。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4、项目负责人的产值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  <w:sz w:val="24"/>
        </w:rPr>
      </w:pPr>
      <w:r>
        <w:rPr>
          <w:rFonts w:hint="eastAsia" w:ascii="SimHei" w:hAnsi="SimHei" w:eastAsia="黑体" w:cs="楷体"/>
          <w:spacing w:val="0"/>
          <w:position w:val="0"/>
        </w:rPr>
        <w:t>担任项目负责人的根据负责项目的信息指导价，提取 3%为项目管理产值。其中在测算项目负责人实际产值时，应考虑项目考核因素，根据公式</w:t>
      </w:r>
      <w:r>
        <w:rPr>
          <w:rFonts w:hint="eastAsia" w:ascii="SimHei" w:hAnsi="SimHei" w:eastAsia="黑体" w:cs="楷体"/>
          <w:b/>
          <w:spacing w:val="0"/>
          <w:position w:val="0"/>
          <w:sz w:val="23"/>
          <w:u w:val="single"/>
        </w:rPr>
        <w:t>项目管理</w:t>
      </w: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  <w:u w:val="single"/>
        </w:rPr>
        <w:t>实际产值=K0×项目管理产</w:t>
      </w: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值</w:t>
      </w:r>
      <w:r>
        <w:rPr>
          <w:rFonts w:hint="eastAsia" w:ascii="SimHei" w:hAnsi="SimHei" w:eastAsia="黑体" w:cs="楷体"/>
          <w:spacing w:val="0"/>
          <w:w w:val="105"/>
          <w:position w:val="0"/>
          <w:sz w:val="24"/>
        </w:rPr>
        <w:t>计算。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 K0 为项目考核系数，详细内容见《绩效考核制度》。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5、发放期内项目产值的汇总测算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单个项目根据《绩效考核制度》在每个项目符合前评估、后评估要求后，即进行考核、测算，分别测算每个员工的项目产值，半年度进行汇总。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其中专业所所长、创意室主任的项目产值在半年度汇总后如超过本所平均产值1.8 倍，超出部分的个人项目产值按 6 折计算，4 折部分计算的提成并入所长基金。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w w:val="105"/>
          <w:position w:val="0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第四章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ab/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其他人员收入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第十二条 年薪制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院长、副院长、总师室主任、总工、总建、办公室主任实施年薪制。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  <w:u w:val="single"/>
        </w:rPr>
        <w:t>年薪总额＝基薪+风险收入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  <w:u w:val="single"/>
        </w:rPr>
        <w:t>风险收入＝（年薪－基薪）*X*Y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1、年薪总额以当年度全院专业所所长的平均年收入为基数 1，按照院长 1.1， 副院长 1.0，总师室主任、总工、总建 1.1，办公室主任 0.5 的系数确定。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2、基薪为每月发放的固定收入，根据院长 5000/月、副院长 4500 元/月，总师室主任、总工、总建 4500 元/月，办公室主任 3000 元/月。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3、风险收入根据当年度绩效考核情况确定的 X、Y 的值，每年计算发放，详细内容见《绩效考核制度》。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第十三条 审图奖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审图工程师领取审图奖。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每月发放岗位工资 3000 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年终确定该年度参与审核的项目产值，结合年度考核结果计算审图奖：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审图奖=审图产值×30%×年度考核成绩，年度考核成绩的详细内容见《绩效考核制度》。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最后，根据个人审图产值提成－年度岗位工资总额，计算年底所得奖金。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第十四条 岗位工资制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行政助理、出纳、网络管理员、晒图员、司机、门卫、市场部总监实行岗位工资制。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其中行政助理、出纳、网络管理员、晒图员、司机、门卫岗位工资为 600-1200元/月，根据岗位的岗位职责、工作内容等确定其岗位工资；市场部总监为 3000 元/月。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岗位工资每月发放。同时根据个人考核情况调整下一考核周期的岗位工资发放，详细内容见《绩效考核制度》。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另外，视全院的整体运营情况决定发放一定的年终奖金。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w w:val="105"/>
          <w:position w:val="0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第五章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  <w:lang w:val="en-US" w:eastAsia="zh-CN"/>
        </w:rPr>
        <w:t xml:space="preserve"> 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第十五条 一人多岗的员工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spacing w:val="0"/>
          <w:position w:val="0"/>
        </w:rPr>
        <w:t>员工一人多岗的，原则上薪酬待遇按就高不就低原则执行。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4" w:firstLineChars="200"/>
        <w:jc w:val="both"/>
        <w:textAlignment w:val="auto"/>
        <w:rPr>
          <w:rFonts w:hint="eastAsia" w:ascii="楷体" w:hAnsi="楷体" w:eastAsia="楷体" w:cs="楷体"/>
          <w:b/>
          <w:spacing w:val="0"/>
          <w:position w:val="0"/>
          <w:sz w:val="23"/>
        </w:rPr>
      </w:pPr>
      <w:r>
        <w:rPr>
          <w:rFonts w:hint="eastAsia" w:ascii="SimHei" w:hAnsi="SimHei" w:eastAsia="黑体" w:cs="楷体"/>
          <w:b/>
          <w:spacing w:val="0"/>
          <w:w w:val="105"/>
          <w:position w:val="0"/>
          <w:sz w:val="23"/>
        </w:rPr>
        <w:t>第十六条 谈判工资制人员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  <w:sz w:val="19"/>
        </w:rPr>
      </w:pPr>
      <w:r>
        <w:rPr>
          <w:rFonts w:hint="eastAsia" w:ascii="SimHei" w:hAnsi="SimHei" w:eastAsia="黑体" w:cs="楷体"/>
          <w:spacing w:val="0"/>
          <w:position w:val="0"/>
        </w:rPr>
        <w:t>实行谈判工资制的人员，如按照本制度规定可以测算产值提成，以相应岗位的提成标准为依据，在年底计算全年产值提成，并与谈判工资总额相比较，如果员工完成产值提成超过谈判工资总额，则对超过部分的产值进行提成，提成比例是正常提成比例的 1/2；如果员工完成的产值低于谈判工资总额，则第二年需要与员工重新进行工资谈判；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w w:val="105"/>
          <w:position w:val="0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第六章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  <w:lang w:val="en-US" w:eastAsia="zh-CN"/>
        </w:rPr>
        <w:t xml:space="preserve"> </w:t>
      </w:r>
      <w:r>
        <w:rPr>
          <w:rFonts w:hint="eastAsia" w:ascii="SimHei" w:hAnsi="SimHei" w:eastAsia="黑体" w:cs="楷体"/>
          <w:b/>
          <w:bCs/>
          <w:spacing w:val="0"/>
          <w:w w:val="105"/>
          <w:position w:val="0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62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  <w:sz w:val="24"/>
        </w:rPr>
      </w:pPr>
      <w:r>
        <w:rPr>
          <w:rFonts w:hint="eastAsia" w:ascii="SimHei" w:hAnsi="SimHei" w:eastAsia="黑体" w:cs="楷体"/>
          <w:b/>
          <w:spacing w:val="0"/>
          <w:position w:val="0"/>
          <w:sz w:val="23"/>
        </w:rPr>
        <w:t xml:space="preserve">第十七条 </w:t>
      </w:r>
      <w:r>
        <w:rPr>
          <w:rFonts w:hint="eastAsia" w:ascii="SimHei" w:hAnsi="SimHei" w:eastAsia="黑体" w:cs="楷体"/>
          <w:spacing w:val="0"/>
          <w:position w:val="0"/>
          <w:sz w:val="24"/>
        </w:rPr>
        <w:t>本制度的解释权归院部所有。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62" w:firstLineChars="200"/>
        <w:jc w:val="both"/>
        <w:textAlignment w:val="auto"/>
        <w:rPr>
          <w:rFonts w:hint="eastAsia" w:ascii="楷体" w:hAnsi="楷体" w:eastAsia="楷体" w:cs="楷体"/>
          <w:spacing w:val="0"/>
          <w:position w:val="0"/>
        </w:rPr>
      </w:pPr>
      <w:r>
        <w:rPr>
          <w:rFonts w:hint="eastAsia" w:ascii="SimHei" w:hAnsi="SimHei" w:eastAsia="黑体" w:cs="楷体"/>
          <w:b/>
          <w:spacing w:val="0"/>
          <w:position w:val="0"/>
          <w:sz w:val="23"/>
        </w:rPr>
        <w:t xml:space="preserve">第十八条 </w:t>
      </w:r>
      <w:r>
        <w:rPr>
          <w:rFonts w:hint="eastAsia" w:ascii="SimHei" w:hAnsi="SimHei" w:eastAsia="黑体" w:cs="楷体"/>
          <w:spacing w:val="0"/>
          <w:position w:val="0"/>
        </w:rPr>
        <w:t>本制度经院长办公会讨论通过后正式实施。原有规定与本制度相抵触的， 按本制度执行。</w:t>
      </w:r>
    </w:p>
    <w:sectPr>
      <w:headerReference r:id="rId3" w:type="default"/>
      <w:footerReference r:id="rId4" w:type="default"/>
      <w:pgSz w:w="11910" w:h="16840"/>
      <w:pgMar w:top="850" w:right="1474" w:bottom="850" w:left="1474" w:header="624" w:footer="6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0.75pt;margin-top:800.7pt;height:11.85pt;width:8.45pt;mso-position-horizontal-relative:page;mso-position-vertical-relative:page;z-index:-8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9"/>
                  <w:ind w:left="40" w:right="0" w:firstLine="0"/>
                  <w:jc w:val="left"/>
                  <w:rPr>
                    <w:rFonts w:ascii="Times New Roman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F81BD"/>
                    <w:w w:val="10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14960BB7"/>
    <w:rsid w:val="28DD3065"/>
    <w:rsid w:val="50421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right="71"/>
      <w:jc w:val="center"/>
      <w:outlineLvl w:val="1"/>
    </w:pPr>
    <w:rPr>
      <w:rFonts w:ascii="宋体" w:hAnsi="宋体" w:eastAsia="宋体" w:cs="宋体"/>
      <w:sz w:val="29"/>
      <w:szCs w:val="29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60"/>
      <w:ind w:left="192"/>
    </w:pPr>
    <w:rPr>
      <w:rFonts w:ascii="宋体" w:hAnsi="宋体" w:eastAsia="宋体" w:cs="宋体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2019-09-17T08:52:00Z</dcterms:created>
  <dc:creator>Administrator</dc:creator>
  <cp:lastModifiedBy>Administrator</cp:lastModifiedBy>
  <dcterms:modified xsi:type="dcterms:W3CDTF">2019-10-15T06:34:36Z</dcterms:modified>
  <dc:title>Microsoft Word - 11 建筑设计行业薪酬体系设计案例.doc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Word</vt:lpwstr>
  </property>
  <property fmtid="{D5CDD505-2E9C-101B-9397-08002B2CF9AE}" pid="4" name="LastSaved">
    <vt:filetime>2019-09-17T00:00:00Z</vt:filetime>
  </property>
  <property fmtid="{D5CDD505-2E9C-101B-9397-08002B2CF9AE}" pid="5" name="KSOProductBuildVer">
    <vt:lpwstr>2052-11.1.0.9098</vt:lpwstr>
  </property>
</Properties>
</file>