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right="0" w:firstLine="0"/>
        <w:jc w:val="center"/>
        <w:textAlignment w:val="auto"/>
        <w:rPr>
          <w:rFonts w:hint="eastAsia" w:ascii="楷体" w:hAnsi="楷体" w:eastAsia="楷体" w:cs="楷体"/>
          <w:b/>
          <w:sz w:val="36"/>
          <w:szCs w:val="36"/>
        </w:rPr>
      </w:pPr>
      <w:r>
        <w:rPr>
          <w:rFonts w:hint="eastAsia" w:ascii="SimHei" w:hAnsi="SimHei" w:eastAsia="黑体" w:cs="楷体"/>
          <w:b/>
          <w:sz w:val="36"/>
          <w:szCs w:val="36"/>
        </w:rPr>
        <w:t>国有企业薪酬体系设计方案</w:t>
      </w: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SimHei" w:hAnsi="SimHei" w:eastAsia="黑体" w:cs="楷体"/>
          <w:b/>
          <w:bCs/>
          <w:w w:val="105"/>
          <w:sz w:val="28"/>
          <w:szCs w:val="28"/>
        </w:rPr>
        <w:t>第一章 总 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第一条 为落实《</w:t>
      </w:r>
      <w:r>
        <w:rPr>
          <w:rFonts w:hint="eastAsia" w:ascii="SimHei" w:hAnsi="SimHei" w:eastAsia="黑体" w:cs="楷体"/>
          <w:sz w:val="24"/>
          <w:szCs w:val="24"/>
          <w:lang w:val="en-US" w:eastAsia="zh-CN"/>
        </w:rPr>
        <w:t>XX</w:t>
      </w:r>
      <w:r>
        <w:rPr>
          <w:rFonts w:hint="eastAsia" w:ascii="SimHei" w:hAnsi="SimHei" w:eastAsia="黑体" w:cs="楷体"/>
          <w:spacing w:val="1"/>
          <w:sz w:val="24"/>
          <w:szCs w:val="24"/>
        </w:rPr>
        <w:t>国有企业负责人经营业绩考核与薪酬管理暂行办法》</w:t>
      </w:r>
      <w:r>
        <w:rPr>
          <w:rFonts w:hint="eastAsia" w:ascii="SimHei" w:hAnsi="SimHei" w:eastAsia="黑体" w:cs="楷体"/>
          <w:spacing w:val="2"/>
          <w:sz w:val="24"/>
          <w:szCs w:val="24"/>
        </w:rPr>
        <w:t>（以下简称《暂行办法》），切实履行国有资产出资人职责，逐步建立起符合现代企业制度要求的激励约束机制，合理确定企业负责人和员工收入水平，调动企业负责人与员工的积极性、创造性，切实维护员工的合法权益，促进企业经济效益增长和实现国有资产保值增值，根据《公司法》、《企业国有资产监督管理暂行条例》等法</w:t>
      </w:r>
      <w:r>
        <w:rPr>
          <w:rFonts w:hint="eastAsia" w:ascii="SimHei" w:hAnsi="SimHei" w:eastAsia="黑体" w:cs="楷体"/>
          <w:spacing w:val="2"/>
          <w:w w:val="105"/>
          <w:sz w:val="24"/>
          <w:szCs w:val="24"/>
        </w:rPr>
        <w:t>律法规，结合我市实际，制定本规定。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第二条 本规定适用于经市政府确定的，由成都市国有资产监督管理委员会（以</w:t>
      </w:r>
      <w:r>
        <w:rPr>
          <w:rFonts w:hint="eastAsia" w:ascii="SimHei" w:hAnsi="SimHei" w:eastAsia="黑体" w:cs="楷体"/>
          <w:w w:val="105"/>
          <w:sz w:val="24"/>
          <w:szCs w:val="24"/>
        </w:rPr>
        <w:t>下简称市国资委）履行出资人职责的国有及国有控股企业（以下简称企业）。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第三条 本规定所称企业负责人，指企业的董事长、党委书记、总经理和市国资委确定的其他负责人；所称员工，指除企业负责人以外的，与企业形成劳动关系的 主体；所称薪酬，指按照相关法规和本规定，结合企业经营业绩考核结果及合同、 经营责任书等法律文件所确定的，应由企业支付给企业负责人和企业员工的劳动报 </w:t>
      </w:r>
      <w:r>
        <w:rPr>
          <w:rFonts w:hint="eastAsia" w:ascii="SimHei" w:hAnsi="SimHei" w:eastAsia="黑体" w:cs="楷体"/>
          <w:w w:val="105"/>
          <w:sz w:val="24"/>
          <w:szCs w:val="24"/>
        </w:rPr>
        <w:t>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第四条 企业薪酬管理应当遵循以下基本原则：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（一）贯彻执行国家、省、市的相关薪酬政策，按照法律法规和相关规定，规 </w:t>
      </w:r>
      <w:r>
        <w:rPr>
          <w:rFonts w:hint="eastAsia" w:ascii="SimHei" w:hAnsi="SimHei" w:eastAsia="黑体" w:cs="楷体"/>
          <w:spacing w:val="2"/>
          <w:w w:val="105"/>
          <w:sz w:val="24"/>
          <w:szCs w:val="24"/>
        </w:rPr>
        <w:t>范薪酬管理；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（二）坚持激励与约束相结合，薪酬与风险、责任相一致，与经营业绩和劳动 </w:t>
      </w:r>
      <w:r>
        <w:rPr>
          <w:rFonts w:hint="eastAsia" w:ascii="SimHei" w:hAnsi="SimHei" w:eastAsia="黑体" w:cs="楷体"/>
          <w:spacing w:val="2"/>
          <w:w w:val="105"/>
          <w:sz w:val="24"/>
          <w:szCs w:val="24"/>
        </w:rPr>
        <w:t>成果相挂钩。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（三）坚持绩效考核，效率优先、兼顾公平和企业薪酬水平增幅不高于企业效 益增幅，企业负责人薪酬水平增幅不高于企业职工平均薪酬水平增幅，维护出资人 </w:t>
      </w:r>
      <w:r>
        <w:rPr>
          <w:rFonts w:hint="eastAsia" w:ascii="SimHei" w:hAnsi="SimHei" w:eastAsia="黑体" w:cs="楷体"/>
          <w:spacing w:val="2"/>
          <w:w w:val="105"/>
          <w:sz w:val="24"/>
          <w:szCs w:val="24"/>
        </w:rPr>
        <w:t>的合法权益。</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（四）坚持薪酬制度改革与相关改革配套进行，推进企业负责人收入分配和员 </w:t>
      </w:r>
      <w:r>
        <w:rPr>
          <w:rFonts w:hint="eastAsia" w:ascii="SimHei" w:hAnsi="SimHei" w:eastAsia="黑体" w:cs="楷体"/>
          <w:spacing w:val="2"/>
          <w:w w:val="105"/>
          <w:sz w:val="24"/>
          <w:szCs w:val="24"/>
        </w:rPr>
        <w:t>工收入的市场化、货币化、规范化、透明化。</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（五）建立薪酬预算体系、统一薪酬构成、控制薪酬总额，合理控制企业人工 </w:t>
      </w:r>
      <w:r>
        <w:rPr>
          <w:rFonts w:hint="eastAsia" w:ascii="SimHei" w:hAnsi="SimHei" w:eastAsia="黑体" w:cs="楷体"/>
          <w:spacing w:val="2"/>
          <w:w w:val="105"/>
          <w:sz w:val="24"/>
          <w:szCs w:val="24"/>
        </w:rPr>
        <w:t>成本，提高企业竞争力，促进企业可持续发展。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第二章 企业负责人薪酬的构成和确定办法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第五条 企业负责人薪酬由基本年薪、绩效年薪和特别奖励三部分构成。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第六条 薪酬的确定办法：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（一）基本年薪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
          <w:sz w:val="24"/>
          <w:szCs w:val="24"/>
        </w:rPr>
        <w:t xml:space="preserve">企业负责人的基本年薪是企业负责人年度的基本收入，主要根据企业经营规模、 经营管理难度、经营环境、所承担的战略责任和所在地区企业平均工资、所在行业  </w:t>
      </w:r>
      <w:r>
        <w:rPr>
          <w:rFonts w:hint="eastAsia" w:ascii="SimHei" w:hAnsi="SimHei" w:eastAsia="黑体" w:cs="楷体"/>
          <w:spacing w:val="-1"/>
          <w:w w:val="105"/>
          <w:sz w:val="24"/>
          <w:szCs w:val="24"/>
        </w:rPr>
        <w:t>平均工资、本企业平均工资等因素综合确定。基薪每年核定一次。</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分配系数：董事长、党委书记、总经理基本年薪为 100%，副职基本年薪为</w:t>
      </w:r>
      <w:r>
        <w:rPr>
          <w:rFonts w:hint="eastAsia" w:ascii="SimHei" w:hAnsi="SimHei" w:eastAsia="黑体" w:cs="楷体"/>
          <w:w w:val="105"/>
          <w:sz w:val="24"/>
          <w:szCs w:val="24"/>
        </w:rPr>
        <w:t>70%-90%。</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（二）绩效年薪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
          <w:sz w:val="24"/>
          <w:szCs w:val="24"/>
        </w:rPr>
        <w:t xml:space="preserve">绩效年薪与国有资本保值增值挂钩。主要考核指标为国有资本保值增值率、年 </w:t>
      </w:r>
      <w:r>
        <w:rPr>
          <w:rFonts w:hint="eastAsia" w:ascii="SimHei" w:hAnsi="SimHei" w:eastAsia="黑体" w:cs="楷体"/>
          <w:spacing w:val="2"/>
          <w:sz w:val="24"/>
          <w:szCs w:val="24"/>
        </w:rPr>
        <w:t xml:space="preserve">度利润总额、净资产收益率和可持续发展能力；辅助指标为销售（营业）增长率、 管理费用控制率、应收账款控制率等。主要指标为效益薪酬的计算依据，辅助指标 为调整依据。企业完成市国资委下达的业绩考核指标或责任目标，其负责人可获得 </w:t>
      </w:r>
      <w:r>
        <w:rPr>
          <w:rFonts w:hint="eastAsia" w:ascii="SimHei" w:hAnsi="SimHei" w:eastAsia="黑体" w:cs="楷体"/>
          <w:spacing w:val="2"/>
          <w:w w:val="105"/>
          <w:sz w:val="24"/>
          <w:szCs w:val="24"/>
        </w:rPr>
        <w:t>效益薪酬。考核指标随考核办法的调整而调整。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绩效年薪＝ 绩效年薪基数× 调节系数</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其中：绩效年薪以基本年薪为基数；调节系数根据考核分数，在 0-3 倍之间进</w:t>
      </w:r>
      <w:r>
        <w:rPr>
          <w:rFonts w:hint="eastAsia" w:ascii="SimHei" w:hAnsi="SimHei" w:eastAsia="黑体" w:cs="楷体"/>
          <w:w w:val="105"/>
          <w:sz w:val="24"/>
          <w:szCs w:val="24"/>
        </w:rPr>
        <w:t>行确定。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当考核结果为 E 级时，其绩效年薪为 0；</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sz w:val="24"/>
          <w:szCs w:val="24"/>
        </w:rPr>
      </w:pPr>
      <w:r>
        <w:rPr>
          <w:rFonts w:hint="eastAsia" w:ascii="SimHei" w:hAnsi="SimHei" w:eastAsia="黑体" w:cs="楷体"/>
          <w:spacing w:val="-9"/>
          <w:w w:val="105"/>
          <w:sz w:val="24"/>
          <w:szCs w:val="24"/>
        </w:rPr>
        <w:t xml:space="preserve">当考核结果为 </w:t>
      </w:r>
      <w:r>
        <w:rPr>
          <w:rFonts w:hint="eastAsia" w:ascii="SimHei" w:hAnsi="SimHei" w:eastAsia="黑体" w:cs="楷体"/>
          <w:w w:val="105"/>
          <w:sz w:val="24"/>
          <w:szCs w:val="24"/>
        </w:rPr>
        <w:t>D</w:t>
      </w:r>
      <w:r>
        <w:rPr>
          <w:rFonts w:hint="eastAsia" w:ascii="SimHei" w:hAnsi="SimHei" w:eastAsia="黑体" w:cs="楷体"/>
          <w:spacing w:val="-12"/>
          <w:w w:val="105"/>
          <w:sz w:val="24"/>
          <w:szCs w:val="24"/>
        </w:rPr>
        <w:t xml:space="preserve"> 级时，调节系数按</w:t>
      </w:r>
      <w:r>
        <w:rPr>
          <w:rFonts w:hint="eastAsia" w:ascii="SimHei" w:hAnsi="SimHei" w:eastAsia="黑体" w:cs="楷体"/>
          <w:spacing w:val="2"/>
          <w:w w:val="105"/>
          <w:sz w:val="24"/>
          <w:szCs w:val="24"/>
        </w:rPr>
        <w:t>（</w:t>
      </w:r>
      <w:r>
        <w:rPr>
          <w:rFonts w:hint="eastAsia" w:ascii="SimHei" w:hAnsi="SimHei" w:eastAsia="黑体" w:cs="楷体"/>
          <w:spacing w:val="1"/>
          <w:w w:val="105"/>
          <w:sz w:val="24"/>
          <w:szCs w:val="24"/>
        </w:rPr>
        <w:t>考核分数-</w:t>
      </w:r>
      <w:r>
        <w:rPr>
          <w:rFonts w:hint="eastAsia" w:ascii="SimHei" w:hAnsi="SimHei" w:eastAsia="黑体" w:cs="楷体"/>
          <w:w w:val="105"/>
          <w:sz w:val="24"/>
          <w:szCs w:val="24"/>
        </w:rPr>
        <w:t>D</w:t>
      </w:r>
      <w:r>
        <w:rPr>
          <w:rFonts w:hint="eastAsia" w:ascii="SimHei" w:hAnsi="SimHei" w:eastAsia="黑体" w:cs="楷体"/>
          <w:spacing w:val="-12"/>
          <w:w w:val="105"/>
          <w:sz w:val="24"/>
          <w:szCs w:val="24"/>
        </w:rPr>
        <w:t xml:space="preserve"> 级起点分数</w:t>
      </w:r>
      <w:r>
        <w:rPr>
          <w:rFonts w:hint="eastAsia" w:ascii="SimHei" w:hAnsi="SimHei" w:eastAsia="黑体" w:cs="楷体"/>
          <w:spacing w:val="-9"/>
          <w:w w:val="105"/>
          <w:sz w:val="24"/>
          <w:szCs w:val="24"/>
        </w:rPr>
        <w:t>）/（C</w:t>
      </w:r>
      <w:r>
        <w:rPr>
          <w:rFonts w:hint="eastAsia" w:ascii="SimHei" w:hAnsi="SimHei" w:eastAsia="黑体" w:cs="楷体"/>
          <w:spacing w:val="-12"/>
          <w:w w:val="105"/>
          <w:sz w:val="24"/>
          <w:szCs w:val="24"/>
        </w:rPr>
        <w:t xml:space="preserve"> 级起点分数</w:t>
      </w:r>
      <w:r>
        <w:rPr>
          <w:rFonts w:hint="eastAsia" w:ascii="SimHei" w:hAnsi="SimHei" w:eastAsia="黑体" w:cs="楷体"/>
          <w:w w:val="105"/>
          <w:sz w:val="24"/>
          <w:szCs w:val="24"/>
        </w:rPr>
        <w:t>-D</w:t>
      </w:r>
      <w:r>
        <w:rPr>
          <w:rFonts w:hint="eastAsia" w:ascii="SimHei" w:hAnsi="SimHei" w:eastAsia="黑体" w:cs="楷体"/>
          <w:spacing w:val="-13"/>
          <w:w w:val="105"/>
          <w:sz w:val="24"/>
          <w:szCs w:val="24"/>
        </w:rPr>
        <w:t xml:space="preserve"> 级起点分数</w:t>
      </w:r>
      <w:r>
        <w:rPr>
          <w:rFonts w:hint="eastAsia" w:ascii="SimHei" w:hAnsi="SimHei" w:eastAsia="黑体" w:cs="楷体"/>
          <w:spacing w:val="-4"/>
          <w:w w:val="105"/>
          <w:sz w:val="24"/>
          <w:szCs w:val="24"/>
        </w:rPr>
        <w:t>）</w:t>
      </w:r>
      <w:r>
        <w:rPr>
          <w:rFonts w:hint="eastAsia" w:ascii="SimHei" w:hAnsi="SimHei" w:eastAsia="黑体" w:cs="楷体"/>
          <w:spacing w:val="-9"/>
          <w:w w:val="105"/>
          <w:sz w:val="24"/>
          <w:szCs w:val="24"/>
        </w:rPr>
        <w:t xml:space="preserve">确定。其绩效年薪在 </w:t>
      </w:r>
      <w:r>
        <w:rPr>
          <w:rFonts w:hint="eastAsia" w:ascii="SimHei" w:hAnsi="SimHei" w:eastAsia="黑体" w:cs="楷体"/>
          <w:w w:val="105"/>
          <w:sz w:val="24"/>
          <w:szCs w:val="24"/>
        </w:rPr>
        <w:t>0</w:t>
      </w:r>
      <w:r>
        <w:rPr>
          <w:rFonts w:hint="eastAsia" w:ascii="SimHei" w:hAnsi="SimHei" w:eastAsia="黑体" w:cs="楷体"/>
          <w:spacing w:val="-43"/>
          <w:w w:val="105"/>
          <w:sz w:val="24"/>
          <w:szCs w:val="24"/>
        </w:rPr>
        <w:t xml:space="preserve"> 倍到 </w:t>
      </w:r>
      <w:r>
        <w:rPr>
          <w:rFonts w:hint="eastAsia" w:ascii="SimHei" w:hAnsi="SimHei" w:eastAsia="黑体" w:cs="楷体"/>
          <w:w w:val="105"/>
          <w:sz w:val="24"/>
          <w:szCs w:val="24"/>
        </w:rPr>
        <w:t>1</w:t>
      </w:r>
      <w:r>
        <w:rPr>
          <w:rFonts w:hint="eastAsia" w:ascii="SimHei" w:hAnsi="SimHei" w:eastAsia="黑体" w:cs="楷体"/>
          <w:spacing w:val="-11"/>
          <w:w w:val="105"/>
          <w:sz w:val="24"/>
          <w:szCs w:val="24"/>
        </w:rPr>
        <w:t xml:space="preserve"> 倍绩效年薪基数</w:t>
      </w:r>
      <w:r>
        <w:rPr>
          <w:rFonts w:hint="eastAsia" w:ascii="SimHei" w:hAnsi="SimHei" w:eastAsia="黑体" w:cs="楷体"/>
          <w:spacing w:val="2"/>
          <w:w w:val="105"/>
          <w:sz w:val="24"/>
          <w:szCs w:val="24"/>
        </w:rPr>
        <w:t>（以下简称基数</w:t>
      </w:r>
      <w:r>
        <w:rPr>
          <w:rFonts w:hint="eastAsia" w:ascii="SimHei" w:hAnsi="SimHei" w:eastAsia="黑体" w:cs="楷体"/>
          <w:spacing w:val="-4"/>
          <w:w w:val="105"/>
          <w:sz w:val="24"/>
          <w:szCs w:val="24"/>
        </w:rPr>
        <w:t>）</w:t>
      </w:r>
      <w:r>
        <w:rPr>
          <w:rFonts w:hint="eastAsia" w:ascii="SimHei" w:hAnsi="SimHei" w:eastAsia="黑体" w:cs="楷体"/>
          <w:w w:val="105"/>
          <w:sz w:val="24"/>
          <w:szCs w:val="24"/>
        </w:rPr>
        <w:t>之</w:t>
      </w:r>
      <w:r>
        <w:rPr>
          <w:rFonts w:hint="eastAsia" w:ascii="SimHei" w:hAnsi="SimHei" w:eastAsia="黑体" w:cs="楷体"/>
          <w:spacing w:val="2"/>
          <w:w w:val="105"/>
          <w:sz w:val="24"/>
          <w:szCs w:val="24"/>
        </w:rPr>
        <w:t>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1"/>
          <w:w w:val="105"/>
          <w:sz w:val="24"/>
          <w:szCs w:val="24"/>
        </w:rPr>
        <w:t xml:space="preserve">当考核结果为 </w:t>
      </w:r>
      <w:r>
        <w:rPr>
          <w:rFonts w:hint="eastAsia" w:ascii="SimHei" w:hAnsi="SimHei" w:eastAsia="黑体" w:cs="楷体"/>
          <w:w w:val="105"/>
          <w:sz w:val="24"/>
          <w:szCs w:val="24"/>
        </w:rPr>
        <w:t>C</w:t>
      </w:r>
      <w:r>
        <w:rPr>
          <w:rFonts w:hint="eastAsia" w:ascii="SimHei" w:hAnsi="SimHei" w:eastAsia="黑体" w:cs="楷体"/>
          <w:spacing w:val="-18"/>
          <w:w w:val="105"/>
          <w:sz w:val="24"/>
          <w:szCs w:val="24"/>
        </w:rPr>
        <w:t xml:space="preserve"> 级时，调节系数按 </w:t>
      </w:r>
      <w:r>
        <w:rPr>
          <w:rFonts w:hint="eastAsia" w:ascii="SimHei" w:hAnsi="SimHei" w:eastAsia="黑体" w:cs="楷体"/>
          <w:w w:val="105"/>
          <w:sz w:val="24"/>
          <w:szCs w:val="24"/>
        </w:rPr>
        <w:t>1+0.5×（</w:t>
      </w:r>
      <w:r>
        <w:rPr>
          <w:rFonts w:hint="eastAsia" w:ascii="SimHei" w:hAnsi="SimHei" w:eastAsia="黑体" w:cs="楷体"/>
          <w:spacing w:val="1"/>
          <w:w w:val="105"/>
          <w:sz w:val="24"/>
          <w:szCs w:val="24"/>
        </w:rPr>
        <w:t>考核分数-</w:t>
      </w:r>
      <w:r>
        <w:rPr>
          <w:rFonts w:hint="eastAsia" w:ascii="SimHei" w:hAnsi="SimHei" w:eastAsia="黑体" w:cs="楷体"/>
          <w:w w:val="105"/>
          <w:sz w:val="24"/>
          <w:szCs w:val="24"/>
        </w:rPr>
        <w:t>C</w:t>
      </w:r>
      <w:r>
        <w:rPr>
          <w:rFonts w:hint="eastAsia" w:ascii="SimHei" w:hAnsi="SimHei" w:eastAsia="黑体" w:cs="楷体"/>
          <w:spacing w:val="-13"/>
          <w:w w:val="105"/>
          <w:sz w:val="24"/>
          <w:szCs w:val="24"/>
        </w:rPr>
        <w:t xml:space="preserve"> 级起点分数</w:t>
      </w:r>
      <w:r>
        <w:rPr>
          <w:rFonts w:hint="eastAsia" w:ascii="SimHei" w:hAnsi="SimHei" w:eastAsia="黑体" w:cs="楷体"/>
          <w:w w:val="105"/>
          <w:sz w:val="24"/>
          <w:szCs w:val="24"/>
        </w:rPr>
        <w:t>）/（B</w:t>
      </w:r>
      <w:r>
        <w:rPr>
          <w:rFonts w:hint="eastAsia" w:ascii="SimHei" w:hAnsi="SimHei" w:eastAsia="黑体" w:cs="楷体"/>
          <w:spacing w:val="-43"/>
          <w:w w:val="105"/>
          <w:sz w:val="24"/>
          <w:szCs w:val="24"/>
        </w:rPr>
        <w:t xml:space="preserve"> 级</w:t>
      </w:r>
      <w:r>
        <w:rPr>
          <w:rFonts w:hint="eastAsia" w:ascii="SimHei" w:hAnsi="SimHei" w:eastAsia="黑体" w:cs="楷体"/>
          <w:spacing w:val="1"/>
          <w:w w:val="105"/>
          <w:sz w:val="24"/>
          <w:szCs w:val="24"/>
        </w:rPr>
        <w:t>起点分数-</w:t>
      </w:r>
      <w:r>
        <w:rPr>
          <w:rFonts w:hint="eastAsia" w:ascii="SimHei" w:hAnsi="SimHei" w:eastAsia="黑体" w:cs="楷体"/>
          <w:w w:val="105"/>
          <w:sz w:val="24"/>
          <w:szCs w:val="24"/>
        </w:rPr>
        <w:t>C</w:t>
      </w:r>
      <w:r>
        <w:rPr>
          <w:rFonts w:hint="eastAsia" w:ascii="SimHei" w:hAnsi="SimHei" w:eastAsia="黑体" w:cs="楷体"/>
          <w:spacing w:val="-10"/>
          <w:w w:val="105"/>
          <w:sz w:val="24"/>
          <w:szCs w:val="24"/>
        </w:rPr>
        <w:t xml:space="preserve"> 级起点分数</w:t>
      </w:r>
      <w:r>
        <w:rPr>
          <w:rFonts w:hint="eastAsia" w:ascii="SimHei" w:hAnsi="SimHei" w:eastAsia="黑体" w:cs="楷体"/>
          <w:spacing w:val="2"/>
          <w:w w:val="105"/>
          <w:sz w:val="24"/>
          <w:szCs w:val="24"/>
        </w:rPr>
        <w:t>）</w:t>
      </w:r>
      <w:r>
        <w:rPr>
          <w:rFonts w:hint="eastAsia" w:ascii="SimHei" w:hAnsi="SimHei" w:eastAsia="黑体" w:cs="楷体"/>
          <w:spacing w:val="-5"/>
          <w:w w:val="105"/>
          <w:sz w:val="24"/>
          <w:szCs w:val="24"/>
        </w:rPr>
        <w:t xml:space="preserve">确定。其绩效年薪在 </w:t>
      </w:r>
      <w:r>
        <w:rPr>
          <w:rFonts w:hint="eastAsia" w:ascii="SimHei" w:hAnsi="SimHei" w:eastAsia="黑体" w:cs="楷体"/>
          <w:w w:val="105"/>
          <w:sz w:val="24"/>
          <w:szCs w:val="24"/>
        </w:rPr>
        <w:t>1</w:t>
      </w:r>
      <w:r>
        <w:rPr>
          <w:rFonts w:hint="eastAsia" w:ascii="SimHei" w:hAnsi="SimHei" w:eastAsia="黑体" w:cs="楷体"/>
          <w:spacing w:val="-31"/>
          <w:w w:val="105"/>
          <w:sz w:val="24"/>
          <w:szCs w:val="24"/>
        </w:rPr>
        <w:t xml:space="preserve"> 倍到 </w:t>
      </w:r>
      <w:r>
        <w:rPr>
          <w:rFonts w:hint="eastAsia" w:ascii="SimHei" w:hAnsi="SimHei" w:eastAsia="黑体" w:cs="楷体"/>
          <w:w w:val="105"/>
          <w:sz w:val="24"/>
          <w:szCs w:val="24"/>
        </w:rPr>
        <w:t>1.5</w:t>
      </w:r>
      <w:r>
        <w:rPr>
          <w:rFonts w:hint="eastAsia" w:ascii="SimHei" w:hAnsi="SimHei" w:eastAsia="黑体" w:cs="楷体"/>
          <w:spacing w:val="-9"/>
          <w:w w:val="105"/>
          <w:sz w:val="24"/>
          <w:szCs w:val="24"/>
        </w:rPr>
        <w:t xml:space="preserve"> 倍基数之间；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0"/>
          <w:w w:val="105"/>
          <w:sz w:val="24"/>
          <w:szCs w:val="24"/>
        </w:rPr>
        <w:t xml:space="preserve">当考核结果为 </w:t>
      </w:r>
      <w:r>
        <w:rPr>
          <w:rFonts w:hint="eastAsia" w:ascii="SimHei" w:hAnsi="SimHei" w:eastAsia="黑体" w:cs="楷体"/>
          <w:w w:val="105"/>
          <w:sz w:val="24"/>
          <w:szCs w:val="24"/>
        </w:rPr>
        <w:t>B</w:t>
      </w:r>
      <w:r>
        <w:rPr>
          <w:rFonts w:hint="eastAsia" w:ascii="SimHei" w:hAnsi="SimHei" w:eastAsia="黑体" w:cs="楷体"/>
          <w:spacing w:val="-16"/>
          <w:w w:val="105"/>
          <w:sz w:val="24"/>
          <w:szCs w:val="24"/>
        </w:rPr>
        <w:t xml:space="preserve"> 级时，调节系数按 </w:t>
      </w:r>
      <w:r>
        <w:rPr>
          <w:rFonts w:hint="eastAsia" w:ascii="SimHei" w:hAnsi="SimHei" w:eastAsia="黑体" w:cs="楷体"/>
          <w:w w:val="105"/>
          <w:sz w:val="24"/>
          <w:szCs w:val="24"/>
        </w:rPr>
        <w:t>1.5+（</w:t>
      </w:r>
      <w:r>
        <w:rPr>
          <w:rFonts w:hint="eastAsia" w:ascii="SimHei" w:hAnsi="SimHei" w:eastAsia="黑体" w:cs="楷体"/>
          <w:spacing w:val="1"/>
          <w:w w:val="105"/>
          <w:sz w:val="24"/>
          <w:szCs w:val="24"/>
        </w:rPr>
        <w:t>考核分数-</w:t>
      </w:r>
      <w:r>
        <w:rPr>
          <w:rFonts w:hint="eastAsia" w:ascii="SimHei" w:hAnsi="SimHei" w:eastAsia="黑体" w:cs="楷体"/>
          <w:w w:val="105"/>
          <w:sz w:val="24"/>
          <w:szCs w:val="24"/>
        </w:rPr>
        <w:t>B</w:t>
      </w:r>
      <w:r>
        <w:rPr>
          <w:rFonts w:hint="eastAsia" w:ascii="SimHei" w:hAnsi="SimHei" w:eastAsia="黑体" w:cs="楷体"/>
          <w:spacing w:val="-12"/>
          <w:w w:val="105"/>
          <w:sz w:val="24"/>
          <w:szCs w:val="24"/>
        </w:rPr>
        <w:t xml:space="preserve"> 级起点分数</w:t>
      </w:r>
      <w:r>
        <w:rPr>
          <w:rFonts w:hint="eastAsia" w:ascii="SimHei" w:hAnsi="SimHei" w:eastAsia="黑体" w:cs="楷体"/>
          <w:w w:val="105"/>
          <w:sz w:val="24"/>
          <w:szCs w:val="24"/>
        </w:rPr>
        <w:t>）/（A</w:t>
      </w:r>
      <w:r>
        <w:rPr>
          <w:rFonts w:hint="eastAsia" w:ascii="SimHei" w:hAnsi="SimHei" w:eastAsia="黑体" w:cs="楷体"/>
          <w:spacing w:val="-26"/>
          <w:w w:val="105"/>
          <w:sz w:val="24"/>
          <w:szCs w:val="24"/>
        </w:rPr>
        <w:t xml:space="preserve"> 级起</w:t>
      </w:r>
      <w:r>
        <w:rPr>
          <w:rFonts w:hint="eastAsia" w:ascii="SimHei" w:hAnsi="SimHei" w:eastAsia="黑体" w:cs="楷体"/>
          <w:spacing w:val="-20"/>
          <w:w w:val="105"/>
          <w:sz w:val="24"/>
          <w:szCs w:val="24"/>
        </w:rPr>
        <w:t>点分数-</w:t>
      </w:r>
      <w:r>
        <w:rPr>
          <w:rFonts w:hint="eastAsia" w:ascii="SimHei" w:hAnsi="SimHei" w:eastAsia="黑体" w:cs="楷体"/>
          <w:w w:val="105"/>
          <w:sz w:val="24"/>
          <w:szCs w:val="24"/>
        </w:rPr>
        <w:t>B</w:t>
      </w:r>
      <w:r>
        <w:rPr>
          <w:rFonts w:hint="eastAsia" w:ascii="SimHei" w:hAnsi="SimHei" w:eastAsia="黑体" w:cs="楷体"/>
          <w:spacing w:val="-10"/>
          <w:w w:val="105"/>
          <w:sz w:val="24"/>
          <w:szCs w:val="24"/>
        </w:rPr>
        <w:t xml:space="preserve"> 级起点分数</w:t>
      </w:r>
      <w:r>
        <w:rPr>
          <w:rFonts w:hint="eastAsia" w:ascii="SimHei" w:hAnsi="SimHei" w:eastAsia="黑体" w:cs="楷体"/>
          <w:spacing w:val="2"/>
          <w:w w:val="105"/>
          <w:sz w:val="24"/>
          <w:szCs w:val="24"/>
        </w:rPr>
        <w:t>）</w:t>
      </w:r>
      <w:r>
        <w:rPr>
          <w:rFonts w:hint="eastAsia" w:ascii="SimHei" w:hAnsi="SimHei" w:eastAsia="黑体" w:cs="楷体"/>
          <w:spacing w:val="-5"/>
          <w:w w:val="105"/>
          <w:sz w:val="24"/>
          <w:szCs w:val="24"/>
        </w:rPr>
        <w:t xml:space="preserve">确定。其绩效年薪在 </w:t>
      </w:r>
      <w:r>
        <w:rPr>
          <w:rFonts w:hint="eastAsia" w:ascii="SimHei" w:hAnsi="SimHei" w:eastAsia="黑体" w:cs="楷体"/>
          <w:w w:val="105"/>
          <w:sz w:val="24"/>
          <w:szCs w:val="24"/>
        </w:rPr>
        <w:t>1.5</w:t>
      </w:r>
      <w:r>
        <w:rPr>
          <w:rFonts w:hint="eastAsia" w:ascii="SimHei" w:hAnsi="SimHei" w:eastAsia="黑体" w:cs="楷体"/>
          <w:spacing w:val="-31"/>
          <w:w w:val="105"/>
          <w:sz w:val="24"/>
          <w:szCs w:val="24"/>
        </w:rPr>
        <w:t xml:space="preserve"> 倍到 </w:t>
      </w:r>
      <w:r>
        <w:rPr>
          <w:rFonts w:hint="eastAsia" w:ascii="SimHei" w:hAnsi="SimHei" w:eastAsia="黑体" w:cs="楷体"/>
          <w:w w:val="105"/>
          <w:sz w:val="24"/>
          <w:szCs w:val="24"/>
        </w:rPr>
        <w:t>2.5</w:t>
      </w:r>
      <w:r>
        <w:rPr>
          <w:rFonts w:hint="eastAsia" w:ascii="SimHei" w:hAnsi="SimHei" w:eastAsia="黑体" w:cs="楷体"/>
          <w:spacing w:val="-9"/>
          <w:w w:val="105"/>
          <w:sz w:val="24"/>
          <w:szCs w:val="24"/>
        </w:rPr>
        <w:t xml:space="preserve"> 倍基数之间；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8"/>
          <w:w w:val="105"/>
          <w:sz w:val="24"/>
          <w:szCs w:val="24"/>
        </w:rPr>
        <w:t xml:space="preserve">当考核结果为 </w:t>
      </w:r>
      <w:r>
        <w:rPr>
          <w:rFonts w:hint="eastAsia" w:ascii="SimHei" w:hAnsi="SimHei" w:eastAsia="黑体" w:cs="楷体"/>
          <w:w w:val="105"/>
          <w:sz w:val="24"/>
          <w:szCs w:val="24"/>
        </w:rPr>
        <w:t>A</w:t>
      </w:r>
      <w:r>
        <w:rPr>
          <w:rFonts w:hint="eastAsia" w:ascii="SimHei" w:hAnsi="SimHei" w:eastAsia="黑体" w:cs="楷体"/>
          <w:spacing w:val="-14"/>
          <w:w w:val="105"/>
          <w:sz w:val="24"/>
          <w:szCs w:val="24"/>
        </w:rPr>
        <w:t xml:space="preserve"> 级时，调节系数按 </w:t>
      </w:r>
      <w:r>
        <w:rPr>
          <w:rFonts w:hint="eastAsia" w:ascii="SimHei" w:hAnsi="SimHei" w:eastAsia="黑体" w:cs="楷体"/>
          <w:w w:val="105"/>
          <w:sz w:val="24"/>
          <w:szCs w:val="24"/>
        </w:rPr>
        <w:t>2.5+0.5(</w:t>
      </w:r>
      <w:r>
        <w:rPr>
          <w:rFonts w:hint="eastAsia" w:ascii="SimHei" w:hAnsi="SimHei" w:eastAsia="黑体" w:cs="楷体"/>
          <w:spacing w:val="1"/>
          <w:w w:val="105"/>
          <w:sz w:val="24"/>
          <w:szCs w:val="24"/>
        </w:rPr>
        <w:t>考核分数-</w:t>
      </w:r>
      <w:r>
        <w:rPr>
          <w:rFonts w:hint="eastAsia" w:ascii="SimHei" w:hAnsi="SimHei" w:eastAsia="黑体" w:cs="楷体"/>
          <w:w w:val="105"/>
          <w:sz w:val="24"/>
          <w:szCs w:val="24"/>
        </w:rPr>
        <w:t>A</w:t>
      </w:r>
      <w:r>
        <w:rPr>
          <w:rFonts w:hint="eastAsia" w:ascii="SimHei" w:hAnsi="SimHei" w:eastAsia="黑体" w:cs="楷体"/>
          <w:spacing w:val="-11"/>
          <w:w w:val="105"/>
          <w:sz w:val="24"/>
          <w:szCs w:val="24"/>
        </w:rPr>
        <w:t xml:space="preserve"> 级起点分数) </w:t>
      </w:r>
      <w:r>
        <w:rPr>
          <w:rFonts w:hint="eastAsia" w:ascii="SimHei" w:hAnsi="SimHei" w:eastAsia="黑体" w:cs="楷体"/>
          <w:w w:val="105"/>
          <w:sz w:val="24"/>
          <w:szCs w:val="24"/>
        </w:rPr>
        <w:t>/（</w:t>
      </w:r>
      <w:r>
        <w:rPr>
          <w:rFonts w:hint="eastAsia" w:ascii="SimHei" w:hAnsi="SimHei" w:eastAsia="黑体" w:cs="楷体"/>
          <w:spacing w:val="2"/>
          <w:w w:val="105"/>
          <w:sz w:val="24"/>
          <w:szCs w:val="24"/>
        </w:rPr>
        <w:t>满分</w:t>
      </w:r>
      <w:r>
        <w:rPr>
          <w:rFonts w:hint="eastAsia" w:ascii="SimHei" w:hAnsi="SimHei" w:eastAsia="黑体" w:cs="楷体"/>
          <w:w w:val="105"/>
          <w:sz w:val="24"/>
          <w:szCs w:val="24"/>
        </w:rPr>
        <w:t>-A 级起点分数）确定。其绩效年薪在 2.5 倍到 3 倍基数之间。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凡企业年度利润总额目标值低于上年度目标值与实际完成值的平均值的，最终 </w:t>
      </w:r>
      <w:r>
        <w:rPr>
          <w:rFonts w:hint="eastAsia" w:ascii="SimHei" w:hAnsi="SimHei" w:eastAsia="黑体" w:cs="楷体"/>
          <w:spacing w:val="-3"/>
          <w:w w:val="105"/>
          <w:sz w:val="24"/>
          <w:szCs w:val="24"/>
        </w:rPr>
        <w:t xml:space="preserve">考核结果原则上不得进入 </w:t>
      </w:r>
      <w:r>
        <w:rPr>
          <w:rFonts w:hint="eastAsia" w:ascii="SimHei" w:hAnsi="SimHei" w:eastAsia="黑体" w:cs="楷体"/>
          <w:w w:val="105"/>
          <w:sz w:val="24"/>
          <w:szCs w:val="24"/>
        </w:rPr>
        <w:t>A</w:t>
      </w:r>
      <w:r>
        <w:rPr>
          <w:rFonts w:hint="eastAsia" w:ascii="SimHei" w:hAnsi="SimHei" w:eastAsia="黑体" w:cs="楷体"/>
          <w:spacing w:val="-18"/>
          <w:w w:val="105"/>
          <w:sz w:val="24"/>
          <w:szCs w:val="24"/>
        </w:rPr>
        <w:t xml:space="preserve"> 级。</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（三）特别奖励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市国资委建立企业特别奖励制度，奖励对企业、行业和社会有特殊贡献的企业 </w:t>
      </w:r>
      <w:r>
        <w:rPr>
          <w:rFonts w:hint="eastAsia" w:ascii="SimHei" w:hAnsi="SimHei" w:eastAsia="黑体" w:cs="楷体"/>
          <w:spacing w:val="2"/>
          <w:w w:val="105"/>
          <w:sz w:val="24"/>
          <w:szCs w:val="24"/>
        </w:rPr>
        <w:t>相关人员。具体奖励办法另行制定。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（四）确定薪酬的限制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1、企业负责人岗位的分配系数差别限制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担任企业董事长、党委书记、总经理的薪酬系数为 1，副职由企业根据其任职</w:t>
      </w:r>
      <w:r>
        <w:rPr>
          <w:rFonts w:hint="eastAsia" w:ascii="SimHei" w:hAnsi="SimHei" w:eastAsia="黑体" w:cs="楷体"/>
          <w:w w:val="105"/>
          <w:sz w:val="24"/>
          <w:szCs w:val="24"/>
        </w:rPr>
        <w:t>岗位、责任和贡献按法定代表人薪酬系数的 0.6-0.9 倍确定。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2、企业负责人的薪酬与本企业职工薪酬的差别限制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企业负责人平均薪酬不高于本企业（含所属全资企业）职工平均工资的 8 倍。年薪兑现超过的部分，列入企业负责人经营业绩记录，作为离职后对有突出贡献企 </w:t>
      </w:r>
      <w:r>
        <w:rPr>
          <w:rFonts w:hint="eastAsia" w:ascii="SimHei" w:hAnsi="SimHei" w:eastAsia="黑体" w:cs="楷体"/>
          <w:w w:val="105"/>
          <w:sz w:val="24"/>
          <w:szCs w:val="24"/>
        </w:rPr>
        <w:t>业家特别奖励的参考依据。具体办法另行规定。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 xml:space="preserve">第三章 员工薪酬的构成 </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第七条 企业员工薪酬，原则上由基本工资、补贴津贴和绩效工资（奖金）三部</w:t>
      </w:r>
      <w:r>
        <w:rPr>
          <w:rFonts w:hint="eastAsia" w:ascii="SimHei" w:hAnsi="SimHei" w:eastAsia="黑体" w:cs="楷体"/>
          <w:w w:val="105"/>
          <w:sz w:val="24"/>
          <w:szCs w:val="24"/>
        </w:rPr>
        <w:t>分构成，也可以根据其与企业签订的劳动合同另行确定。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第八条 基本工资是指企业支付给员工的，金额相对固定的基本报酬。其标准主要根据职务、岗位、职称、学历、工龄等相关因素，参照社会及行业同等工资水平 </w:t>
      </w:r>
      <w:r>
        <w:rPr>
          <w:rFonts w:hint="eastAsia" w:ascii="SimHei" w:hAnsi="SimHei" w:eastAsia="黑体" w:cs="楷体"/>
          <w:w w:val="105"/>
          <w:sz w:val="24"/>
          <w:szCs w:val="24"/>
        </w:rPr>
        <w:t>等综合确定。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第九条 补贴津贴是指企业按照国家规定支付给员工的各项补助性收入。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第十条 绩效工资（奖金）是指企业根据经济效益和员工的劳动成果支付给员工</w:t>
      </w:r>
      <w:r>
        <w:rPr>
          <w:rFonts w:hint="eastAsia" w:ascii="SimHei" w:hAnsi="SimHei" w:eastAsia="黑体" w:cs="楷体"/>
          <w:w w:val="105"/>
          <w:sz w:val="24"/>
          <w:szCs w:val="24"/>
        </w:rPr>
        <w:t>的奖励性工资。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第四章 薪酬方案的制定和审批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第十一条 企业根据自身经营特点，依照本规定确定的基本原则和薪酬构成要</w:t>
      </w:r>
      <w:r>
        <w:rPr>
          <w:rFonts w:hint="eastAsia" w:ascii="SimHei" w:hAnsi="SimHei" w:eastAsia="黑体" w:cs="楷体"/>
          <w:w w:val="105"/>
          <w:sz w:val="24"/>
          <w:szCs w:val="24"/>
        </w:rPr>
        <w:t>求，制订企业薪酬方案，并上报市国资委审批。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第十二条 企业薪酬方案的主要内容，应当包括企业发展战略目标、企业收入分</w:t>
      </w:r>
      <w:r>
        <w:rPr>
          <w:rFonts w:hint="eastAsia" w:ascii="SimHei" w:hAnsi="SimHei" w:eastAsia="黑体" w:cs="楷体"/>
          <w:spacing w:val="2"/>
          <w:sz w:val="24"/>
          <w:szCs w:val="24"/>
        </w:rPr>
        <w:t xml:space="preserve">配原则、机构设置、人员编制、岗位设置、薪酬构成、各层级人员基本工资和补贴 津贴的明细项目及标准、绩效工资（奖金）的考核和计提发放办法等内容。薪酬方 案应当分别明确本企业负责人及员工的薪酬构成。同时，在编制说明中，明确企业 负责人及员工在薪酬总额中各自所占比重和所对应的会计科目，以及跨年度发放的 </w:t>
      </w:r>
      <w:r>
        <w:rPr>
          <w:rFonts w:hint="eastAsia" w:ascii="SimHei" w:hAnsi="SimHei" w:eastAsia="黑体" w:cs="楷体"/>
          <w:spacing w:val="2"/>
          <w:w w:val="105"/>
          <w:sz w:val="24"/>
          <w:szCs w:val="24"/>
        </w:rPr>
        <w:t>绩效工资（奖金）全额预提、核定发放及账务调整的时间和具体做法。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第十三条 市国资委对企业薪酬方案进行审批。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国有独资企业、国有独资公司根据其在市国资委审批的方案在企业内部执行该</w:t>
      </w:r>
      <w:r>
        <w:rPr>
          <w:rFonts w:hint="eastAsia" w:ascii="SimHei" w:hAnsi="SimHei" w:eastAsia="黑体" w:cs="楷体"/>
          <w:spacing w:val="2"/>
          <w:w w:val="105"/>
          <w:sz w:val="24"/>
          <w:szCs w:val="24"/>
        </w:rPr>
        <w:t>薪酬方案。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国有控股公司的国有产权代表根据其在市国资委的审批方案，按照有关规定在 董事会或其他决策机构会议上充分发表意见，董事会或其他决策机构对薪酬方案表 </w:t>
      </w:r>
      <w:r>
        <w:rPr>
          <w:rFonts w:hint="eastAsia" w:ascii="SimHei" w:hAnsi="SimHei" w:eastAsia="黑体" w:cs="楷体"/>
          <w:spacing w:val="2"/>
          <w:w w:val="105"/>
          <w:sz w:val="24"/>
          <w:szCs w:val="24"/>
        </w:rPr>
        <w:t>决通过后执行。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第十四条 审批后的薪酬方案，原则上不得调整。若企业因客观原因确需调整， </w:t>
      </w:r>
      <w:r>
        <w:rPr>
          <w:rFonts w:hint="eastAsia" w:ascii="SimHei" w:hAnsi="SimHei" w:eastAsia="黑体" w:cs="楷体"/>
          <w:spacing w:val="2"/>
          <w:w w:val="105"/>
          <w:sz w:val="24"/>
          <w:szCs w:val="24"/>
        </w:rPr>
        <w:t>应重新报请市国资委批准。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第五章 薪酬总额预算管理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第十五条 企业应根据市国资委批准的薪酬方案，实行年度薪酬总额预算管理。按照全面预算管理的要求，结合企业年度经营目标和本规定及其它文件的规定，编  制科学、合理的企业年度薪酬总额预算。企业在编制企业年度薪酬总额预算时，应  </w:t>
      </w:r>
      <w:r>
        <w:rPr>
          <w:rFonts w:hint="eastAsia" w:ascii="SimHei" w:hAnsi="SimHei" w:eastAsia="黑体" w:cs="楷体"/>
          <w:w w:val="105"/>
          <w:sz w:val="24"/>
          <w:szCs w:val="24"/>
        </w:rPr>
        <w:t>该听取职工代表的意见，并在向市国资委报批的材料上体现。</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年度薪酬总额预算中，应分别设置企业负责人薪酬预算和员工薪酬预算，并且 按照本规定的相关要求，体现企业负责人薪酬与员工薪酬在增幅上的关系和差别限 </w:t>
      </w:r>
      <w:r>
        <w:rPr>
          <w:rFonts w:hint="eastAsia" w:ascii="SimHei" w:hAnsi="SimHei" w:eastAsia="黑体" w:cs="楷体"/>
          <w:spacing w:val="2"/>
          <w:w w:val="105"/>
          <w:sz w:val="24"/>
          <w:szCs w:val="24"/>
        </w:rPr>
        <w:t>制，以及各负责人之间的薪酬差额限制。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企业年度薪酬总额的增长率，不高于企业劳动生产率增长率，不高于企业经济 </w:t>
      </w:r>
      <w:r>
        <w:rPr>
          <w:rFonts w:hint="eastAsia" w:ascii="SimHei" w:hAnsi="SimHei" w:eastAsia="黑体" w:cs="楷体"/>
          <w:spacing w:val="2"/>
          <w:w w:val="105"/>
          <w:sz w:val="24"/>
          <w:szCs w:val="24"/>
        </w:rPr>
        <w:t>效益增长率。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1"/>
          <w:w w:val="105"/>
          <w:sz w:val="24"/>
          <w:szCs w:val="24"/>
        </w:rPr>
        <w:t xml:space="preserve">第十六条 企业应当在每年的 </w:t>
      </w:r>
      <w:r>
        <w:rPr>
          <w:rFonts w:hint="eastAsia" w:ascii="SimHei" w:hAnsi="SimHei" w:eastAsia="黑体" w:cs="楷体"/>
          <w:w w:val="105"/>
          <w:sz w:val="24"/>
          <w:szCs w:val="24"/>
        </w:rPr>
        <w:t>3</w:t>
      </w:r>
      <w:r>
        <w:rPr>
          <w:rFonts w:hint="eastAsia" w:ascii="SimHei" w:hAnsi="SimHei" w:eastAsia="黑体" w:cs="楷体"/>
          <w:spacing w:val="-53"/>
          <w:w w:val="105"/>
          <w:sz w:val="24"/>
          <w:szCs w:val="24"/>
        </w:rPr>
        <w:t xml:space="preserve"> 月 </w:t>
      </w:r>
      <w:r>
        <w:rPr>
          <w:rFonts w:hint="eastAsia" w:ascii="SimHei" w:hAnsi="SimHei" w:eastAsia="黑体" w:cs="楷体"/>
          <w:w w:val="105"/>
          <w:sz w:val="24"/>
          <w:szCs w:val="24"/>
        </w:rPr>
        <w:t>30</w:t>
      </w:r>
      <w:r>
        <w:rPr>
          <w:rFonts w:hint="eastAsia" w:ascii="SimHei" w:hAnsi="SimHei" w:eastAsia="黑体" w:cs="楷体"/>
          <w:spacing w:val="-7"/>
          <w:w w:val="105"/>
          <w:sz w:val="24"/>
          <w:szCs w:val="24"/>
        </w:rPr>
        <w:t xml:space="preserve"> 日前，将本年度薪酬总额预算和预算编制说明报市国资委核准。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lang w:val="en-US" w:eastAsia="zh-CN"/>
        </w:rPr>
        <w:t xml:space="preserve">   </w:t>
      </w:r>
      <w:r>
        <w:rPr>
          <w:rFonts w:hint="eastAsia" w:ascii="SimHei" w:hAnsi="SimHei" w:eastAsia="黑体" w:cs="楷体"/>
          <w:w w:val="105"/>
          <w:sz w:val="24"/>
          <w:szCs w:val="24"/>
        </w:rPr>
        <w:t>未核准的，企业应当在 15 日内重新编制上报市国资委。</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7"/>
          <w:w w:val="105"/>
          <w:sz w:val="24"/>
          <w:szCs w:val="24"/>
        </w:rPr>
        <w:t>第十七条 薪酬中的绩效工资</w:t>
      </w:r>
      <w:r>
        <w:rPr>
          <w:rFonts w:hint="eastAsia" w:ascii="SimHei" w:hAnsi="SimHei" w:eastAsia="黑体" w:cs="楷体"/>
          <w:spacing w:val="2"/>
          <w:w w:val="105"/>
          <w:sz w:val="24"/>
          <w:szCs w:val="24"/>
        </w:rPr>
        <w:t>（奖金</w:t>
      </w:r>
      <w:r>
        <w:rPr>
          <w:rFonts w:hint="eastAsia" w:ascii="SimHei" w:hAnsi="SimHei" w:eastAsia="黑体" w:cs="楷体"/>
          <w:spacing w:val="-18"/>
          <w:w w:val="105"/>
          <w:sz w:val="24"/>
          <w:szCs w:val="24"/>
        </w:rPr>
        <w:t>），</w:t>
      </w:r>
      <w:r>
        <w:rPr>
          <w:rFonts w:hint="eastAsia" w:ascii="SimHei" w:hAnsi="SimHei" w:eastAsia="黑体" w:cs="楷体"/>
          <w:w w:val="105"/>
          <w:sz w:val="24"/>
          <w:szCs w:val="24"/>
        </w:rPr>
        <w:t>无论是否跨年度发放，都应当编制到预</w:t>
      </w:r>
      <w:r>
        <w:rPr>
          <w:rFonts w:hint="eastAsia" w:ascii="SimHei" w:hAnsi="SimHei" w:eastAsia="黑体" w:cs="楷体"/>
          <w:spacing w:val="2"/>
          <w:sz w:val="24"/>
          <w:szCs w:val="24"/>
        </w:rPr>
        <w:t>算年度薪酬总额预算中。第十八条 市国资委建立薪酬总额预算执行情况上报制度。</w:t>
      </w:r>
      <w:r>
        <w:rPr>
          <w:rFonts w:hint="eastAsia" w:ascii="SimHei" w:hAnsi="SimHei" w:eastAsia="黑体" w:cs="楷体"/>
          <w:spacing w:val="-12"/>
          <w:w w:val="105"/>
          <w:sz w:val="24"/>
          <w:szCs w:val="24"/>
        </w:rPr>
        <w:t xml:space="preserve">企业应在每年 </w:t>
      </w:r>
      <w:r>
        <w:rPr>
          <w:rFonts w:hint="eastAsia" w:ascii="SimHei" w:hAnsi="SimHei" w:eastAsia="黑体" w:cs="楷体"/>
          <w:w w:val="105"/>
          <w:sz w:val="24"/>
          <w:szCs w:val="24"/>
        </w:rPr>
        <w:t>7</w:t>
      </w:r>
      <w:r>
        <w:rPr>
          <w:rFonts w:hint="eastAsia" w:ascii="SimHei" w:hAnsi="SimHei" w:eastAsia="黑体" w:cs="楷体"/>
          <w:spacing w:val="-63"/>
          <w:w w:val="105"/>
          <w:sz w:val="24"/>
          <w:szCs w:val="24"/>
        </w:rPr>
        <w:t xml:space="preserve"> 月 </w:t>
      </w:r>
      <w:r>
        <w:rPr>
          <w:rFonts w:hint="eastAsia" w:ascii="SimHei" w:hAnsi="SimHei" w:eastAsia="黑体" w:cs="楷体"/>
          <w:w w:val="105"/>
          <w:sz w:val="24"/>
          <w:szCs w:val="24"/>
        </w:rPr>
        <w:t>31</w:t>
      </w:r>
      <w:r>
        <w:rPr>
          <w:rFonts w:hint="eastAsia" w:ascii="SimHei" w:hAnsi="SimHei" w:eastAsia="黑体" w:cs="楷体"/>
          <w:spacing w:val="-17"/>
          <w:w w:val="105"/>
          <w:sz w:val="24"/>
          <w:szCs w:val="24"/>
        </w:rPr>
        <w:t xml:space="preserve"> 日前，编制上半年薪酬总额预算执行情况表，并上报市国资委；</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在次年 1 月 31 日前，编制全年薪酬总额预算执行情况表，并上报市国资委。</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第十九条 对少数在实际工作中，因市政府特殊任务下达而增加务工人员需增大薪酬总额的，另行单独报批。市国资委审批前，应征求企业监事会或监事的意见。</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第二十条 经市国资委核准后的企业年度薪酬总额预算，企业应严格执行。企业有正当理由需修改预算的，应该将修改方案报市国资委审批。市国资委在审批前， </w:t>
      </w:r>
      <w:r>
        <w:rPr>
          <w:rFonts w:hint="eastAsia" w:ascii="SimHei" w:hAnsi="SimHei" w:eastAsia="黑体" w:cs="楷体"/>
          <w:w w:val="105"/>
          <w:sz w:val="24"/>
          <w:szCs w:val="24"/>
        </w:rPr>
        <w:t>应征求企业监事会或监事的意见。</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经市国资委批准的企业年度薪酬总额预算，企业应以适当方式向职工代表大会 </w:t>
      </w:r>
      <w:r>
        <w:rPr>
          <w:rFonts w:hint="eastAsia" w:ascii="SimHei" w:hAnsi="SimHei" w:eastAsia="黑体" w:cs="楷体"/>
          <w:spacing w:val="2"/>
          <w:w w:val="105"/>
          <w:sz w:val="24"/>
          <w:szCs w:val="24"/>
        </w:rPr>
        <w:t>公开，接受民主监督。</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第六章 薪酬分配的管理与监督</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第二十一条 企业负责人薪酬分配方案审批和薪酬兑现方式按照《暂行办法》第</w:t>
      </w:r>
      <w:r>
        <w:rPr>
          <w:rFonts w:hint="eastAsia" w:ascii="SimHei" w:hAnsi="SimHei" w:eastAsia="黑体" w:cs="楷体"/>
          <w:w w:val="105"/>
          <w:sz w:val="24"/>
          <w:szCs w:val="24"/>
        </w:rPr>
        <w:t>二十三条、第二十四条执行。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企业制订的薪酬分配方案与预算之间有偏差的，企业应以专项报告的形式向市 </w:t>
      </w:r>
      <w:r>
        <w:rPr>
          <w:rFonts w:hint="eastAsia" w:ascii="SimHei" w:hAnsi="SimHei" w:eastAsia="黑体" w:cs="楷体"/>
          <w:spacing w:val="2"/>
          <w:w w:val="105"/>
          <w:sz w:val="24"/>
          <w:szCs w:val="24"/>
        </w:rPr>
        <w:t>国资委做出说明。</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企业在报送企业负责人薪酬分配审核材料时，应同时报送企业负责人职务消费 </w:t>
      </w:r>
      <w:r>
        <w:rPr>
          <w:rFonts w:hint="eastAsia" w:ascii="SimHei" w:hAnsi="SimHei" w:eastAsia="黑体" w:cs="楷体"/>
          <w:spacing w:val="2"/>
          <w:w w:val="105"/>
          <w:sz w:val="24"/>
          <w:szCs w:val="24"/>
        </w:rPr>
        <w:t>的相关材料和董事会、职工代表大会对职务消费的审议情况。</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市国资委在审批或审核前，应听取企业监事会或监事的意见，必要时可听取企 </w:t>
      </w:r>
      <w:r>
        <w:rPr>
          <w:rFonts w:hint="eastAsia" w:ascii="SimHei" w:hAnsi="SimHei" w:eastAsia="黑体" w:cs="楷体"/>
          <w:spacing w:val="2"/>
          <w:w w:val="105"/>
          <w:sz w:val="24"/>
          <w:szCs w:val="24"/>
        </w:rPr>
        <w:t>业职工代表的意见。</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第二十二条 企业负责人因违规受到扣发绩效年薪处罚的，应当在执行薪酬方案</w:t>
      </w:r>
      <w:r>
        <w:rPr>
          <w:rFonts w:hint="eastAsia" w:ascii="SimHei" w:hAnsi="SimHei" w:eastAsia="黑体" w:cs="楷体"/>
          <w:w w:val="105"/>
          <w:sz w:val="24"/>
          <w:szCs w:val="24"/>
        </w:rPr>
        <w:t>时，根据处罚决定扣发其薪酬。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第二十三条 企业负责人的薪酬分配方案经批准并实施后，应当按照《暂行办法》</w:t>
      </w:r>
      <w:r>
        <w:rPr>
          <w:rFonts w:hint="eastAsia" w:ascii="SimHei" w:hAnsi="SimHei" w:eastAsia="黑体" w:cs="楷体"/>
          <w:w w:val="105"/>
          <w:sz w:val="24"/>
          <w:szCs w:val="24"/>
        </w:rPr>
        <w:t>第二十八条，向职代会公开，接受民主监督。</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第二十四条 国有控股企业由国有股权代表将薪酬分配方案报市国资委审批，并根据批准的方案，按照《公司法》等法规的规定，在董事会或其它决策机构会议上 发表意见，董事会或其它决策机构对薪酬分配方案表决通过，对超过市国资委批准 </w:t>
      </w:r>
      <w:r>
        <w:rPr>
          <w:rFonts w:hint="eastAsia" w:ascii="SimHei" w:hAnsi="SimHei" w:eastAsia="黑体" w:cs="楷体"/>
          <w:w w:val="105"/>
          <w:sz w:val="24"/>
          <w:szCs w:val="24"/>
        </w:rPr>
        <w:t>方案部分，纳入国有产权代表任期满后的特殊贡献奖。其具体办法另行规定。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第二十五条 面向社会公开招聘的企业负责人的薪酬，由企业根据预算提出方案经市国资委审核后，企业可以在核准的薪酬标准内，根据人才市场价位与招聘人员 </w:t>
      </w:r>
      <w:r>
        <w:rPr>
          <w:rFonts w:hint="eastAsia" w:ascii="SimHei" w:hAnsi="SimHei" w:eastAsia="黑体" w:cs="楷体"/>
          <w:w w:val="105"/>
          <w:sz w:val="24"/>
          <w:szCs w:val="24"/>
        </w:rPr>
        <w:t>协商确定，并按照有关规定执行。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第二十六条 员工基本工资应当按月支付，补贴津贴的支付时间按照相关政策执行，绩效工资（奖金）的支付时间由企业自主决定。但是绩效工资（奖金）中与企 业完成市国资委计划指标情况相挂钩的奖金（如年终奖）部分，应当在市国资委对</w:t>
      </w:r>
      <w:r>
        <w:rPr>
          <w:rFonts w:hint="eastAsia" w:ascii="SimHei" w:hAnsi="SimHei" w:eastAsia="黑体" w:cs="楷体"/>
          <w:spacing w:val="2"/>
          <w:sz w:val="24"/>
          <w:szCs w:val="24"/>
        </w:rPr>
        <w:t xml:space="preserve">企业完成年度考核后，由企业根据考核结果，核定最终发放金额，已经预发的应多 </w:t>
      </w:r>
      <w:r>
        <w:rPr>
          <w:rFonts w:hint="eastAsia" w:ascii="SimHei" w:hAnsi="SimHei" w:eastAsia="黑体" w:cs="楷体"/>
          <w:spacing w:val="2"/>
          <w:w w:val="105"/>
          <w:sz w:val="24"/>
          <w:szCs w:val="24"/>
        </w:rPr>
        <w:t>退少补。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第二十七条 薪酬为税前收入。企业负责人和员工应当缴纳的个人所得税由企业</w:t>
      </w:r>
      <w:r>
        <w:rPr>
          <w:rFonts w:hint="eastAsia" w:ascii="SimHei" w:hAnsi="SimHei" w:eastAsia="黑体" w:cs="楷体"/>
          <w:w w:val="105"/>
          <w:sz w:val="24"/>
          <w:szCs w:val="24"/>
        </w:rPr>
        <w:t>从其工资中依法代扣代缴。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第二十八条 企业负责人和员工的各项社会保险费中应当由个人承担的部分，由</w:t>
      </w:r>
      <w:r>
        <w:rPr>
          <w:rFonts w:hint="eastAsia" w:ascii="SimHei" w:hAnsi="SimHei" w:eastAsia="黑体" w:cs="楷体"/>
          <w:w w:val="105"/>
          <w:sz w:val="24"/>
          <w:szCs w:val="24"/>
        </w:rPr>
        <w:t>企业从其工资中代扣代缴。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第二十九条 员工薪酬应当通过应付工资科目核算，并实行台账管理，企业应当按照薪酬构成设置明细账目，单独核算。企业负责人的薪酬，应严格按照暂行办法 </w:t>
      </w:r>
      <w:r>
        <w:rPr>
          <w:rFonts w:hint="eastAsia" w:ascii="SimHei" w:hAnsi="SimHei" w:eastAsia="黑体" w:cs="楷体"/>
          <w:w w:val="105"/>
          <w:sz w:val="24"/>
          <w:szCs w:val="24"/>
        </w:rPr>
        <w:t>的相关规定实行台账管理和专户管理，并接受市国资委的监督和检查。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第三十条 企业按照规定提取的员工年度效益工资（奖金），无论是否跨年度发放，应当在当年根据薪酬总额预算进行全额预提，同时按照权责发生制在当年薪酬 总额中进行核算，在次年核发时应按审计结果进行调整，超额提取的，应当冲减当 </w:t>
      </w:r>
      <w:r>
        <w:rPr>
          <w:rFonts w:hint="eastAsia" w:ascii="SimHei" w:hAnsi="SimHei" w:eastAsia="黑体" w:cs="楷体"/>
          <w:w w:val="105"/>
          <w:sz w:val="24"/>
          <w:szCs w:val="24"/>
        </w:rPr>
        <w:t>期成本，未提取的，不得发放。</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第七章 责任追究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第三十一条 违反暂行办法和本规定，对企业负责人和员工的薪酬不实行台账管理和专户管理的企业，市国资委应责令其纠正，并可根据相关规定对相关责任人作 </w:t>
      </w:r>
      <w:r>
        <w:rPr>
          <w:rFonts w:hint="eastAsia" w:ascii="SimHei" w:hAnsi="SimHei" w:eastAsia="黑体" w:cs="楷体"/>
          <w:w w:val="105"/>
          <w:sz w:val="24"/>
          <w:szCs w:val="24"/>
        </w:rPr>
        <w:t>出处罚。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第三十二条 企业应当严格按照薪酬方案、薪酬总额预算和企业年终经营业绩考核结果计提和发放劳动者薪酬，不得超标发放或计提，不得以发放实物或公费旅游 </w:t>
      </w:r>
      <w:r>
        <w:rPr>
          <w:rFonts w:hint="eastAsia" w:ascii="SimHei" w:hAnsi="SimHei" w:eastAsia="黑体" w:cs="楷体"/>
          <w:w w:val="105"/>
          <w:sz w:val="24"/>
          <w:szCs w:val="24"/>
        </w:rPr>
        <w:t>等形式变相提高薪酬待遇。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企业负责人不得自我分配，不得下挂薪酬分配关系，不得参与下级企业分配， 不得从本企业领取薪酬方案外的补贴、津贴等任何性质的收入，不得以任何形式变 相提高薪酬待遇，但国家另有规定或经市国资委同意的除外。对违反规定的企业负</w:t>
      </w:r>
      <w:r>
        <w:rPr>
          <w:rFonts w:hint="eastAsia" w:ascii="SimHei" w:hAnsi="SimHei" w:eastAsia="黑体" w:cs="楷体"/>
          <w:w w:val="105"/>
          <w:sz w:val="24"/>
          <w:szCs w:val="24"/>
        </w:rPr>
        <w:t>责人，市国资委可责令其清退违规收入，并可依照相关规定追究其责任。构成犯罪的，依法移交司法机关追究刑事责任。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第三十三条 企业应当在年终对本企业上一年度企业薪酬情况进行总结，对实际</w:t>
      </w:r>
      <w:r>
        <w:rPr>
          <w:rFonts w:hint="eastAsia" w:ascii="SimHei" w:hAnsi="SimHei" w:eastAsia="黑体" w:cs="楷体"/>
          <w:spacing w:val="-7"/>
          <w:w w:val="105"/>
          <w:sz w:val="24"/>
          <w:szCs w:val="24"/>
        </w:rPr>
        <w:t xml:space="preserve">计提和发放的薪酬与年初预算之间的偏差及原因作出说明，并于次年 </w:t>
      </w:r>
      <w:r>
        <w:rPr>
          <w:rFonts w:hint="eastAsia" w:ascii="SimHei" w:hAnsi="SimHei" w:eastAsia="黑体" w:cs="楷体"/>
          <w:w w:val="105"/>
          <w:sz w:val="24"/>
          <w:szCs w:val="24"/>
        </w:rPr>
        <w:t>1</w:t>
      </w:r>
      <w:r>
        <w:rPr>
          <w:rFonts w:hint="eastAsia" w:ascii="SimHei" w:hAnsi="SimHei" w:eastAsia="黑体" w:cs="楷体"/>
          <w:spacing w:val="-62"/>
          <w:w w:val="105"/>
          <w:sz w:val="24"/>
          <w:szCs w:val="24"/>
        </w:rPr>
        <w:t xml:space="preserve"> 月 </w:t>
      </w:r>
      <w:r>
        <w:rPr>
          <w:rFonts w:hint="eastAsia" w:ascii="SimHei" w:hAnsi="SimHei" w:eastAsia="黑体" w:cs="楷体"/>
          <w:w w:val="105"/>
          <w:sz w:val="24"/>
          <w:szCs w:val="24"/>
        </w:rPr>
        <w:t>31</w:t>
      </w:r>
      <w:r>
        <w:rPr>
          <w:rFonts w:hint="eastAsia" w:ascii="SimHei" w:hAnsi="SimHei" w:eastAsia="黑体" w:cs="楷体"/>
          <w:spacing w:val="-22"/>
          <w:w w:val="105"/>
          <w:sz w:val="24"/>
          <w:szCs w:val="24"/>
        </w:rPr>
        <w:t xml:space="preserve"> 日前以专项报告形式，连同全年薪酬总额预算执行情况表上报市国资委。</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第三十四条 市国资委对企业进行年度审计时，应把对企业薪酬特别是负责人的</w:t>
      </w:r>
      <w:r>
        <w:rPr>
          <w:rFonts w:hint="eastAsia" w:ascii="SimHei" w:hAnsi="SimHei" w:eastAsia="黑体" w:cs="楷体"/>
          <w:w w:val="105"/>
          <w:sz w:val="24"/>
          <w:szCs w:val="24"/>
        </w:rPr>
        <w:t>薪酬审计作为一项重要内容。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第三十五条 市国资委负责对企业薪酬特别是负责人的薪酬进行专项检查，必要</w:t>
      </w:r>
      <w:r>
        <w:rPr>
          <w:rFonts w:hint="eastAsia" w:ascii="SimHei" w:hAnsi="SimHei" w:eastAsia="黑体" w:cs="楷体"/>
          <w:w w:val="105"/>
          <w:sz w:val="24"/>
          <w:szCs w:val="24"/>
        </w:rPr>
        <w:t>时可通过外派监事会和有资格的会计师事务所，进行专项审计。</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第三十六条 企业应逐步规范负责人的职务消费，增加职务消费的透明度，企业</w:t>
      </w:r>
      <w:r>
        <w:rPr>
          <w:rFonts w:hint="eastAsia" w:ascii="SimHei" w:hAnsi="SimHei" w:eastAsia="黑体" w:cs="楷体"/>
          <w:w w:val="105"/>
          <w:sz w:val="24"/>
          <w:szCs w:val="24"/>
        </w:rPr>
        <w:t>负责人的职务消费应定期向职工代表大会报告。</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第三十七条 有下列情形之一的，市国资委将依据有关法律、法规、规章，视情</w:t>
      </w:r>
      <w:r>
        <w:rPr>
          <w:rFonts w:hint="eastAsia" w:ascii="SimHei" w:hAnsi="SimHei" w:eastAsia="黑体" w:cs="楷体"/>
          <w:w w:val="105"/>
          <w:sz w:val="24"/>
          <w:szCs w:val="24"/>
        </w:rPr>
        <w:t>节轻重予以处理：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（一）对超过核定标准发放薪酬和违反规定发放实物或组织公费旅游的，超发 部分和违反规定发放实物或组织公费旅游的金额从劳动者次年薪酬的相应项目中扣 除；对超额计提薪酬总额，以及不合理提留工资结余的，超提部分冲减企业当年成 </w:t>
      </w:r>
      <w:r>
        <w:rPr>
          <w:rFonts w:hint="eastAsia" w:ascii="SimHei" w:hAnsi="SimHei" w:eastAsia="黑体" w:cs="楷体"/>
          <w:spacing w:val="2"/>
          <w:w w:val="105"/>
          <w:sz w:val="24"/>
          <w:szCs w:val="24"/>
        </w:rPr>
        <w:t>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（二）对违反国家有关法律法规、弄虚作假和存在前款所列情形的，市国资委 依法给予企业主要负责人和相关责任人通报批评，并酌情扣减企业主要负责人当年 </w:t>
      </w:r>
      <w:r>
        <w:rPr>
          <w:rFonts w:hint="eastAsia" w:ascii="SimHei" w:hAnsi="SimHei" w:eastAsia="黑体" w:cs="楷体"/>
          <w:spacing w:val="2"/>
          <w:w w:val="105"/>
          <w:sz w:val="24"/>
          <w:szCs w:val="24"/>
        </w:rPr>
        <w:t>经营业绩考核评分；情节严重的，给予企业主要负责人和相关责任人经济处罚。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（三）以虚增利润等弄虚作假形式取得绩效薪酬的，一经查实，全额追回，同  </w:t>
      </w:r>
      <w:r>
        <w:rPr>
          <w:rFonts w:hint="eastAsia" w:ascii="SimHei" w:hAnsi="SimHei" w:eastAsia="黑体" w:cs="楷体"/>
          <w:spacing w:val="-3"/>
          <w:sz w:val="24"/>
          <w:szCs w:val="24"/>
        </w:rPr>
        <w:t xml:space="preserve">时追究相关人员的责任，并按有关规定予以处罚。构成犯罪的，依法移交司法机关， </w:t>
      </w:r>
      <w:r>
        <w:rPr>
          <w:rFonts w:hint="eastAsia" w:ascii="SimHei" w:hAnsi="SimHei" w:eastAsia="黑体" w:cs="楷体"/>
          <w:spacing w:val="-3"/>
          <w:w w:val="105"/>
          <w:sz w:val="24"/>
          <w:szCs w:val="24"/>
        </w:rPr>
        <w:t>依法追究刑事责任。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（四）对发生重大违纪事件、造成国有资产流失的，对企业负责人依法予以降 </w:t>
      </w:r>
      <w:r>
        <w:rPr>
          <w:rFonts w:hint="eastAsia" w:ascii="SimHei" w:hAnsi="SimHei" w:eastAsia="黑体" w:cs="楷体"/>
          <w:spacing w:val="2"/>
          <w:w w:val="105"/>
          <w:sz w:val="24"/>
          <w:szCs w:val="24"/>
        </w:rPr>
        <w:t>职、撤职，情节严重涉嫌犯罪的，依法移送司法机关追究其刑事责任。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第八章 附 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第三十八条 各市属国有企业，可参照本规定制定子公司企业薪酬方案，报市国</w:t>
      </w:r>
      <w:r>
        <w:rPr>
          <w:rFonts w:hint="eastAsia" w:ascii="SimHei" w:hAnsi="SimHei" w:eastAsia="黑体" w:cs="楷体"/>
          <w:w w:val="105"/>
          <w:sz w:val="24"/>
          <w:szCs w:val="24"/>
        </w:rPr>
        <w:t>资委备案，具体实施情况于每年 7 月底前向市国资委报备。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第三十九条 由市国资委授权委托市级部门管理的企业负责人薪酬，可参照本规</w:t>
      </w:r>
      <w:r>
        <w:rPr>
          <w:rFonts w:hint="eastAsia" w:ascii="SimHei" w:hAnsi="SimHei" w:eastAsia="黑体" w:cs="楷体"/>
          <w:w w:val="105"/>
          <w:sz w:val="24"/>
          <w:szCs w:val="24"/>
        </w:rPr>
        <w:t>定执行，并报市国资委备案。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第四十条 国家有关法律、法规、规章对上市公司的薪酬管理另有规定的，从其</w:t>
      </w:r>
      <w:r>
        <w:rPr>
          <w:rFonts w:hint="eastAsia" w:ascii="SimHei" w:hAnsi="SimHei" w:eastAsia="黑体" w:cs="楷体"/>
          <w:w w:val="105"/>
          <w:sz w:val="24"/>
          <w:szCs w:val="24"/>
        </w:rPr>
        <w:t>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第四十一条 企业员工对企业发展做出特殊贡献的按有关规定执行。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第四十二条 本规定由市国资委负责解释，市国资委可以根据实施过程中的情况</w:t>
      </w:r>
      <w:r>
        <w:rPr>
          <w:rFonts w:hint="eastAsia" w:ascii="SimHei" w:hAnsi="SimHei" w:eastAsia="黑体" w:cs="楷体"/>
          <w:w w:val="105"/>
          <w:sz w:val="24"/>
          <w:szCs w:val="24"/>
        </w:rPr>
        <w:t>对本规定进行修订。</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第四十三条 本规定自公布之日起施行。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both"/>
        <w:textAlignment w:val="auto"/>
        <w:rPr>
          <w:rFonts w:hint="eastAsia" w:ascii="楷体" w:hAnsi="楷体" w:eastAsia="楷体" w:cs="楷体"/>
          <w:sz w:val="24"/>
          <w:szCs w:val="24"/>
        </w:rPr>
        <w:sectPr>
          <w:headerReference r:id="rId3" w:type="default"/>
          <w:footerReference r:id="rId4" w:type="default"/>
          <w:pgSz w:w="11910" w:h="16840"/>
          <w:pgMar w:top="850" w:right="1474" w:bottom="850" w:left="1474" w:header="567" w:footer="567" w:gutter="0"/>
          <w:pgBorders>
            <w:top w:val="none" w:sz="0" w:space="0"/>
            <w:left w:val="none" w:sz="0" w:space="0"/>
            <w:bottom w:val="none" w:sz="0" w:space="0"/>
            <w:right w:val="none" w:sz="0" w:space="0"/>
          </w:pgBorders>
          <w:pgNumType w:fmt="decimal"/>
        </w:sect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 xml:space="preserve">附件 2 </w:t>
      </w:r>
      <w:r>
        <w:rPr>
          <w:rFonts w:hint="eastAsia" w:ascii="SimHei" w:hAnsi="SimHei" w:eastAsia="黑体" w:cs="楷体"/>
          <w:b/>
          <w:bCs/>
          <w:w w:val="105"/>
          <w:sz w:val="28"/>
          <w:szCs w:val="28"/>
          <w:lang w:val="en-US" w:eastAsia="zh-CN"/>
        </w:rPr>
        <w:t>:XX</w:t>
      </w:r>
      <w:r>
        <w:rPr>
          <w:rFonts w:hint="eastAsia" w:ascii="SimHei" w:hAnsi="SimHei" w:eastAsia="黑体" w:cs="楷体"/>
          <w:b/>
          <w:bCs/>
          <w:w w:val="105"/>
          <w:sz w:val="28"/>
          <w:szCs w:val="28"/>
        </w:rPr>
        <w:t>国有企业特别奖励暂行规定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第一条 为规范市属国有企业薪酬管理，激励企业负责人与员工的积极性和创造性，建立符合现代企业制度要求的激励机制，根据《xxx 国有企业负责人经营业绩考核与薪酬管理暂行办法》（以下简称《暂行办法》）及相关法律、法规、规章， </w:t>
      </w:r>
      <w:r>
        <w:rPr>
          <w:rFonts w:hint="eastAsia" w:ascii="SimHei" w:hAnsi="SimHei" w:eastAsia="黑体" w:cs="楷体"/>
          <w:w w:val="105"/>
          <w:sz w:val="24"/>
          <w:szCs w:val="24"/>
        </w:rPr>
        <w:t>结合成都市实际，制定本规定。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8"/>
          <w:w w:val="105"/>
          <w:sz w:val="24"/>
          <w:szCs w:val="24"/>
        </w:rPr>
        <w:t>第二条 本规定适用于成都市国有资产监督管理委员会</w:t>
      </w:r>
      <w:r>
        <w:rPr>
          <w:rFonts w:hint="eastAsia" w:ascii="SimHei" w:hAnsi="SimHei" w:eastAsia="黑体" w:cs="楷体"/>
          <w:spacing w:val="2"/>
          <w:w w:val="105"/>
          <w:sz w:val="24"/>
          <w:szCs w:val="24"/>
        </w:rPr>
        <w:t>（以下简称市国资委</w:t>
      </w:r>
      <w:r>
        <w:rPr>
          <w:rFonts w:hint="eastAsia" w:ascii="SimHei" w:hAnsi="SimHei" w:eastAsia="黑体" w:cs="楷体"/>
          <w:spacing w:val="-41"/>
          <w:w w:val="105"/>
          <w:sz w:val="24"/>
          <w:szCs w:val="24"/>
        </w:rPr>
        <w:t>）</w:t>
      </w:r>
      <w:r>
        <w:rPr>
          <w:rFonts w:hint="eastAsia" w:ascii="SimHei" w:hAnsi="SimHei" w:eastAsia="黑体" w:cs="楷体"/>
          <w:w w:val="105"/>
          <w:sz w:val="24"/>
          <w:szCs w:val="24"/>
        </w:rPr>
        <w:t>直</w:t>
      </w:r>
      <w:r>
        <w:rPr>
          <w:rFonts w:hint="eastAsia" w:ascii="SimHei" w:hAnsi="SimHei" w:eastAsia="黑体" w:cs="楷体"/>
          <w:spacing w:val="-8"/>
          <w:sz w:val="24"/>
          <w:szCs w:val="24"/>
        </w:rPr>
        <w:t>接履行出资人职责的国有独资企业、国有独资公司和国有控股公司</w:t>
      </w:r>
      <w:r>
        <w:rPr>
          <w:rFonts w:hint="eastAsia" w:ascii="SimHei" w:hAnsi="SimHei" w:eastAsia="黑体" w:cs="楷体"/>
          <w:spacing w:val="2"/>
          <w:sz w:val="24"/>
          <w:szCs w:val="24"/>
        </w:rPr>
        <w:t>（以下简称企业</w:t>
      </w:r>
      <w:r>
        <w:rPr>
          <w:rFonts w:hint="eastAsia" w:ascii="SimHei" w:hAnsi="SimHei" w:eastAsia="黑体" w:cs="楷体"/>
          <w:spacing w:val="-102"/>
          <w:sz w:val="24"/>
          <w:szCs w:val="24"/>
        </w:rPr>
        <w:t>）</w:t>
      </w:r>
      <w:r>
        <w:rPr>
          <w:rFonts w:hint="eastAsia" w:ascii="SimHei" w:hAnsi="SimHei" w:eastAsia="黑体" w:cs="楷体"/>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第三条 给予对企业、行业、社会做出特殊贡献的企业负责人和对企业发展做出</w:t>
      </w:r>
      <w:r>
        <w:rPr>
          <w:rFonts w:hint="eastAsia" w:ascii="SimHei" w:hAnsi="SimHei" w:eastAsia="黑体" w:cs="楷体"/>
          <w:w w:val="105"/>
          <w:sz w:val="24"/>
          <w:szCs w:val="24"/>
        </w:rPr>
        <w:t>特殊贡献的企业员工奖励（以下简称特别奖励），适用本规定。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sz w:val="24"/>
          <w:szCs w:val="24"/>
        </w:rPr>
      </w:pPr>
      <w:r>
        <w:rPr>
          <w:rFonts w:hint="eastAsia" w:ascii="SimHei" w:hAnsi="SimHei" w:eastAsia="黑体" w:cs="楷体"/>
          <w:spacing w:val="-12"/>
          <w:w w:val="105"/>
          <w:sz w:val="24"/>
          <w:szCs w:val="24"/>
        </w:rPr>
        <w:t>第四条 本规定所称企业负责人和员工，与《</w:t>
      </w:r>
      <w:r>
        <w:rPr>
          <w:rFonts w:hint="eastAsia" w:ascii="SimHei" w:hAnsi="SimHei" w:eastAsia="黑体" w:cs="楷体"/>
          <w:w w:val="105"/>
          <w:sz w:val="24"/>
          <w:szCs w:val="24"/>
        </w:rPr>
        <w:t>xxx</w:t>
      </w:r>
      <w:r>
        <w:rPr>
          <w:rFonts w:hint="eastAsia" w:ascii="SimHei" w:hAnsi="SimHei" w:eastAsia="黑体" w:cs="楷体"/>
          <w:spacing w:val="-7"/>
          <w:w w:val="105"/>
          <w:sz w:val="24"/>
          <w:szCs w:val="24"/>
        </w:rPr>
        <w:t xml:space="preserve"> 国有企业薪酬管理暂行规定(第</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3 页)》第三条第一、二款规定相同。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第五条 对企业、行业、社会做出特殊贡献的企业负责人，由市国资委按照本规定评审认定，给予其自主创新、资源节约、扭亏增效、管理创新等单项特别奖励； 对企业做出特殊贡献的企业员工，由员工所在的企业按照本规定制定的企业内部奖 </w:t>
      </w:r>
      <w:r>
        <w:rPr>
          <w:rFonts w:hint="eastAsia" w:ascii="SimHei" w:hAnsi="SimHei" w:eastAsia="黑体" w:cs="楷体"/>
          <w:w w:val="105"/>
          <w:sz w:val="24"/>
          <w:szCs w:val="24"/>
        </w:rPr>
        <w:t>励规则评审认定，给予其特别奖励。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企业负责人和员工按照本规定或者企业内部奖励规则获得的特别奖励是其薪酬 </w:t>
      </w:r>
      <w:r>
        <w:rPr>
          <w:rFonts w:hint="eastAsia" w:ascii="SimHei" w:hAnsi="SimHei" w:eastAsia="黑体" w:cs="楷体"/>
          <w:spacing w:val="2"/>
          <w:w w:val="105"/>
          <w:sz w:val="24"/>
          <w:szCs w:val="24"/>
        </w:rPr>
        <w:t>的组成部分。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第六条 对企业负责人和员工进行特别奖励应当遵循以下原则：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（一）奖励与企业经营业绩挂钩；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（二）奖励与责任和贡献相符；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（三）短期激励和中长期激励相结合；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（四）评审公开、公平、公正。</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1"/>
          <w:w w:val="105"/>
          <w:sz w:val="24"/>
          <w:szCs w:val="24"/>
        </w:rPr>
        <w:t xml:space="preserve">第七条 企业的年度经营业绩考核达 </w:t>
      </w:r>
      <w:r>
        <w:rPr>
          <w:rFonts w:hint="eastAsia" w:ascii="SimHei" w:hAnsi="SimHei" w:eastAsia="黑体" w:cs="楷体"/>
          <w:w w:val="105"/>
          <w:sz w:val="24"/>
          <w:szCs w:val="24"/>
        </w:rPr>
        <w:t>A</w:t>
      </w:r>
      <w:r>
        <w:rPr>
          <w:rFonts w:hint="eastAsia" w:ascii="SimHei" w:hAnsi="SimHei" w:eastAsia="黑体" w:cs="楷体"/>
          <w:spacing w:val="-12"/>
          <w:w w:val="105"/>
          <w:sz w:val="24"/>
          <w:szCs w:val="24"/>
        </w:rPr>
        <w:t xml:space="preserve"> 级，并具有下列情形之一的，应当认定为企业负责人对该企业、行业或者社会有特殊贡献：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（一）企业销售收入、上缴税金、利润、净资产（财政增资除外）等四项指标 </w:t>
      </w:r>
      <w:r>
        <w:rPr>
          <w:rFonts w:hint="eastAsia" w:ascii="SimHei" w:hAnsi="SimHei" w:eastAsia="黑体" w:cs="楷体"/>
          <w:spacing w:val="2"/>
          <w:w w:val="105"/>
          <w:sz w:val="24"/>
          <w:szCs w:val="24"/>
        </w:rPr>
        <w:t>的增长幅度均名列本市前列；</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（二）</w:t>
      </w:r>
      <w:r>
        <w:rPr>
          <w:rFonts w:hint="eastAsia" w:ascii="SimHei" w:hAnsi="SimHei" w:eastAsia="黑体" w:cs="楷体"/>
          <w:spacing w:val="2"/>
          <w:sz w:val="24"/>
          <w:szCs w:val="24"/>
        </w:rPr>
        <w:t>企业</w:t>
      </w:r>
      <w:r>
        <w:rPr>
          <w:rFonts w:hint="eastAsia" w:ascii="SimHei" w:hAnsi="SimHei" w:eastAsia="黑体" w:cs="楷体"/>
          <w:w w:val="105"/>
          <w:sz w:val="24"/>
          <w:szCs w:val="24"/>
        </w:rPr>
        <w:t>减亏额名列本市前列；</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（三）企业</w:t>
      </w:r>
      <w:r>
        <w:rPr>
          <w:rFonts w:hint="eastAsia" w:ascii="SimHei" w:hAnsi="SimHei" w:eastAsia="黑体" w:cs="楷体"/>
          <w:spacing w:val="2"/>
          <w:sz w:val="24"/>
          <w:szCs w:val="24"/>
        </w:rPr>
        <w:t>获得</w:t>
      </w:r>
      <w:r>
        <w:rPr>
          <w:rFonts w:hint="eastAsia" w:ascii="SimHei" w:hAnsi="SimHei" w:eastAsia="黑体" w:cs="楷体"/>
          <w:w w:val="105"/>
          <w:sz w:val="24"/>
          <w:szCs w:val="24"/>
        </w:rPr>
        <w:t>中国名牌产品和中国驰名商标；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（四）企业或者企业负责人赢得国际或全国重大奖项。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w w:val="105"/>
          <w:sz w:val="24"/>
          <w:szCs w:val="24"/>
        </w:rPr>
        <w:t>（五）《</w:t>
      </w:r>
      <w:r>
        <w:rPr>
          <w:rFonts w:hint="eastAsia" w:ascii="SimHei" w:hAnsi="SimHei" w:eastAsia="黑体" w:cs="楷体"/>
          <w:w w:val="105"/>
          <w:sz w:val="24"/>
          <w:szCs w:val="24"/>
        </w:rPr>
        <w:t>xxx</w:t>
      </w:r>
      <w:r>
        <w:rPr>
          <w:rFonts w:hint="eastAsia" w:ascii="SimHei" w:hAnsi="SimHei" w:eastAsia="黑体" w:cs="楷体"/>
          <w:spacing w:val="-13"/>
          <w:w w:val="105"/>
          <w:sz w:val="24"/>
          <w:szCs w:val="24"/>
        </w:rPr>
        <w:t xml:space="preserve"> </w:t>
      </w:r>
      <w:r>
        <w:rPr>
          <w:rFonts w:hint="eastAsia" w:ascii="SimHei" w:hAnsi="SimHei" w:eastAsia="黑体" w:cs="楷体"/>
          <w:spacing w:val="2"/>
          <w:sz w:val="24"/>
          <w:szCs w:val="24"/>
        </w:rPr>
        <w:t>国有</w:t>
      </w:r>
      <w:r>
        <w:rPr>
          <w:rFonts w:hint="eastAsia" w:ascii="SimHei" w:hAnsi="SimHei" w:eastAsia="黑体" w:cs="楷体"/>
          <w:spacing w:val="-13"/>
          <w:w w:val="105"/>
          <w:sz w:val="24"/>
          <w:szCs w:val="24"/>
        </w:rPr>
        <w:t xml:space="preserve">企业薪酬管理暂行规定(第 </w:t>
      </w:r>
      <w:r>
        <w:rPr>
          <w:rFonts w:hint="eastAsia" w:ascii="SimHei" w:hAnsi="SimHei" w:eastAsia="黑体" w:cs="楷体"/>
          <w:w w:val="105"/>
          <w:sz w:val="24"/>
          <w:szCs w:val="24"/>
        </w:rPr>
        <w:t>3</w:t>
      </w:r>
      <w:r>
        <w:rPr>
          <w:rFonts w:hint="eastAsia" w:ascii="SimHei" w:hAnsi="SimHei" w:eastAsia="黑体" w:cs="楷体"/>
          <w:spacing w:val="-8"/>
          <w:w w:val="105"/>
          <w:sz w:val="24"/>
          <w:szCs w:val="24"/>
        </w:rPr>
        <w:t xml:space="preserve"> 页)》对独资企业的企业负责人</w:t>
      </w:r>
      <w:r>
        <w:rPr>
          <w:rFonts w:hint="eastAsia" w:ascii="SimHei" w:hAnsi="SimHei" w:eastAsia="黑体" w:cs="楷体"/>
          <w:spacing w:val="-8"/>
          <w:sz w:val="24"/>
          <w:szCs w:val="24"/>
        </w:rPr>
        <w:t xml:space="preserve">年薪超出当年兑现值，以及对控股企业的企业负责人年薪董事会决定值超出市国资 </w:t>
      </w:r>
      <w:r>
        <w:rPr>
          <w:rFonts w:hint="eastAsia" w:ascii="SimHei" w:hAnsi="SimHei" w:eastAsia="黑体" w:cs="楷体"/>
          <w:spacing w:val="-8"/>
          <w:w w:val="105"/>
          <w:sz w:val="24"/>
          <w:szCs w:val="24"/>
        </w:rPr>
        <w:t>委决定值，且任期考核合格的。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第八条 下列企业员工，可以认定为对企业有特殊贡献的员工：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（一）企业关键科技成果的主要完成人，重大开发项目的负责人，对企业主导产品或核心技术做出重大创新或改进的主要技术人员；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（二）参与企业</w:t>
      </w:r>
      <w:r>
        <w:rPr>
          <w:rFonts w:hint="eastAsia" w:ascii="SimHei" w:hAnsi="SimHei" w:eastAsia="黑体" w:cs="楷体"/>
          <w:w w:val="105"/>
          <w:sz w:val="24"/>
          <w:szCs w:val="24"/>
        </w:rPr>
        <w:t>战略</w:t>
      </w:r>
      <w:r>
        <w:rPr>
          <w:rFonts w:hint="eastAsia" w:ascii="SimHei" w:hAnsi="SimHei" w:eastAsia="黑体" w:cs="楷体"/>
          <w:spacing w:val="2"/>
          <w:sz w:val="24"/>
          <w:szCs w:val="24"/>
        </w:rPr>
        <w:t xml:space="preserve">决策、领导企业某一主要业务领域、全面负责实施某一领 </w:t>
      </w:r>
      <w:r>
        <w:rPr>
          <w:rFonts w:hint="eastAsia" w:ascii="SimHei" w:hAnsi="SimHei" w:eastAsia="黑体" w:cs="楷体"/>
          <w:spacing w:val="2"/>
          <w:w w:val="105"/>
          <w:sz w:val="24"/>
          <w:szCs w:val="24"/>
        </w:rPr>
        <w:t>域业务工作并做出</w:t>
      </w:r>
      <w:r>
        <w:rPr>
          <w:rFonts w:hint="eastAsia" w:ascii="SimHei" w:hAnsi="SimHei" w:eastAsia="黑体" w:cs="楷体"/>
          <w:w w:val="105"/>
          <w:sz w:val="24"/>
          <w:szCs w:val="24"/>
        </w:rPr>
        <w:t>突出</w:t>
      </w:r>
      <w:r>
        <w:rPr>
          <w:rFonts w:hint="eastAsia" w:ascii="SimHei" w:hAnsi="SimHei" w:eastAsia="黑体" w:cs="楷体"/>
          <w:spacing w:val="2"/>
          <w:w w:val="105"/>
          <w:sz w:val="24"/>
          <w:szCs w:val="24"/>
        </w:rPr>
        <w:t>贡献的中、高级经营管理人员；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（三）维护企业国有</w:t>
      </w:r>
      <w:r>
        <w:rPr>
          <w:rFonts w:hint="eastAsia" w:ascii="SimHei" w:hAnsi="SimHei" w:eastAsia="黑体" w:cs="楷体"/>
          <w:w w:val="105"/>
          <w:sz w:val="24"/>
          <w:szCs w:val="24"/>
        </w:rPr>
        <w:t>资产</w:t>
      </w:r>
      <w:r>
        <w:rPr>
          <w:rFonts w:hint="eastAsia" w:ascii="SimHei" w:hAnsi="SimHei" w:eastAsia="黑体" w:cs="楷体"/>
          <w:sz w:val="24"/>
          <w:szCs w:val="24"/>
        </w:rPr>
        <w:t xml:space="preserve">安全、技术革新等方面有突出贡献的企业员工。 </w:t>
      </w:r>
      <w:r>
        <w:rPr>
          <w:rFonts w:hint="eastAsia" w:ascii="SimHei" w:hAnsi="SimHei" w:eastAsia="黑体" w:cs="楷体"/>
          <w:w w:val="105"/>
          <w:sz w:val="24"/>
          <w:szCs w:val="24"/>
        </w:rPr>
        <w:t>企业给予特别奖励的员工的具体条件由企业规定。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第九条 对企业负责人特别奖励的方案，由企业根据市国资委评定的企业年度考</w:t>
      </w:r>
      <w:r>
        <w:rPr>
          <w:rFonts w:hint="eastAsia" w:ascii="SimHei" w:hAnsi="SimHei" w:eastAsia="黑体" w:cs="楷体"/>
          <w:w w:val="105"/>
          <w:sz w:val="24"/>
          <w:szCs w:val="24"/>
        </w:rPr>
        <w:t>核等级提出，经市国资委审核后，报市政府批准。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对企业员工的特别奖励方案，由企业根据本规定及相关规定制定。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第十条 企业负责人和员工的特别奖励核算，是企业薪酬总额核算的一部分。其</w:t>
      </w:r>
      <w:r>
        <w:rPr>
          <w:rFonts w:hint="eastAsia" w:ascii="SimHei" w:hAnsi="SimHei" w:eastAsia="黑体" w:cs="楷体"/>
          <w:w w:val="105"/>
          <w:sz w:val="24"/>
          <w:szCs w:val="24"/>
        </w:rPr>
        <w:t>核算管理，按《暂行办法》第二十六条的有关规定执行。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第十一条 特别奖励可以采取货币、实物等形式。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对会计核算制度和财务管理制度完善，建立了完善的法人治理结构</w:t>
      </w:r>
      <w:r>
        <w:rPr>
          <w:rFonts w:hint="eastAsia" w:ascii="SimHei" w:hAnsi="SimHei" w:eastAsia="黑体" w:cs="楷体"/>
          <w:spacing w:val="2"/>
          <w:sz w:val="24"/>
          <w:szCs w:val="24"/>
        </w:rPr>
        <w:t xml:space="preserve">并试行了任职资格制度的上市企业，经市国资委批准，可试行股权奖励，但企业负 责人或者员工单独或者累积所持股份不应达到控股或相对控股的比例。试行股权激 励的企业应当按照《公司法》等相关法律、法规、规章，提出股权奖励方案，经市 </w:t>
      </w:r>
      <w:r>
        <w:rPr>
          <w:rFonts w:hint="eastAsia" w:ascii="SimHei" w:hAnsi="SimHei" w:eastAsia="黑体" w:cs="楷体"/>
          <w:spacing w:val="2"/>
          <w:w w:val="105"/>
          <w:sz w:val="24"/>
          <w:szCs w:val="24"/>
        </w:rPr>
        <w:t>国资委批准后执行。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pacing w:val="2"/>
          <w:sz w:val="24"/>
          <w:szCs w:val="24"/>
        </w:rPr>
      </w:pPr>
      <w:r>
        <w:rPr>
          <w:rFonts w:hint="eastAsia" w:ascii="SimHei" w:hAnsi="SimHei" w:eastAsia="黑体" w:cs="楷体"/>
          <w:sz w:val="24"/>
          <w:szCs w:val="24"/>
        </w:rPr>
        <w:t>第十二条 企业负责人的特别奖励由企业一次性提取，分期兑现。其中，特别奖励的 60%在年度经营业绩考核结束后当期兑现，40%在任期经营业绩考核结束且考核</w:t>
      </w:r>
      <w:r>
        <w:rPr>
          <w:rFonts w:hint="eastAsia" w:ascii="SimHei" w:hAnsi="SimHei" w:eastAsia="黑体" w:cs="楷体"/>
          <w:w w:val="105"/>
          <w:sz w:val="24"/>
          <w:szCs w:val="24"/>
        </w:rPr>
        <w:t>结果在 B 级及以上时延期兑现。</w:t>
      </w:r>
      <w:r>
        <w:rPr>
          <w:rFonts w:hint="eastAsia" w:ascii="SimHei" w:hAnsi="SimHei" w:eastAsia="黑体" w:cs="楷体"/>
          <w:spacing w:val="2"/>
          <w:sz w:val="24"/>
          <w:szCs w:val="24"/>
        </w:rPr>
        <w:t xml:space="preserve">企业员工特别奖励的提取、兑现方式及扣减情形，由企业参照本条规定确定。 </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0"/>
          <w:sz w:val="24"/>
          <w:szCs w:val="24"/>
        </w:rPr>
        <w:t>第十三条 因工作需要，企业负责人岗位发生变动的，按在职时段计算其当年特</w:t>
      </w:r>
      <w:r>
        <w:rPr>
          <w:rFonts w:hint="eastAsia" w:ascii="SimHei" w:hAnsi="SimHei" w:eastAsia="黑体" w:cs="楷体"/>
          <w:w w:val="105"/>
          <w:sz w:val="24"/>
          <w:szCs w:val="24"/>
        </w:rPr>
        <w:t>别奖励。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10"/>
          <w:w w:val="105"/>
          <w:sz w:val="24"/>
          <w:szCs w:val="24"/>
        </w:rPr>
        <w:t>第十四条 符合本</w:t>
      </w:r>
      <w:r>
        <w:rPr>
          <w:rFonts w:hint="eastAsia" w:ascii="SimHei" w:hAnsi="SimHei" w:eastAsia="黑体" w:cs="楷体"/>
          <w:sz w:val="24"/>
          <w:szCs w:val="24"/>
        </w:rPr>
        <w:t>规定</w:t>
      </w:r>
      <w:r>
        <w:rPr>
          <w:rFonts w:hint="eastAsia" w:ascii="SimHei" w:hAnsi="SimHei" w:eastAsia="黑体" w:cs="楷体"/>
          <w:spacing w:val="-10"/>
          <w:w w:val="105"/>
          <w:sz w:val="24"/>
          <w:szCs w:val="24"/>
        </w:rPr>
        <w:t xml:space="preserve">条件的企业负责人应于每年 </w:t>
      </w:r>
      <w:r>
        <w:rPr>
          <w:rFonts w:hint="eastAsia" w:ascii="SimHei" w:hAnsi="SimHei" w:eastAsia="黑体" w:cs="楷体"/>
          <w:w w:val="105"/>
          <w:sz w:val="24"/>
          <w:szCs w:val="24"/>
        </w:rPr>
        <w:t>4</w:t>
      </w:r>
      <w:r>
        <w:rPr>
          <w:rFonts w:hint="eastAsia" w:ascii="SimHei" w:hAnsi="SimHei" w:eastAsia="黑体" w:cs="楷体"/>
          <w:spacing w:val="-8"/>
          <w:w w:val="105"/>
          <w:sz w:val="24"/>
          <w:szCs w:val="24"/>
        </w:rPr>
        <w:t xml:space="preserve"> 月底前按市国资委的要求向市国资委提出特别奖励的书面</w:t>
      </w:r>
      <w:r>
        <w:rPr>
          <w:rFonts w:hint="eastAsia" w:ascii="SimHei" w:hAnsi="SimHei" w:eastAsia="黑体" w:cs="楷体"/>
          <w:color w:val="212121"/>
          <w:spacing w:val="-8"/>
          <w:w w:val="105"/>
          <w:sz w:val="24"/>
          <w:szCs w:val="24"/>
        </w:rPr>
        <w:t>申报材料</w:t>
      </w:r>
      <w:r>
        <w:rPr>
          <w:rFonts w:hint="eastAsia" w:ascii="SimHei" w:hAnsi="SimHei" w:eastAsia="黑体" w:cs="楷体"/>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第十五条 市</w:t>
      </w:r>
      <w:r>
        <w:rPr>
          <w:rFonts w:hint="eastAsia" w:ascii="SimHei" w:hAnsi="SimHei" w:eastAsia="黑体" w:cs="楷体"/>
          <w:sz w:val="24"/>
          <w:szCs w:val="24"/>
        </w:rPr>
        <w:t>国资委</w:t>
      </w:r>
      <w:r>
        <w:rPr>
          <w:rFonts w:hint="eastAsia" w:ascii="SimHei" w:hAnsi="SimHei" w:eastAsia="黑体" w:cs="楷体"/>
          <w:w w:val="105"/>
          <w:sz w:val="24"/>
          <w:szCs w:val="24"/>
        </w:rPr>
        <w:t>负责对企业负责人特别奖励的评审工作。</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第十六条 市国资委对申报企业的初评结果，由市国资委进行公示，公示期为10 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对初评结果有异议的单位或个人，可以在公示期内向市国资委特别奖励评审委 员会提出书面异议，并提供必要的证明材料。市国资委特别奖励评审委员会应在收 </w:t>
      </w:r>
      <w:r>
        <w:rPr>
          <w:rFonts w:hint="eastAsia" w:ascii="SimHei" w:hAnsi="SimHei" w:eastAsia="黑体" w:cs="楷体"/>
          <w:spacing w:val="-5"/>
          <w:w w:val="105"/>
          <w:sz w:val="24"/>
          <w:szCs w:val="24"/>
        </w:rPr>
        <w:t xml:space="preserve">到异议材料之日起 </w:t>
      </w:r>
      <w:r>
        <w:rPr>
          <w:rFonts w:hint="eastAsia" w:ascii="SimHei" w:hAnsi="SimHei" w:eastAsia="黑体" w:cs="楷体"/>
          <w:w w:val="105"/>
          <w:sz w:val="24"/>
          <w:szCs w:val="24"/>
        </w:rPr>
        <w:t>15</w:t>
      </w:r>
      <w:r>
        <w:rPr>
          <w:rFonts w:hint="eastAsia" w:ascii="SimHei" w:hAnsi="SimHei" w:eastAsia="黑体" w:cs="楷体"/>
          <w:spacing w:val="-6"/>
          <w:w w:val="105"/>
          <w:sz w:val="24"/>
          <w:szCs w:val="24"/>
        </w:rPr>
        <w:t xml:space="preserve"> 日内作出裁决。</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市国资委特别奖励评审委员会作出的最终评审结果，经审批后，市国资委应当 </w:t>
      </w:r>
      <w:r>
        <w:rPr>
          <w:rFonts w:hint="eastAsia" w:ascii="SimHei" w:hAnsi="SimHei" w:eastAsia="黑体" w:cs="楷体"/>
          <w:spacing w:val="2"/>
          <w:w w:val="105"/>
          <w:sz w:val="24"/>
          <w:szCs w:val="24"/>
        </w:rPr>
        <w:t>进行公示。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第十七条 企业对企业负责人和员工的特别奖励，应严格按照《暂行办法》的相关规定实行台账管理和专户管理，并接受市国资委的监督和检查。对违反规定的企 </w:t>
      </w:r>
      <w:r>
        <w:rPr>
          <w:rFonts w:hint="eastAsia" w:ascii="SimHei" w:hAnsi="SimHei" w:eastAsia="黑体" w:cs="楷体"/>
          <w:w w:val="105"/>
          <w:sz w:val="24"/>
          <w:szCs w:val="24"/>
        </w:rPr>
        <w:t>业，市国资委应责令其纠正，并可根据相关规定对有关责任人做出处罚。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第十八条 采取虚增利润、虚报有关材料等弄虚作假手段取得特别奖励的，一经发现应撤销奖励并全额追回奖金，同时追究相关人员的责任；构成犯罪的，依法追 </w:t>
      </w:r>
      <w:r>
        <w:rPr>
          <w:rFonts w:hint="eastAsia" w:ascii="SimHei" w:hAnsi="SimHei" w:eastAsia="黑体" w:cs="楷体"/>
          <w:w w:val="105"/>
          <w:sz w:val="24"/>
          <w:szCs w:val="24"/>
        </w:rPr>
        <w:t>究其刑事责任。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第十九条 符合条件的企业员工向企业提出特别奖励申请的有关要求及评审程</w:t>
      </w:r>
      <w:r>
        <w:rPr>
          <w:rFonts w:hint="eastAsia" w:ascii="SimHei" w:hAnsi="SimHei" w:eastAsia="黑体" w:cs="楷体"/>
          <w:w w:val="105"/>
          <w:sz w:val="24"/>
          <w:szCs w:val="24"/>
        </w:rPr>
        <w:t>序，由企业参照本规定制定。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除本规定另有规定的外，企业制定的有关员工特别奖励的规则或者方案，须报 </w:t>
      </w:r>
      <w:r>
        <w:rPr>
          <w:rFonts w:hint="eastAsia" w:ascii="SimHei" w:hAnsi="SimHei" w:eastAsia="黑体" w:cs="楷体"/>
          <w:spacing w:val="2"/>
          <w:w w:val="105"/>
          <w:sz w:val="24"/>
          <w:szCs w:val="24"/>
        </w:rPr>
        <w:t>市国资委备案。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第二十条 各市属国有企业，可以参照本规定制定下属子企业的企业负责人及员工的特别奖励办法，报市国资委备案。其具体实施情况于每年 3 月底前向市国资委</w:t>
      </w:r>
      <w:r>
        <w:rPr>
          <w:rFonts w:hint="eastAsia" w:ascii="SimHei" w:hAnsi="SimHei" w:eastAsia="黑体" w:cs="楷体"/>
          <w:w w:val="105"/>
          <w:sz w:val="24"/>
          <w:szCs w:val="24"/>
        </w:rPr>
        <w:t>报备。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sz w:val="24"/>
          <w:szCs w:val="24"/>
        </w:rPr>
      </w:pPr>
      <w:r>
        <w:rPr>
          <w:rFonts w:hint="eastAsia" w:ascii="SimHei" w:hAnsi="SimHei" w:eastAsia="黑体" w:cs="楷体"/>
          <w:sz w:val="24"/>
          <w:szCs w:val="24"/>
        </w:rPr>
        <w:t>第二十一条 本规定由市国资委负责解释，市国资委可以根据实施过程中的情况</w:t>
      </w:r>
      <w:r>
        <w:rPr>
          <w:rFonts w:hint="eastAsia" w:ascii="SimHei" w:hAnsi="SimHei" w:eastAsia="黑体" w:cs="楷体"/>
          <w:w w:val="105"/>
          <w:sz w:val="24"/>
          <w:szCs w:val="24"/>
        </w:rPr>
        <w:t>对本规定进行修订。</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第二十二条 本规定自公布之日起施行。</w:t>
      </w:r>
    </w:p>
    <w:p>
      <w:pPr>
        <w:rPr>
          <w:rFonts w:hint="eastAsia" w:ascii="楷体" w:hAnsi="楷体" w:eastAsia="楷体" w:cs="楷体"/>
          <w:w w:val="105"/>
          <w:sz w:val="24"/>
          <w:szCs w:val="24"/>
        </w:rPr>
      </w:pPr>
      <w:r>
        <w:rPr>
          <w:rFonts w:hint="eastAsia" w:ascii="SimHei" w:hAnsi="SimHei" w:eastAsia="黑体" w:cs="楷体"/>
          <w:w w:val="105"/>
          <w:sz w:val="24"/>
          <w:szCs w:val="24"/>
        </w:rPr>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楷体" w:hAnsi="楷体" w:eastAsia="楷体" w:cs="楷体"/>
          <w:sz w:val="24"/>
          <w:szCs w:val="24"/>
        </w:rPr>
      </w:pPr>
      <w:r>
        <w:rPr>
          <w:rFonts w:hint="eastAsia" w:ascii="SimHei" w:hAnsi="SimHei" w:eastAsia="黑体" w:cs="楷体"/>
          <w:w w:val="105"/>
          <w:sz w:val="24"/>
          <w:szCs w:val="24"/>
        </w:rPr>
        <w:t>附件 3</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SimHei" w:hAnsi="SimHei" w:eastAsia="黑体" w:cs="楷体"/>
          <w:b/>
          <w:bCs/>
          <w:w w:val="105"/>
          <w:sz w:val="28"/>
          <w:szCs w:val="28"/>
          <w:lang w:val="en-US" w:eastAsia="zh-CN"/>
        </w:rPr>
        <w:t>XX</w:t>
      </w:r>
      <w:r>
        <w:rPr>
          <w:rFonts w:hint="eastAsia" w:ascii="SimHei" w:hAnsi="SimHei" w:eastAsia="黑体" w:cs="楷体"/>
          <w:b/>
          <w:bCs/>
          <w:w w:val="105"/>
          <w:sz w:val="28"/>
          <w:szCs w:val="28"/>
        </w:rPr>
        <w:t>国有企业负责人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楷体" w:hAnsi="楷体" w:eastAsia="楷体" w:cs="楷体"/>
          <w:b/>
          <w:bCs/>
          <w:sz w:val="36"/>
          <w:szCs w:val="36"/>
        </w:rPr>
      </w:pPr>
      <w:r>
        <w:rPr>
          <w:rFonts w:hint="eastAsia" w:ascii="SimHei" w:hAnsi="SimHei" w:eastAsia="黑体" w:cs="楷体"/>
          <w:b/>
          <w:bCs/>
          <w:sz w:val="36"/>
          <w:szCs w:val="36"/>
        </w:rPr>
        <w:t>年度经营业绩考核计分细则（试行）</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总则</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第一条 为构建科学合理的市属国有企业经营业绩考核体系，遵循“客观公正、</w:t>
      </w:r>
      <w:r>
        <w:rPr>
          <w:rFonts w:hint="eastAsia" w:ascii="SimHei" w:hAnsi="SimHei" w:eastAsia="黑体" w:cs="楷体"/>
          <w:w w:val="105"/>
          <w:sz w:val="24"/>
          <w:szCs w:val="24"/>
        </w:rPr>
        <w:t>科学合理、考评结合、奖惩分明”的原则，根据《xxx 国有企业负责人经营业绩考核与薪酬管理暂行办法》，特制订本办法。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pacing w:val="-10"/>
          <w:w w:val="105"/>
          <w:sz w:val="24"/>
          <w:szCs w:val="24"/>
        </w:rPr>
      </w:pPr>
      <w:r>
        <w:rPr>
          <w:rFonts w:hint="eastAsia" w:ascii="SimHei" w:hAnsi="SimHei" w:eastAsia="黑体" w:cs="楷体"/>
          <w:spacing w:val="-10"/>
          <w:w w:val="105"/>
          <w:sz w:val="24"/>
          <w:szCs w:val="24"/>
        </w:rPr>
        <w:t>第二条 考核对象 与市国资委签订了年度经营业绩责任书的企业负责人。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2" w:firstLineChars="200"/>
        <w:jc w:val="both"/>
        <w:textAlignment w:val="auto"/>
        <w:rPr>
          <w:rFonts w:hint="eastAsia" w:ascii="楷体" w:hAnsi="楷体" w:eastAsia="楷体" w:cs="楷体"/>
          <w:sz w:val="24"/>
          <w:szCs w:val="24"/>
        </w:rPr>
      </w:pPr>
      <w:r>
        <w:rPr>
          <w:rFonts w:hint="eastAsia" w:ascii="SimHei" w:hAnsi="SimHei" w:eastAsia="黑体" w:cs="楷体"/>
          <w:spacing w:val="-3"/>
          <w:w w:val="105"/>
          <w:sz w:val="24"/>
          <w:szCs w:val="24"/>
        </w:rPr>
        <w:t>第三条 考核内容</w:t>
      </w:r>
      <w:r>
        <w:rPr>
          <w:rFonts w:hint="eastAsia" w:ascii="SimHei" w:hAnsi="SimHei" w:eastAsia="黑体" w:cs="楷体"/>
          <w:w w:val="105"/>
          <w:sz w:val="24"/>
          <w:szCs w:val="24"/>
        </w:rPr>
        <w:t>年度经营业绩责任书确定的各项指标，包括基本指标、分类指标和综合评议指标。</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计分办法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第四条 实行基本分基础上的累计加减分制，总分 120 分。其中，基本分 100分、加分 20 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年度经营业绩考核总得分计算公式为：实得分＝实得基本分+实得加分－实际扣分。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其中，实得基本分，为各单项指标实得基本分之和（各单项指标基本分，即责 任书上相应指标权重的值）；实得加分为各单项指标实得加分之和；实际扣分为各 </w:t>
      </w:r>
      <w:r>
        <w:rPr>
          <w:rFonts w:hint="eastAsia" w:ascii="SimHei" w:hAnsi="SimHei" w:eastAsia="黑体" w:cs="楷体"/>
          <w:spacing w:val="2"/>
          <w:w w:val="105"/>
          <w:sz w:val="24"/>
          <w:szCs w:val="24"/>
        </w:rPr>
        <w:t>单项指标实际扣分和重大不良事项扣分之和。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第五条 各单项指标计分原则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（一）基本指标和分类指标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定量指标：完成目标值时得基本分。其中：年度利润总额高于目标值时，每高 </w:t>
      </w:r>
      <w:r>
        <w:rPr>
          <w:rFonts w:hint="eastAsia" w:ascii="SimHei" w:hAnsi="SimHei" w:eastAsia="黑体" w:cs="楷体"/>
          <w:spacing w:val="-40"/>
          <w:w w:val="105"/>
          <w:sz w:val="24"/>
          <w:szCs w:val="24"/>
        </w:rPr>
        <w:t xml:space="preserve">于 </w:t>
      </w:r>
      <w:r>
        <w:rPr>
          <w:rFonts w:hint="eastAsia" w:ascii="SimHei" w:hAnsi="SimHei" w:eastAsia="黑体" w:cs="楷体"/>
          <w:w w:val="105"/>
          <w:sz w:val="24"/>
          <w:szCs w:val="24"/>
        </w:rPr>
        <w:t>1</w:t>
      </w:r>
      <w:r>
        <w:rPr>
          <w:rFonts w:hint="eastAsia" w:ascii="SimHei" w:hAnsi="SimHei" w:eastAsia="黑体" w:cs="楷体"/>
          <w:spacing w:val="-20"/>
          <w:w w:val="105"/>
          <w:sz w:val="24"/>
          <w:szCs w:val="24"/>
        </w:rPr>
        <w:t xml:space="preserve"> 个百分点，加 </w:t>
      </w:r>
      <w:r>
        <w:rPr>
          <w:rFonts w:hint="eastAsia" w:ascii="SimHei" w:hAnsi="SimHei" w:eastAsia="黑体" w:cs="楷体"/>
          <w:w w:val="105"/>
          <w:sz w:val="24"/>
          <w:szCs w:val="24"/>
        </w:rPr>
        <w:t>0.1</w:t>
      </w:r>
      <w:r>
        <w:rPr>
          <w:rFonts w:hint="eastAsia" w:ascii="SimHei" w:hAnsi="SimHei" w:eastAsia="黑体" w:cs="楷体"/>
          <w:spacing w:val="-11"/>
          <w:w w:val="105"/>
          <w:sz w:val="24"/>
          <w:szCs w:val="24"/>
        </w:rPr>
        <w:t xml:space="preserve"> 分；国有资本保值增值率高于目标值时，每高于 </w:t>
      </w:r>
      <w:r>
        <w:rPr>
          <w:rFonts w:hint="eastAsia" w:ascii="SimHei" w:hAnsi="SimHei" w:eastAsia="黑体" w:cs="楷体"/>
          <w:w w:val="105"/>
          <w:sz w:val="24"/>
          <w:szCs w:val="24"/>
        </w:rPr>
        <w:t>0.1</w:t>
      </w:r>
      <w:r>
        <w:rPr>
          <w:rFonts w:hint="eastAsia" w:ascii="SimHei" w:hAnsi="SimHei" w:eastAsia="黑体" w:cs="楷体"/>
          <w:spacing w:val="-19"/>
          <w:w w:val="105"/>
          <w:sz w:val="24"/>
          <w:szCs w:val="24"/>
        </w:rPr>
        <w:t xml:space="preserve"> 个百分点，加 </w:t>
      </w:r>
      <w:r>
        <w:rPr>
          <w:rFonts w:hint="eastAsia" w:ascii="SimHei" w:hAnsi="SimHei" w:eastAsia="黑体" w:cs="楷体"/>
          <w:w w:val="105"/>
          <w:sz w:val="24"/>
          <w:szCs w:val="24"/>
        </w:rPr>
        <w:t>0.1</w:t>
      </w:r>
      <w:r>
        <w:rPr>
          <w:rFonts w:hint="eastAsia" w:ascii="SimHei" w:hAnsi="SimHei" w:eastAsia="黑体" w:cs="楷体"/>
          <w:spacing w:val="-11"/>
          <w:w w:val="105"/>
          <w:sz w:val="24"/>
          <w:szCs w:val="24"/>
        </w:rPr>
        <w:t xml:space="preserve"> 分；净资产收益率高于目标值时，每高于 </w:t>
      </w:r>
      <w:r>
        <w:rPr>
          <w:rFonts w:hint="eastAsia" w:ascii="SimHei" w:hAnsi="SimHei" w:eastAsia="黑体" w:cs="楷体"/>
          <w:w w:val="105"/>
          <w:sz w:val="24"/>
          <w:szCs w:val="24"/>
        </w:rPr>
        <w:t>0.1</w:t>
      </w:r>
      <w:r>
        <w:rPr>
          <w:rFonts w:hint="eastAsia" w:ascii="SimHei" w:hAnsi="SimHei" w:eastAsia="黑体" w:cs="楷体"/>
          <w:spacing w:val="-20"/>
          <w:w w:val="105"/>
          <w:sz w:val="24"/>
          <w:szCs w:val="24"/>
        </w:rPr>
        <w:t xml:space="preserve"> 个百分点，加 </w:t>
      </w:r>
      <w:r>
        <w:rPr>
          <w:rFonts w:hint="eastAsia" w:ascii="SimHei" w:hAnsi="SimHei" w:eastAsia="黑体" w:cs="楷体"/>
          <w:w w:val="105"/>
          <w:sz w:val="24"/>
          <w:szCs w:val="24"/>
        </w:rPr>
        <w:t>0.1</w:t>
      </w:r>
      <w:r>
        <w:rPr>
          <w:rFonts w:hint="eastAsia" w:ascii="SimHei" w:hAnsi="SimHei" w:eastAsia="黑体" w:cs="楷体"/>
          <w:spacing w:val="-19"/>
          <w:w w:val="105"/>
          <w:sz w:val="24"/>
          <w:szCs w:val="24"/>
        </w:rPr>
        <w:t xml:space="preserve"> 分；每</w:t>
      </w:r>
      <w:r>
        <w:rPr>
          <w:rFonts w:hint="eastAsia" w:ascii="SimHei" w:hAnsi="SimHei" w:eastAsia="黑体" w:cs="楷体"/>
          <w:spacing w:val="-8"/>
          <w:sz w:val="24"/>
          <w:szCs w:val="24"/>
        </w:rPr>
        <w:t>项加分上限：</w:t>
      </w:r>
      <w:r>
        <w:rPr>
          <w:rFonts w:hint="eastAsia" w:ascii="SimHei" w:hAnsi="SimHei" w:eastAsia="黑体" w:cs="楷体"/>
          <w:spacing w:val="-8"/>
          <w:sz w:val="24"/>
          <w:szCs w:val="24"/>
          <w:u w:val="single"/>
          <w:lang w:val="en-US" w:eastAsia="zh-CN"/>
        </w:rPr>
        <w:t xml:space="preserve">   </w:t>
      </w:r>
      <w:r>
        <w:rPr>
          <w:rFonts w:hint="eastAsia" w:ascii="SimHei" w:hAnsi="SimHei" w:eastAsia="黑体" w:cs="楷体"/>
          <w:spacing w:val="-8"/>
          <w:sz w:val="24"/>
          <w:szCs w:val="24"/>
          <w:u w:val="single"/>
        </w:rPr>
        <w:t xml:space="preserve"> </w:t>
      </w:r>
      <w:r>
        <w:rPr>
          <w:rFonts w:hint="eastAsia" w:ascii="SimHei" w:hAnsi="SimHei" w:eastAsia="黑体" w:cs="楷体"/>
          <w:spacing w:val="-8"/>
          <w:sz w:val="24"/>
          <w:szCs w:val="24"/>
        </w:rPr>
        <w:t>。三项定量指标低于目标值时，分别按未完成的比例扣分，但最高扣</w:t>
      </w:r>
      <w:r>
        <w:rPr>
          <w:rFonts w:hint="eastAsia" w:ascii="SimHei" w:hAnsi="SimHei" w:eastAsia="黑体" w:cs="楷体"/>
          <w:spacing w:val="-3"/>
          <w:w w:val="105"/>
          <w:sz w:val="24"/>
          <w:szCs w:val="24"/>
        </w:rPr>
        <w:t xml:space="preserve">分不超过该项指标权重的 </w:t>
      </w:r>
      <w:r>
        <w:rPr>
          <w:rFonts w:hint="eastAsia" w:ascii="SimHei" w:hAnsi="SimHei" w:eastAsia="黑体" w:cs="楷体"/>
          <w:w w:val="105"/>
          <w:sz w:val="24"/>
          <w:szCs w:val="24"/>
        </w:rPr>
        <w:t>50%。</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定性指标：根据指标完成情况评定等级，分为优秀、良好、中等、较差、很差 </w:t>
      </w:r>
      <w:r>
        <w:rPr>
          <w:rFonts w:hint="eastAsia" w:ascii="SimHei" w:hAnsi="SimHei" w:eastAsia="黑体" w:cs="楷体"/>
          <w:spacing w:val="1"/>
          <w:sz w:val="24"/>
          <w:szCs w:val="24"/>
        </w:rPr>
        <w:t>五个等级。等级为中等的得基本分，等级为良好的得分为：基本分+  ，等级为优秀</w:t>
      </w:r>
      <w:r>
        <w:rPr>
          <w:rFonts w:hint="eastAsia" w:ascii="SimHei" w:hAnsi="SimHei" w:eastAsia="黑体" w:cs="楷体"/>
          <w:spacing w:val="-6"/>
          <w:sz w:val="24"/>
          <w:szCs w:val="24"/>
        </w:rPr>
        <w:t xml:space="preserve">的得分为：基本分+加分上限，等级为较差的得基本分的一半，等级为很差的得分为  </w:t>
      </w:r>
      <w:r>
        <w:rPr>
          <w:rFonts w:hint="eastAsia" w:ascii="SimHei" w:hAnsi="SimHei" w:eastAsia="黑体" w:cs="楷体"/>
          <w:w w:val="105"/>
          <w:sz w:val="24"/>
          <w:szCs w:val="24"/>
        </w:rPr>
        <w:t>0</w:t>
      </w:r>
      <w:r>
        <w:rPr>
          <w:rFonts w:hint="eastAsia" w:ascii="SimHei" w:hAnsi="SimHei" w:eastAsia="黑体" w:cs="楷体"/>
          <w:spacing w:val="2"/>
          <w:w w:val="105"/>
          <w:sz w:val="24"/>
          <w:szCs w:val="24"/>
        </w:rPr>
        <w:t>。每项加分上限：</w:t>
      </w:r>
      <w:r>
        <w:rPr>
          <w:rFonts w:hint="eastAsia" w:ascii="SimHei" w:hAnsi="SimHei" w:eastAsia="黑体" w:cs="楷体"/>
          <w:spacing w:val="2"/>
          <w:w w:val="105"/>
          <w:sz w:val="24"/>
          <w:szCs w:val="24"/>
          <w:u w:val="single"/>
          <w:lang w:val="en-US" w:eastAsia="zh-CN"/>
        </w:rPr>
        <w:t xml:space="preserve">     </w:t>
      </w:r>
      <w:r>
        <w:rPr>
          <w:rFonts w:hint="eastAsia" w:ascii="SimHei" w:hAnsi="SimHei" w:eastAsia="黑体" w:cs="楷体"/>
          <w:spacing w:val="2"/>
          <w:w w:val="105"/>
          <w:sz w:val="24"/>
          <w:szCs w:val="24"/>
          <w:lang w:val="en-US" w:eastAsia="zh-CN"/>
        </w:rPr>
        <w:t xml:space="preserve"> </w:t>
      </w:r>
      <w:r>
        <w:rPr>
          <w:rFonts w:hint="eastAsia" w:ascii="SimHei" w:hAnsi="SimHei" w:eastAsia="黑体" w:cs="楷体"/>
          <w:spacing w:val="2"/>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（二）综合评议指标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综合评议指标每个单项基本分为 1 分。根据每个单项指标完成情况评定结果分</w:t>
      </w:r>
      <w:r>
        <w:rPr>
          <w:rFonts w:hint="eastAsia" w:ascii="SimHei" w:hAnsi="SimHei" w:eastAsia="黑体" w:cs="楷体"/>
          <w:sz w:val="24"/>
          <w:szCs w:val="24"/>
        </w:rPr>
        <w:t xml:space="preserve">为优秀、良好、中等、较差、很差五个等级，每个等级对应得分分别为 1 分、0.8 </w:t>
      </w:r>
      <w:r>
        <w:rPr>
          <w:rFonts w:hint="eastAsia" w:ascii="SimHei" w:hAnsi="SimHei" w:eastAsia="黑体" w:cs="楷体"/>
          <w:w w:val="105"/>
          <w:sz w:val="24"/>
          <w:szCs w:val="24"/>
        </w:rPr>
        <w:t>分、0.5 分、0.2 分、0 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在综合评议指标中除第七项（推进技术创新）外某方面成绩突出，获得国家级 </w:t>
      </w:r>
      <w:r>
        <w:rPr>
          <w:rFonts w:hint="eastAsia" w:ascii="SimHei" w:hAnsi="SimHei" w:eastAsia="黑体" w:cs="楷体"/>
          <w:spacing w:val="-8"/>
          <w:w w:val="105"/>
          <w:sz w:val="24"/>
          <w:szCs w:val="24"/>
        </w:rPr>
        <w:t xml:space="preserve">表彰奖励的，每项加 </w:t>
      </w:r>
      <w:r>
        <w:rPr>
          <w:rFonts w:hint="eastAsia" w:ascii="SimHei" w:hAnsi="SimHei" w:eastAsia="黑体" w:cs="楷体"/>
          <w:w w:val="105"/>
          <w:sz w:val="24"/>
          <w:szCs w:val="24"/>
        </w:rPr>
        <w:t>0.2</w:t>
      </w:r>
      <w:r>
        <w:rPr>
          <w:rFonts w:hint="eastAsia" w:ascii="SimHei" w:hAnsi="SimHei" w:eastAsia="黑体" w:cs="楷体"/>
          <w:spacing w:val="-13"/>
          <w:w w:val="105"/>
          <w:sz w:val="24"/>
          <w:szCs w:val="24"/>
        </w:rPr>
        <w:t xml:space="preserve"> 分；获得省部级表彰奖励的，每项加 </w:t>
      </w:r>
      <w:r>
        <w:rPr>
          <w:rFonts w:hint="eastAsia" w:ascii="SimHei" w:hAnsi="SimHei" w:eastAsia="黑体" w:cs="楷体"/>
          <w:w w:val="105"/>
          <w:sz w:val="24"/>
          <w:szCs w:val="24"/>
        </w:rPr>
        <w:t>0.1</w:t>
      </w:r>
      <w:r>
        <w:rPr>
          <w:rFonts w:hint="eastAsia" w:ascii="SimHei" w:hAnsi="SimHei" w:eastAsia="黑体" w:cs="楷体"/>
          <w:spacing w:val="-45"/>
          <w:w w:val="105"/>
          <w:sz w:val="24"/>
          <w:szCs w:val="24"/>
        </w:rPr>
        <w:t xml:space="preserve"> 分</w:t>
      </w:r>
      <w:r>
        <w:rPr>
          <w:rFonts w:hint="eastAsia" w:ascii="SimHei" w:hAnsi="SimHei" w:eastAsia="黑体" w:cs="楷体"/>
          <w:spacing w:val="2"/>
          <w:w w:val="105"/>
          <w:sz w:val="24"/>
          <w:szCs w:val="24"/>
        </w:rPr>
        <w:t>（以有关部门颁发的证书为准）。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综合评议指标中对推进技术创新情况好的可以加分，加分包括以下两个方面：  </w:t>
      </w:r>
      <w:r>
        <w:rPr>
          <w:rFonts w:hint="eastAsia" w:ascii="SimHei" w:hAnsi="SimHei" w:eastAsia="黑体" w:cs="楷体"/>
          <w:spacing w:val="-5"/>
          <w:w w:val="105"/>
          <w:sz w:val="24"/>
          <w:szCs w:val="24"/>
        </w:rPr>
        <w:t xml:space="preserve">企业承担国家重大科技攻关项目，并取得突破的，加 </w:t>
      </w:r>
      <w:r>
        <w:rPr>
          <w:rFonts w:hint="eastAsia" w:ascii="SimHei" w:hAnsi="SimHei" w:eastAsia="黑体" w:cs="楷体"/>
          <w:w w:val="105"/>
          <w:sz w:val="24"/>
          <w:szCs w:val="24"/>
        </w:rPr>
        <w:t>0.5～1</w:t>
      </w:r>
      <w:r>
        <w:rPr>
          <w:rFonts w:hint="eastAsia" w:ascii="SimHei" w:hAnsi="SimHei" w:eastAsia="黑体" w:cs="楷体"/>
          <w:spacing w:val="-59"/>
          <w:w w:val="105"/>
          <w:sz w:val="24"/>
          <w:szCs w:val="24"/>
        </w:rPr>
        <w:t xml:space="preserve"> 分</w:t>
      </w:r>
      <w:r>
        <w:rPr>
          <w:rFonts w:hint="eastAsia" w:ascii="SimHei" w:hAnsi="SimHei" w:eastAsia="黑体" w:cs="楷体"/>
          <w:spacing w:val="2"/>
          <w:w w:val="105"/>
          <w:sz w:val="24"/>
          <w:szCs w:val="24"/>
        </w:rPr>
        <w:t>（</w:t>
      </w:r>
      <w:r>
        <w:rPr>
          <w:rFonts w:hint="eastAsia" w:ascii="SimHei" w:hAnsi="SimHei" w:eastAsia="黑体" w:cs="楷体"/>
          <w:spacing w:val="1"/>
          <w:w w:val="105"/>
          <w:sz w:val="24"/>
          <w:szCs w:val="24"/>
        </w:rPr>
        <w:t>以有关部门颁发的</w:t>
      </w:r>
      <w:r>
        <w:rPr>
          <w:rFonts w:hint="eastAsia" w:ascii="SimHei" w:hAnsi="SimHei" w:eastAsia="黑体" w:cs="楷体"/>
          <w:spacing w:val="2"/>
          <w:sz w:val="24"/>
          <w:szCs w:val="24"/>
        </w:rPr>
        <w:t xml:space="preserve">证书为准）；承担国家科技发展规划纲要目录内的重大科技专项主体研究，虽然尚  </w:t>
      </w:r>
      <w:r>
        <w:rPr>
          <w:rFonts w:hint="eastAsia" w:ascii="SimHei" w:hAnsi="SimHei" w:eastAsia="黑体" w:cs="楷体"/>
          <w:spacing w:val="-4"/>
          <w:sz w:val="24"/>
          <w:szCs w:val="24"/>
        </w:rPr>
        <w:t xml:space="preserve">未取得突破，但投入较大，加 </w:t>
      </w:r>
      <w:r>
        <w:rPr>
          <w:rFonts w:hint="eastAsia" w:ascii="SimHei" w:hAnsi="SimHei" w:eastAsia="黑体" w:cs="楷体"/>
          <w:sz w:val="24"/>
          <w:szCs w:val="24"/>
        </w:rPr>
        <w:t>0.2～0.5</w:t>
      </w:r>
      <w:r>
        <w:rPr>
          <w:rFonts w:hint="eastAsia" w:ascii="SimHei" w:hAnsi="SimHei" w:eastAsia="黑体" w:cs="楷体"/>
          <w:spacing w:val="-16"/>
          <w:sz w:val="24"/>
          <w:szCs w:val="24"/>
        </w:rPr>
        <w:t xml:space="preserve"> 分。</w:t>
      </w:r>
      <w:r>
        <w:rPr>
          <w:rFonts w:hint="eastAsia" w:ascii="SimHei" w:hAnsi="SimHei" w:eastAsia="黑体" w:cs="楷体"/>
          <w:spacing w:val="2"/>
          <w:sz w:val="24"/>
          <w:szCs w:val="24"/>
        </w:rPr>
        <w:t>（以承担的项目书和财务支出凭证为准）</w:t>
      </w:r>
      <w:r>
        <w:rPr>
          <w:rFonts w:hint="eastAsia" w:ascii="SimHei" w:hAnsi="SimHei" w:eastAsia="黑体" w:cs="楷体"/>
          <w:w w:val="105"/>
          <w:sz w:val="24"/>
          <w:szCs w:val="24"/>
        </w:rPr>
        <w:t>所有综合评议指标累计加分上限：。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（三）市国资委认定的其它事项（在每年的《经营业绩考核通知书》中予以明 </w:t>
      </w:r>
      <w:r>
        <w:rPr>
          <w:rFonts w:hint="eastAsia" w:ascii="SimHei" w:hAnsi="SimHei" w:eastAsia="黑体" w:cs="楷体"/>
          <w:spacing w:val="2"/>
          <w:w w:val="105"/>
          <w:sz w:val="24"/>
          <w:szCs w:val="24"/>
        </w:rPr>
        <w:t>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sz w:val="24"/>
          <w:szCs w:val="24"/>
        </w:rPr>
      </w:pPr>
      <w:r>
        <w:rPr>
          <w:rFonts w:hint="eastAsia" w:ascii="SimHei" w:hAnsi="SimHei" w:eastAsia="黑体" w:cs="楷体"/>
          <w:spacing w:val="-5"/>
          <w:w w:val="105"/>
          <w:sz w:val="24"/>
          <w:szCs w:val="24"/>
        </w:rPr>
        <w:t xml:space="preserve">以上加分因素累计不超过 </w:t>
      </w:r>
      <w:r>
        <w:rPr>
          <w:rFonts w:hint="eastAsia" w:ascii="SimHei" w:hAnsi="SimHei" w:eastAsia="黑体" w:cs="楷体"/>
          <w:w w:val="105"/>
          <w:sz w:val="24"/>
          <w:szCs w:val="24"/>
        </w:rPr>
        <w:t>15</w:t>
      </w:r>
      <w:r>
        <w:rPr>
          <w:rFonts w:hint="eastAsia" w:ascii="SimHei" w:hAnsi="SimHei" w:eastAsia="黑体" w:cs="楷体"/>
          <w:spacing w:val="-32"/>
          <w:w w:val="105"/>
          <w:sz w:val="24"/>
          <w:szCs w:val="24"/>
        </w:rPr>
        <w:t xml:space="preserve"> 分，超过 </w:t>
      </w:r>
      <w:r>
        <w:rPr>
          <w:rFonts w:hint="eastAsia" w:ascii="SimHei" w:hAnsi="SimHei" w:eastAsia="黑体" w:cs="楷体"/>
          <w:w w:val="105"/>
          <w:sz w:val="24"/>
          <w:szCs w:val="24"/>
        </w:rPr>
        <w:t>15</w:t>
      </w:r>
      <w:r>
        <w:rPr>
          <w:rFonts w:hint="eastAsia" w:ascii="SimHei" w:hAnsi="SimHei" w:eastAsia="黑体" w:cs="楷体"/>
          <w:spacing w:val="-37"/>
          <w:w w:val="105"/>
          <w:sz w:val="24"/>
          <w:szCs w:val="24"/>
        </w:rPr>
        <w:t xml:space="preserve"> 分按 </w:t>
      </w:r>
      <w:r>
        <w:rPr>
          <w:rFonts w:hint="eastAsia" w:ascii="SimHei" w:hAnsi="SimHei" w:eastAsia="黑体" w:cs="楷体"/>
          <w:w w:val="105"/>
          <w:sz w:val="24"/>
          <w:szCs w:val="24"/>
        </w:rPr>
        <w:t>15</w:t>
      </w:r>
      <w:r>
        <w:rPr>
          <w:rFonts w:hint="eastAsia" w:ascii="SimHei" w:hAnsi="SimHei" w:eastAsia="黑体" w:cs="楷体"/>
          <w:spacing w:val="-24"/>
          <w:w w:val="105"/>
          <w:sz w:val="24"/>
          <w:szCs w:val="24"/>
        </w:rPr>
        <w:t xml:space="preserve"> 分计算。其余 </w:t>
      </w:r>
      <w:r>
        <w:rPr>
          <w:rFonts w:hint="eastAsia" w:ascii="SimHei" w:hAnsi="SimHei" w:eastAsia="黑体" w:cs="楷体"/>
          <w:w w:val="105"/>
          <w:sz w:val="24"/>
          <w:szCs w:val="24"/>
        </w:rPr>
        <w:t>5</w:t>
      </w:r>
      <w:r>
        <w:rPr>
          <w:rFonts w:hint="eastAsia" w:ascii="SimHei" w:hAnsi="SimHei" w:eastAsia="黑体" w:cs="楷体"/>
          <w:spacing w:val="-9"/>
          <w:w w:val="105"/>
          <w:sz w:val="24"/>
          <w:szCs w:val="24"/>
        </w:rPr>
        <w:t xml:space="preserve"> 分加分因素由考核领导小组根据企业的整体情况予以综合平衡。</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第六条 重大不良事项扣分原则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对被考核企业在考核期间（年度）发生以下重大不良事项，应当予以扣分：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（一）发生属于当期责任的重大资产损失事项，损失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金额超过平均资产总额 1％的，或者资产损失金额未超过平均资产总额 1％，但性质</w:t>
      </w:r>
      <w:r>
        <w:rPr>
          <w:rFonts w:hint="eastAsia" w:ascii="SimHei" w:hAnsi="SimHei" w:eastAsia="黑体" w:cs="楷体"/>
          <w:w w:val="105"/>
          <w:sz w:val="24"/>
          <w:szCs w:val="24"/>
        </w:rPr>
        <w:t>严重并造成重大社会影响的，扣 5 分。正常的资产减值准备计提不在此列。</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（二）发生重大安全生产与质量事故，根据事故等级，扣 3～5 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（三）存在账外资产，某集团合并资产总额 10％以上的，扣 3～5 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（四</w:t>
      </w:r>
      <w:r>
        <w:rPr>
          <w:rFonts w:hint="eastAsia" w:ascii="SimHei" w:hAnsi="SimHei" w:eastAsia="黑体" w:cs="楷体"/>
          <w:spacing w:val="-33"/>
          <w:sz w:val="24"/>
          <w:szCs w:val="24"/>
        </w:rPr>
        <w:t>）</w:t>
      </w:r>
      <w:r>
        <w:rPr>
          <w:rFonts w:hint="eastAsia" w:ascii="SimHei" w:hAnsi="SimHei" w:eastAsia="黑体" w:cs="楷体"/>
          <w:spacing w:val="-3"/>
          <w:sz w:val="24"/>
          <w:szCs w:val="24"/>
        </w:rPr>
        <w:t xml:space="preserve">存在逾期债务，逾期负债超过总负债的 </w:t>
      </w:r>
      <w:r>
        <w:rPr>
          <w:rFonts w:hint="eastAsia" w:ascii="SimHei" w:hAnsi="SimHei" w:eastAsia="黑体" w:cs="楷体"/>
          <w:spacing w:val="-7"/>
          <w:sz w:val="24"/>
          <w:szCs w:val="24"/>
        </w:rPr>
        <w:t>10</w:t>
      </w:r>
      <w:r>
        <w:rPr>
          <w:rFonts w:hint="eastAsia" w:ascii="SimHei" w:hAnsi="SimHei" w:eastAsia="黑体" w:cs="楷体"/>
          <w:spacing w:val="-2"/>
          <w:sz w:val="24"/>
          <w:szCs w:val="24"/>
        </w:rPr>
        <w:t xml:space="preserve">％，甚至发生严重的债务危机， </w:t>
      </w:r>
      <w:r>
        <w:rPr>
          <w:rFonts w:hint="eastAsia" w:ascii="SimHei" w:hAnsi="SimHei" w:eastAsia="黑体" w:cs="楷体"/>
          <w:spacing w:val="-28"/>
          <w:w w:val="105"/>
          <w:sz w:val="24"/>
          <w:szCs w:val="24"/>
        </w:rPr>
        <w:t xml:space="preserve">扣 </w:t>
      </w:r>
      <w:r>
        <w:rPr>
          <w:rFonts w:hint="eastAsia" w:ascii="SimHei" w:hAnsi="SimHei" w:eastAsia="黑体" w:cs="楷体"/>
          <w:w w:val="105"/>
          <w:sz w:val="24"/>
          <w:szCs w:val="24"/>
        </w:rPr>
        <w:t>2～5</w:t>
      </w:r>
      <w:r>
        <w:rPr>
          <w:rFonts w:hint="eastAsia" w:ascii="SimHei" w:hAnsi="SimHei" w:eastAsia="黑体" w:cs="楷体"/>
          <w:spacing w:val="-17"/>
          <w:w w:val="105"/>
          <w:sz w:val="24"/>
          <w:szCs w:val="24"/>
        </w:rPr>
        <w:t xml:space="preserve"> 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（五）市国资委认定的其它事项（在每年的《经营业绩考核通知书》中予以明 </w:t>
      </w:r>
      <w:r>
        <w:rPr>
          <w:rFonts w:hint="eastAsia" w:ascii="SimHei" w:hAnsi="SimHei" w:eastAsia="黑体" w:cs="楷体"/>
          <w:spacing w:val="2"/>
          <w:w w:val="105"/>
          <w:sz w:val="24"/>
          <w:szCs w:val="24"/>
        </w:rPr>
        <w:t>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对存在扣分事项的，应当与企业和有关部门进行核实，获得必要的外部证据， </w:t>
      </w:r>
      <w:r>
        <w:rPr>
          <w:rFonts w:hint="eastAsia" w:ascii="SimHei" w:hAnsi="SimHei" w:eastAsia="黑体" w:cs="楷体"/>
          <w:spacing w:val="2"/>
          <w:w w:val="105"/>
          <w:sz w:val="24"/>
          <w:szCs w:val="24"/>
        </w:rPr>
        <w:t>并在企业综合绩效评价报告中加以单独说明。</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w w:val="105"/>
          <w:sz w:val="28"/>
          <w:szCs w:val="28"/>
        </w:rPr>
        <w:t>考核分级</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第七条 根据企业负责人年度经营业绩考核的综合得分，考核结果分为优（A）、</w:t>
      </w:r>
      <w:r>
        <w:rPr>
          <w:rFonts w:hint="eastAsia" w:ascii="SimHei" w:hAnsi="SimHei" w:eastAsia="黑体" w:cs="楷体"/>
          <w:w w:val="105"/>
          <w:sz w:val="24"/>
          <w:szCs w:val="24"/>
        </w:rPr>
        <w:t>良（B）、中（C）、低（D）、差（E） 五个级别。</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 得分达到 115 分以上（含 115 分）的级别为优（A）。</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（二）得分达到 100 分以上（含 100 分）不足 115 分的级别为良（B）。</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（三）得分达到 80 分以上（含 80 分）不足 100 分的级别为中（C）。</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（四）得分在 70 分以上（含 70 分）不足 80 分的级别为低（D）。</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12" w:firstLineChars="200"/>
        <w:jc w:val="both"/>
        <w:textAlignment w:val="auto"/>
        <w:rPr>
          <w:rFonts w:hint="eastAsia" w:ascii="楷体" w:hAnsi="楷体" w:eastAsia="楷体" w:cs="楷体"/>
          <w:spacing w:val="2"/>
          <w:w w:val="105"/>
          <w:sz w:val="24"/>
          <w:szCs w:val="24"/>
        </w:rPr>
      </w:pPr>
      <w:r>
        <w:rPr>
          <w:rFonts w:hint="eastAsia" w:ascii="SimHei" w:hAnsi="SimHei" w:eastAsia="黑体" w:cs="楷体"/>
          <w:spacing w:val="2"/>
          <w:w w:val="105"/>
          <w:sz w:val="24"/>
          <w:szCs w:val="24"/>
        </w:rPr>
        <w:t>（五）</w:t>
      </w:r>
      <w:r>
        <w:rPr>
          <w:rFonts w:hint="eastAsia" w:ascii="SimHei" w:hAnsi="SimHei" w:eastAsia="黑体" w:cs="楷体"/>
          <w:spacing w:val="-22"/>
          <w:w w:val="105"/>
          <w:sz w:val="24"/>
          <w:szCs w:val="24"/>
        </w:rPr>
        <w:t xml:space="preserve">得分在 </w:t>
      </w:r>
      <w:r>
        <w:rPr>
          <w:rFonts w:hint="eastAsia" w:ascii="SimHei" w:hAnsi="SimHei" w:eastAsia="黑体" w:cs="楷体"/>
          <w:w w:val="105"/>
          <w:sz w:val="24"/>
          <w:szCs w:val="24"/>
        </w:rPr>
        <w:t>70</w:t>
      </w:r>
      <w:r>
        <w:rPr>
          <w:rFonts w:hint="eastAsia" w:ascii="SimHei" w:hAnsi="SimHei" w:eastAsia="黑体" w:cs="楷体"/>
          <w:spacing w:val="-10"/>
          <w:w w:val="105"/>
          <w:sz w:val="24"/>
          <w:szCs w:val="24"/>
        </w:rPr>
        <w:t xml:space="preserve"> 分以下的级别为差</w:t>
      </w:r>
      <w:r>
        <w:rPr>
          <w:rFonts w:hint="eastAsia" w:ascii="SimHei" w:hAnsi="SimHei" w:eastAsia="黑体" w:cs="楷体"/>
          <w:spacing w:val="1"/>
          <w:w w:val="105"/>
          <w:sz w:val="24"/>
          <w:szCs w:val="24"/>
        </w:rPr>
        <w:t>（E）</w:t>
      </w:r>
      <w:r>
        <w:rPr>
          <w:rFonts w:hint="eastAsia" w:ascii="SimHei" w:hAnsi="SimHei" w:eastAsia="黑体" w:cs="楷体"/>
          <w:spacing w:val="2"/>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w w:val="105"/>
          <w:sz w:val="28"/>
          <w:szCs w:val="28"/>
        </w:rPr>
        <w:t>第四章 考核方式及程序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第八条 考核方式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年度业绩考核采取被考核企业书面报告及相关资料送达，分类集中会审与随机 实地抽检相结合的方式进行考核。分类集中会审的具体实施方案在《经营业绩考核 </w:t>
      </w:r>
      <w:r>
        <w:rPr>
          <w:rFonts w:hint="eastAsia" w:ascii="SimHei" w:hAnsi="SimHei" w:eastAsia="黑体" w:cs="楷体"/>
          <w:spacing w:val="2"/>
          <w:w w:val="105"/>
          <w:sz w:val="24"/>
          <w:szCs w:val="24"/>
        </w:rPr>
        <w:t>通知书》中明确。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第九条 考核程序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根据市国资委同企业签订的年度或任期经营业绩责任书确定的指标体系，年度 </w:t>
      </w:r>
      <w:r>
        <w:rPr>
          <w:rFonts w:hint="eastAsia" w:ascii="SimHei" w:hAnsi="SimHei" w:eastAsia="黑体" w:cs="楷体"/>
          <w:spacing w:val="2"/>
          <w:w w:val="105"/>
          <w:sz w:val="24"/>
          <w:szCs w:val="24"/>
        </w:rPr>
        <w:t>业绩考核按下列步骤组织实施：</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（一）下达《经营业绩考核通知书》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由考核领导小组办公室向被考核企业下达《经营业绩考核通知书》，通知书告 知考核的时间、地点、分类集中会审的具体实施方案、企业应准备的资料、该年度 </w:t>
      </w:r>
      <w:r>
        <w:rPr>
          <w:rFonts w:hint="eastAsia" w:ascii="SimHei" w:hAnsi="SimHei" w:eastAsia="黑体" w:cs="楷体"/>
          <w:spacing w:val="2"/>
          <w:w w:val="105"/>
          <w:sz w:val="24"/>
          <w:szCs w:val="24"/>
        </w:rPr>
        <w:t>市国资委认定的其它加分、扣分事项等。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（二）收集、核实考核基础资料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1、收集并调整、核实基础财务数据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年度业绩考核基础财务数据以市国资委审核确认的财务决算合并报表数据为准。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企业考核期间会计政策、会计估计与备案发生变更的，需向市国资委专题报告， </w:t>
      </w:r>
      <w:r>
        <w:rPr>
          <w:rFonts w:hint="eastAsia" w:ascii="SimHei" w:hAnsi="SimHei" w:eastAsia="黑体" w:cs="楷体"/>
          <w:w w:val="105"/>
          <w:sz w:val="24"/>
          <w:szCs w:val="24"/>
        </w:rPr>
        <w:t>经批准后方能调整考核基础数据，以保持数据口径一致。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企业考核期间发生资产经批准无偿划入划出的，应当按照重要性原则调整考核 基础数据。原则上划入企业应纳入考核范围，无偿划出、关闭、破产（含进入破产 </w:t>
      </w:r>
      <w:r>
        <w:rPr>
          <w:rFonts w:hint="eastAsia" w:ascii="SimHei" w:hAnsi="SimHei" w:eastAsia="黑体" w:cs="楷体"/>
          <w:spacing w:val="2"/>
          <w:w w:val="105"/>
          <w:sz w:val="24"/>
          <w:szCs w:val="24"/>
        </w:rPr>
        <w:t>程序）企业，不纳入考核范围。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企业被出具非标准无保留意见审计报告的，应当根据审计报告披露的影响企业 </w:t>
      </w:r>
      <w:r>
        <w:rPr>
          <w:rFonts w:hint="eastAsia" w:ascii="SimHei" w:hAnsi="SimHei" w:eastAsia="黑体" w:cs="楷体"/>
          <w:spacing w:val="2"/>
          <w:w w:val="105"/>
          <w:sz w:val="24"/>
          <w:szCs w:val="24"/>
        </w:rPr>
        <w:t>经营成果的重大事项，调整评价基础数据。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市国资委在年度财务决算批复中要求企业纠正、整改，并影响企业财务会计报 </w:t>
      </w:r>
      <w:r>
        <w:rPr>
          <w:rFonts w:hint="eastAsia" w:ascii="SimHei" w:hAnsi="SimHei" w:eastAsia="黑体" w:cs="楷体"/>
          <w:spacing w:val="2"/>
          <w:w w:val="105"/>
          <w:sz w:val="24"/>
          <w:szCs w:val="24"/>
        </w:rPr>
        <w:t>表、能够确认具体影响金额的，应当根据批复调整评价基础数据。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企业在评价期间损益中消化处理以前年度或上一任期资产损失的，承担国家某 项特殊任务或落实国家专项政策对财务状况和经营成果产生重大影响的，经国资委 </w:t>
      </w:r>
      <w:r>
        <w:rPr>
          <w:rFonts w:hint="eastAsia" w:ascii="SimHei" w:hAnsi="SimHei" w:eastAsia="黑体" w:cs="楷体"/>
          <w:spacing w:val="2"/>
          <w:w w:val="105"/>
          <w:sz w:val="24"/>
          <w:szCs w:val="24"/>
        </w:rPr>
        <w:t>认定后，可作为客观因素调整评价基础数据。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对财务决算报表上无法反映的定量指标，由市国资委委派中介机构进行专项审 </w:t>
      </w:r>
      <w:r>
        <w:rPr>
          <w:rFonts w:hint="eastAsia" w:ascii="SimHei" w:hAnsi="SimHei" w:eastAsia="黑体" w:cs="楷体"/>
          <w:spacing w:val="2"/>
          <w:w w:val="105"/>
          <w:sz w:val="24"/>
          <w:szCs w:val="24"/>
        </w:rPr>
        <w:t>计测算。</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2、企业自查并报送考核基础资料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各企业按照通知书的要求，对照记分标准自查打分，同时撰写年度业绩考核</w:t>
      </w:r>
      <w:r>
        <w:rPr>
          <w:rFonts w:hint="eastAsia" w:ascii="SimHei" w:hAnsi="SimHei" w:eastAsia="黑体" w:cs="楷体"/>
          <w:color w:val="212121"/>
          <w:sz w:val="24"/>
          <w:szCs w:val="24"/>
        </w:rPr>
        <w:t xml:space="preserve">自 </w:t>
      </w:r>
      <w:r>
        <w:rPr>
          <w:rFonts w:hint="eastAsia" w:ascii="SimHei" w:hAnsi="SimHei" w:eastAsia="黑体" w:cs="楷体"/>
          <w:color w:val="212121"/>
          <w:spacing w:val="2"/>
          <w:w w:val="105"/>
          <w:sz w:val="24"/>
          <w:szCs w:val="24"/>
        </w:rPr>
        <w:t>查报告</w:t>
      </w:r>
      <w:r>
        <w:rPr>
          <w:rFonts w:hint="eastAsia" w:ascii="SimHei" w:hAnsi="SimHei" w:eastAsia="黑体" w:cs="楷体"/>
          <w:spacing w:val="2"/>
          <w:w w:val="105"/>
          <w:sz w:val="24"/>
          <w:szCs w:val="24"/>
        </w:rPr>
        <w:t>，将报告及考核有关资料报市国资委业绩考核领导小组办公室。</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3、收集非财务指标资料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考核小组办公室根据企业自查报告，采取听取汇报、访谈、问卷调查等方式， </w:t>
      </w:r>
      <w:r>
        <w:rPr>
          <w:rFonts w:hint="eastAsia" w:ascii="SimHei" w:hAnsi="SimHei" w:eastAsia="黑体" w:cs="楷体"/>
          <w:spacing w:val="2"/>
          <w:w w:val="105"/>
          <w:sz w:val="24"/>
          <w:szCs w:val="24"/>
        </w:rPr>
        <w:t>提前充分收集并认真整理非财务指标资料。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（三）召开考核评议会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根据分类集中会审的具体实施方案，由考核小组主持召开考核评议会，按照下 </w:t>
      </w:r>
      <w:r>
        <w:rPr>
          <w:rFonts w:hint="eastAsia" w:ascii="SimHei" w:hAnsi="SimHei" w:eastAsia="黑体" w:cs="楷体"/>
          <w:spacing w:val="2"/>
          <w:w w:val="105"/>
          <w:sz w:val="24"/>
          <w:szCs w:val="24"/>
        </w:rPr>
        <w:t>列步骤组织实施：</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1、听取企业自查汇报，现场核实考核资料。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2、考核小组对照考核标准现场评分。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3、考核小组汇总考核初步评分结果。</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4、考核小组向企业通报初步评分结果。</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（四）汇总并审核考核结果</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业绩考核领导小组办公室汇总各考核小组的考核结果，向考核领导小组汇报。 </w:t>
      </w:r>
      <w:r>
        <w:rPr>
          <w:rFonts w:hint="eastAsia" w:ascii="SimHei" w:hAnsi="SimHei" w:eastAsia="黑体" w:cs="楷体"/>
          <w:spacing w:val="2"/>
          <w:w w:val="105"/>
          <w:sz w:val="24"/>
          <w:szCs w:val="24"/>
        </w:rPr>
        <w:t>经考核领导小组审核认定后的结果为最终结果。</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（五）向企业通报考核结果并进行考核</w:t>
      </w:r>
      <w:r>
        <w:rPr>
          <w:rFonts w:hint="eastAsia" w:ascii="SimHei" w:hAnsi="SimHei" w:eastAsia="黑体" w:cs="楷体"/>
          <w:color w:val="212121"/>
          <w:w w:val="105"/>
          <w:sz w:val="24"/>
          <w:szCs w:val="24"/>
        </w:rPr>
        <w:t>工作总结</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8"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 xml:space="preserve">考核领导小组以书面形式向企业通报最终考核结果。考核领导小组办公室负责 </w:t>
      </w:r>
      <w:r>
        <w:rPr>
          <w:rFonts w:hint="eastAsia" w:ascii="SimHei" w:hAnsi="SimHei" w:eastAsia="黑体" w:cs="楷体"/>
          <w:spacing w:val="2"/>
          <w:w w:val="105"/>
          <w:sz w:val="24"/>
          <w:szCs w:val="24"/>
        </w:rPr>
        <w:t>办理考核结果的薪酬兑现，并建立考核档案。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w w:val="105"/>
          <w:sz w:val="28"/>
          <w:szCs w:val="28"/>
        </w:rPr>
        <w:t>第五章 考核的组织形式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 xml:space="preserve">第十条 成立市国资委经营业绩考核领导小组，由市国资委主要领导任组长，分管业绩考核工作的委领导任副组长，有关委领导任成员。市国资委业绩考核处负责 考核领导小组日常工作。考核领导小组根据年度经营业绩考核的需要组织相关人员 </w:t>
      </w:r>
      <w:r>
        <w:rPr>
          <w:rFonts w:hint="eastAsia" w:ascii="SimHei" w:hAnsi="SimHei" w:eastAsia="黑体" w:cs="楷体"/>
          <w:w w:val="105"/>
          <w:sz w:val="24"/>
          <w:szCs w:val="24"/>
        </w:rPr>
        <w:t>组成考核小组，负责主持考核评议会并对企业指标完成情况进行初步计分。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第六章 附则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第十一条 各企业可参照此办法制定企业内部或子公司的业绩考核计分办法。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第十二条 本办法由市国资委负责解释，自下发之日起实施。</w:t>
      </w:r>
    </w:p>
    <w:sectPr>
      <w:pgSz w:w="11910" w:h="16840"/>
      <w:pgMar w:top="850" w:right="1474" w:bottom="850" w:left="1474" w:header="624" w:footer="624"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w:pict>
        <v:shape id="_x0000_s4097" o:spid="_x0000_s4097" o:spt="202" type="#_x0000_t202" style="position:absolute;left:0pt;margin-left:185.05pt;margin-top:-12.6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before="0" w:after="0" w:line="14" w:lineRule="auto"/>
      <w:ind w:left="0" w:leftChars="0" w:right="0" w:rightChars="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FEFE8"/>
    <w:multiLevelType w:val="singleLevel"/>
    <w:tmpl w:val="CCAFEFE8"/>
    <w:lvl w:ilvl="0" w:tentative="0">
      <w:start w:val="1"/>
      <w:numFmt w:val="chineseCounting"/>
      <w:suff w:val="space"/>
      <w:lvlText w:val="第%1章"/>
      <w:lvlJc w:val="left"/>
      <w:pPr>
        <w:ind w:left="1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17D11C52"/>
    <w:rsid w:val="36715C9C"/>
    <w:rsid w:val="533F3B59"/>
    <w:rsid w:val="53DF3F90"/>
    <w:rsid w:val="79652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30"/>
    </w:pPr>
    <w:rPr>
      <w:rFonts w:ascii="宋体" w:hAnsi="宋体" w:eastAsia="宋体" w:cs="宋体"/>
      <w:sz w:val="22"/>
      <w:szCs w:val="22"/>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2019-09-17T08:48:00Z</dcterms:created>
  <dc:creator>Administrator</dc:creator>
  <cp:lastModifiedBy>Administrator</cp:lastModifiedBy>
  <dcterms:modified xsi:type="dcterms:W3CDTF">2019-10-15T06:16:49Z</dcterms:modified>
  <dc:title>Microsoft Word - 国有企业薪酬体系设计案例.doc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