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D9" w:rsidRPr="00FE00D7" w:rsidRDefault="00D37BD9" w:rsidP="00FE00D7">
      <w:pPr>
        <w:widowControl/>
        <w:spacing w:afterLines="100" w:after="312" w:line="360" w:lineRule="auto"/>
        <w:jc w:val="center"/>
        <w:outlineLvl w:val="1"/>
        <w:rPr>
          <w:rFonts w:ascii="楷体" w:eastAsia="楷体" w:hAnsi="楷体" w:cs="宋体"/>
          <w:b/>
          <w:color w:val="000000"/>
          <w:kern w:val="36"/>
          <w:sz w:val="36"/>
        </w:rPr>
      </w:pPr>
      <w:bookmarkStart w:id="0" w:name="_GoBack"/>
      <w:bookmarkEnd w:id="0"/>
      <w:r w:rsidRPr="00FE00D7">
        <w:rPr>
          <w:rFonts w:ascii="SimHei" w:eastAsia="黑体" w:hAnsi="SimHei" w:cs="宋体"/>
          <w:b/>
          <w:color w:val="000000"/>
          <w:kern w:val="36"/>
          <w:sz w:val="36"/>
        </w:rPr>
        <w:t>高管人员</w:t>
      </w:r>
      <w:r w:rsidRPr="00FE00D7">
        <w:rPr>
          <w:rFonts w:ascii="SimHei" w:eastAsia="黑体" w:hAnsi="SimHei" w:cs="宋体" w:hint="eastAsia"/>
          <w:b/>
          <w:color w:val="000000"/>
          <w:kern w:val="36"/>
          <w:sz w:val="36"/>
        </w:rPr>
        <w:t>年薪</w:t>
      </w:r>
      <w:r w:rsidRPr="00FE00D7">
        <w:rPr>
          <w:rFonts w:ascii="SimHei" w:eastAsia="黑体" w:hAnsi="SimHei" w:cs="宋体"/>
          <w:b/>
          <w:color w:val="000000"/>
          <w:kern w:val="36"/>
          <w:sz w:val="36"/>
        </w:rPr>
        <w:t>考核办法</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为符合市场经济发展的需要，促进企业价值最大化，按照现代公司治理的要求，加强制度化建设，强化董事会在重大决策中的作用，不断完善内部激励与约束机制，形成高管利益、公司利益、股东利益的有机统一，公司特制定本办法。</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一、基本原则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(一)坚持符合社会主义市场经济的需要，促进企业价值最大化的原则；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(二)坚持激励与约束并重、权利与责任对等、利益与风险共担的原则；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(三)坚持短期激励与长期激励相结合的原则；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(四)坚持以股东权益最大化为导向，以企业经营业绩为中心，全面评估高管人员在企业经营决策中的特殊价值及其人力资本价值。</w:t>
      </w:r>
    </w:p>
    <w:p w:rsidR="00D37BD9" w:rsidRPr="00FE00D7" w:rsidRDefault="00D37BD9" w:rsidP="00FE00D7">
      <w:pPr>
        <w:widowControl/>
        <w:numPr>
          <w:ilvl w:val="0"/>
          <w:numId w:val="1"/>
        </w:numPr>
        <w:spacing w:line="360" w:lineRule="auto"/>
        <w:ind w:left="0" w:firstLineChars="200" w:firstLine="480"/>
        <w:rPr>
          <w:rFonts w:ascii="楷体" w:eastAsia="楷体" w:hAnsi="楷体" w:cs="宋体"/>
          <w:vanish/>
          <w:color w:val="E6E6E6"/>
          <w:kern w:val="0"/>
          <w:sz w:val="24"/>
        </w:rPr>
      </w:pPr>
      <w:r w:rsidRPr="00FE00D7">
        <w:rPr>
          <w:rFonts w:ascii="SimHei" w:eastAsia="黑体" w:hAnsi="SimHei" w:cs="宋体"/>
          <w:vanish/>
          <w:color w:val="E6E6E6"/>
          <w:kern w:val="0"/>
          <w:sz w:val="24"/>
        </w:rPr>
        <w:t xml:space="preserve">· </w:t>
      </w:r>
      <w:r w:rsidRPr="00FE00D7">
        <w:rPr>
          <w:rFonts w:ascii="SimHei" w:eastAsia="黑体" w:hAnsi="SimHei" w:cs="宋体"/>
          <w:vanish/>
          <w:color w:val="E6E6E6"/>
          <w:kern w:val="0"/>
          <w:sz w:val="24"/>
        </w:rPr>
      </w:r>
      <w:hyperlink r:id="rId8" w:tgtFrame="_blank" w:tooltip="" w:history="1">
        <w:r w:rsidRPr="00FE00D7">
          <w:rPr>
            <w:rFonts w:ascii="楷体" w:eastAsia="楷体" w:hAnsi="楷体" w:cs="宋体"/>
            <w:vanish/>
            <w:color w:val="CC0000"/>
            <w:kern w:val="0"/>
            <w:sz w:val="24"/>
          </w:rPr>
          <w:t>绕城经济带高峰论坛</w:t>
        </w:r>
      </w:hyperlink>
    </w:p>
    <w:p w:rsidR="00D37BD9" w:rsidRPr="00FE00D7" w:rsidRDefault="00D37BD9" w:rsidP="00FE00D7">
      <w:pPr>
        <w:widowControl/>
        <w:numPr>
          <w:ilvl w:val="0"/>
          <w:numId w:val="1"/>
        </w:numPr>
        <w:spacing w:line="360" w:lineRule="auto"/>
        <w:ind w:left="0" w:firstLineChars="200" w:firstLine="480"/>
        <w:rPr>
          <w:rFonts w:ascii="楷体" w:eastAsia="楷体" w:hAnsi="楷体" w:cs="宋体"/>
          <w:vanish/>
          <w:color w:val="E6E6E6"/>
          <w:kern w:val="0"/>
          <w:sz w:val="24"/>
        </w:rPr>
      </w:pPr>
      <w:r w:rsidRPr="00FE00D7">
        <w:rPr>
          <w:rFonts w:ascii="SimHei" w:eastAsia="黑体" w:hAnsi="SimHei" w:cs="宋体"/>
          <w:vanish/>
          <w:color w:val="E6E6E6"/>
          <w:kern w:val="0"/>
          <w:sz w:val="24"/>
        </w:rPr>
        <w:t xml:space="preserve">· </w:t>
      </w:r>
      <w:r w:rsidRPr="00FE00D7">
        <w:rPr>
          <w:rFonts w:ascii="SimHei" w:eastAsia="黑体" w:hAnsi="SimHei" w:cs="宋体"/>
          <w:vanish/>
          <w:color w:val="E6E6E6"/>
          <w:kern w:val="0"/>
          <w:sz w:val="24"/>
        </w:rPr>
      </w:r>
      <w:hyperlink r:id="rId9" w:tgtFrame="_blank" w:tooltip="" w:history="1">
        <w:r w:rsidRPr="00FE00D7">
          <w:rPr>
            <w:rFonts w:ascii="楷体" w:eastAsia="楷体" w:hAnsi="楷体" w:cs="宋体"/>
            <w:vanish/>
            <w:color w:val="0B3B8C"/>
            <w:kern w:val="0"/>
            <w:sz w:val="24"/>
          </w:rPr>
          <w:t>五大同心工程有奖征文</w:t>
        </w:r>
      </w:hyperlink>
    </w:p>
    <w:p w:rsidR="00D37BD9" w:rsidRPr="00FE00D7" w:rsidRDefault="00D37BD9" w:rsidP="00FE00D7">
      <w:pPr>
        <w:widowControl/>
        <w:numPr>
          <w:ilvl w:val="0"/>
          <w:numId w:val="1"/>
        </w:numPr>
        <w:spacing w:line="360" w:lineRule="auto"/>
        <w:ind w:left="0" w:firstLineChars="200" w:firstLine="480"/>
        <w:rPr>
          <w:rFonts w:ascii="楷体" w:eastAsia="楷体" w:hAnsi="楷体" w:cs="宋体"/>
          <w:vanish/>
          <w:color w:val="E6E6E6"/>
          <w:kern w:val="0"/>
          <w:sz w:val="24"/>
        </w:rPr>
      </w:pPr>
      <w:r w:rsidRPr="00FE00D7">
        <w:rPr>
          <w:rFonts w:ascii="SimHei" w:eastAsia="黑体" w:hAnsi="SimHei" w:cs="宋体"/>
          <w:vanish/>
          <w:color w:val="E6E6E6"/>
          <w:kern w:val="0"/>
          <w:sz w:val="24"/>
        </w:rPr>
        <w:t xml:space="preserve">· </w:t>
      </w:r>
      <w:r w:rsidRPr="00FE00D7">
        <w:rPr>
          <w:rFonts w:ascii="SimHei" w:eastAsia="黑体" w:hAnsi="SimHei" w:cs="宋体"/>
          <w:vanish/>
          <w:color w:val="E6E6E6"/>
          <w:kern w:val="0"/>
          <w:sz w:val="24"/>
        </w:rPr>
      </w:r>
      <w:hyperlink r:id="rId10" w:tgtFrame="_blank" w:tooltip="" w:history="1">
        <w:r w:rsidRPr="00FE00D7">
          <w:rPr>
            <w:rFonts w:ascii="楷体" w:eastAsia="楷体" w:hAnsi="楷体" w:cs="宋体"/>
            <w:vanish/>
            <w:color w:val="0B3B8C"/>
            <w:kern w:val="0"/>
            <w:sz w:val="24"/>
          </w:rPr>
          <w:t>节能我行动低碳新生活</w:t>
        </w:r>
      </w:hyperlink>
    </w:p>
    <w:p w:rsidR="00D37BD9" w:rsidRPr="00FE00D7" w:rsidRDefault="00D37BD9" w:rsidP="00FE00D7">
      <w:pPr>
        <w:widowControl/>
        <w:numPr>
          <w:ilvl w:val="0"/>
          <w:numId w:val="1"/>
        </w:numPr>
        <w:spacing w:line="360" w:lineRule="auto"/>
        <w:ind w:left="0" w:firstLineChars="200" w:firstLine="480"/>
        <w:rPr>
          <w:rFonts w:ascii="楷体" w:eastAsia="楷体" w:hAnsi="楷体" w:cs="宋体"/>
          <w:vanish/>
          <w:color w:val="E6E6E6"/>
          <w:kern w:val="0"/>
          <w:sz w:val="24"/>
        </w:rPr>
      </w:pPr>
      <w:r w:rsidRPr="00FE00D7">
        <w:rPr>
          <w:rFonts w:ascii="SimHei" w:eastAsia="黑体" w:hAnsi="SimHei" w:cs="宋体"/>
          <w:vanish/>
          <w:color w:val="E6E6E6"/>
          <w:kern w:val="0"/>
          <w:sz w:val="24"/>
        </w:rPr>
        <w:t xml:space="preserve">· </w:t>
      </w:r>
      <w:r w:rsidRPr="00FE00D7">
        <w:rPr>
          <w:rFonts w:ascii="SimHei" w:eastAsia="黑体" w:hAnsi="SimHei" w:cs="宋体"/>
          <w:vanish/>
          <w:color w:val="E6E6E6"/>
          <w:kern w:val="0"/>
          <w:sz w:val="24"/>
        </w:rPr>
      </w:r>
      <w:hyperlink r:id="rId11" w:tgtFrame="_blank" w:tooltip="" w:history="1">
        <w:r w:rsidRPr="00FE00D7">
          <w:rPr>
            <w:rFonts w:ascii="楷体" w:eastAsia="楷体" w:hAnsi="楷体" w:cs="宋体"/>
            <w:vanish/>
            <w:color w:val="0B3B8C"/>
            <w:kern w:val="0"/>
            <w:sz w:val="24"/>
          </w:rPr>
          <w:t>第四届重庆读书月活动</w:t>
        </w:r>
      </w:hyperlink>
    </w:p>
    <w:p w:rsidR="00D37BD9" w:rsidRPr="00FE00D7" w:rsidRDefault="00D37BD9" w:rsidP="00FE00D7">
      <w:pPr>
        <w:widowControl/>
        <w:numPr>
          <w:ilvl w:val="0"/>
          <w:numId w:val="1"/>
        </w:numPr>
        <w:spacing w:line="360" w:lineRule="auto"/>
        <w:ind w:left="0" w:firstLineChars="200" w:firstLine="480"/>
        <w:rPr>
          <w:rFonts w:ascii="楷体" w:eastAsia="楷体" w:hAnsi="楷体" w:cs="宋体"/>
          <w:vanish/>
          <w:color w:val="E6E6E6"/>
          <w:kern w:val="0"/>
          <w:sz w:val="24"/>
        </w:rPr>
      </w:pPr>
      <w:r w:rsidRPr="00FE00D7">
        <w:rPr>
          <w:rFonts w:ascii="SimHei" w:eastAsia="黑体" w:hAnsi="SimHei" w:cs="宋体"/>
          <w:vanish/>
          <w:color w:val="E6E6E6"/>
          <w:kern w:val="0"/>
          <w:sz w:val="24"/>
        </w:rPr>
        <w:t xml:space="preserve">· </w:t>
      </w:r>
      <w:r w:rsidRPr="00FE00D7">
        <w:rPr>
          <w:rFonts w:ascii="SimHei" w:eastAsia="黑体" w:hAnsi="SimHei" w:cs="宋体"/>
          <w:vanish/>
          <w:color w:val="E6E6E6"/>
          <w:kern w:val="0"/>
          <w:sz w:val="24"/>
        </w:rPr>
      </w:r>
      <w:hyperlink r:id="rId12" w:tgtFrame="_blank" w:tooltip="" w:history="1">
        <w:r w:rsidRPr="00FE00D7">
          <w:rPr>
            <w:rFonts w:ascii="楷体" w:eastAsia="楷体" w:hAnsi="楷体" w:cs="宋体"/>
            <w:vanish/>
            <w:color w:val="0B3B8C"/>
            <w:kern w:val="0"/>
            <w:sz w:val="24"/>
          </w:rPr>
          <w:t>2011晨报盛夏生活季</w:t>
        </w:r>
      </w:hyperlink>
    </w:p>
    <w:p w:rsidR="00D37BD9" w:rsidRPr="00FE00D7" w:rsidRDefault="00D37BD9" w:rsidP="00FE00D7">
      <w:pPr>
        <w:widowControl/>
        <w:numPr>
          <w:ilvl w:val="0"/>
          <w:numId w:val="1"/>
        </w:numPr>
        <w:spacing w:line="360" w:lineRule="auto"/>
        <w:ind w:left="0" w:firstLineChars="200" w:firstLine="480"/>
        <w:rPr>
          <w:rFonts w:ascii="楷体" w:eastAsia="楷体" w:hAnsi="楷体" w:cs="宋体"/>
          <w:vanish/>
          <w:color w:val="E6E6E6"/>
          <w:kern w:val="0"/>
          <w:sz w:val="24"/>
        </w:rPr>
      </w:pPr>
      <w:r w:rsidRPr="00FE00D7">
        <w:rPr>
          <w:rFonts w:ascii="SimHei" w:eastAsia="黑体" w:hAnsi="SimHei" w:cs="宋体"/>
          <w:vanish/>
          <w:color w:val="E6E6E6"/>
          <w:kern w:val="0"/>
          <w:sz w:val="24"/>
        </w:rPr>
        <w:t xml:space="preserve">· </w:t>
      </w:r>
      <w:r w:rsidRPr="00FE00D7">
        <w:rPr>
          <w:rFonts w:ascii="SimHei" w:eastAsia="黑体" w:hAnsi="SimHei" w:cs="宋体"/>
          <w:vanish/>
          <w:color w:val="E6E6E6"/>
          <w:kern w:val="0"/>
          <w:sz w:val="24"/>
        </w:rPr>
      </w:r>
      <w:hyperlink r:id="rId13" w:tgtFrame="_blank" w:tooltip="" w:history="1">
        <w:r w:rsidRPr="00FE00D7">
          <w:rPr>
            <w:rFonts w:ascii="楷体" w:eastAsia="楷体" w:hAnsi="楷体" w:cs="宋体"/>
            <w:vanish/>
            <w:color w:val="0B3B8C"/>
            <w:kern w:val="0"/>
            <w:sz w:val="24"/>
          </w:rPr>
          <w:t>生态珍品中秋送礼佳品</w:t>
        </w:r>
      </w:hyperlink>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二、适用对象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本办法的适用对象为公司董事长、总裁、监事会主席及其他在公司领取薪酬的高级管理人员，本办法统称为高管人员。</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三、高管薪酬的构成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结合国际市场惯例与本公司自身情况，公司高管人员的年度薪酬实行年薪制，高管薪酬由三个基本部分组成：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(一)基本年薪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(二)基本绩效年薪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(三)特别绩效奖励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四、薪酬的确定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(一)薪酬构成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公司高管人员的年度薪酬，由基本年薪、基本绩效年薪和特别绩效奖励三部分组成，计算公式如下：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年薪总额 = 基本年薪 + 基本绩效年薪 + 特别绩效奖励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基本年薪不予考核，基本绩效年薪与绩效考核挂钩，特别绩效奖励适用于超额完成目标净利润或取得显著管理绩效等情况。</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1、基本年薪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基本年薪即为底薪，平时按月发放；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2、基本绩效年薪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基本绩效年薪=基本绩效年薪基准×年度绩效考核得分；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3、特别绩效奖励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当公司年度净利润超过目标利润，或取得重大管理创新、科技创新、投资取得显著成效、公司获得政府、行业等特别嘉奖的情况下，高管团队可获得一定的特别绩效奖励。</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高管团队成员根据贡献程度领取相应的奖励，奖励方案由董事会薪酬与考核委员会(以下简称：薪酬委员会)制定。</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(二)年薪基准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高管年薪基准综合考虑公司战略发展、市场薪酬行情、高管现有薪酬水平及企业历史沿革等多项因素，本届董事会拟定高管薪酬计算基数为 20</w:t>
      </w:r>
      <w:r w:rsidR="00FE00D7">
        <w:rPr>
          <w:rFonts w:ascii="SimHei" w:eastAsia="黑体" w:hAnsi="SimHei" w:cs="宋体" w:hint="eastAsia"/>
          <w:color w:val="333333"/>
          <w:kern w:val="0"/>
          <w:sz w:val="24"/>
        </w:rPr>
        <w:t>XX</w:t>
      </w:r>
      <w:r w:rsidRPr="00FE00D7">
        <w:rPr>
          <w:rFonts w:ascii="SimHei" w:eastAsia="黑体" w:hAnsi="SimHei" w:cs="宋体"/>
          <w:color w:val="333333"/>
          <w:kern w:val="0"/>
          <w:sz w:val="24"/>
        </w:rPr>
        <w:t>年度薪酬(暨，年薪基准)。</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1、年薪基准由基本年薪和基本绩效年薪组成，不包括特别绩效奖励。</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2、年薪基准实行动态调整，动态调整方案如下：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年薪基准=公司高管上一年度最高年薪基准×(1+年度薪酬增长率)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年度薪酬增长率每年度由薪酬委员会确定，具体考察通货膨胀水平、当年度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员工薪酬增长率、市场薪酬水平等因素，原则上不超过年度员工平均薪酬增长率。</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注 1：公司高管人员中主要负责人的分配系数为 1，其他成员的分配系数由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2 公司根据其工作岗位责任大孝工作任务轻重和承担风险的高低在 0.6～0.9 之间确定；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注 2：高管薪酬均为税后值。</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五、绩效考核与计算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(一)高管基准年薪的结构比例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对高级管理人员主要依据职能定位与工作分工进行绩效考评。</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1、董事长、总裁的基本绩效年薪与公司整体业绩挂钩，主要考评董事会下达的任务目标的完成情况及公司内部管理等；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2、其他高级管理人员考核分管工作的完成情况，同时与公司业绩挂钩。年薪考核比例如下：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高管基准年薪的结构比例表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(单位：万元) 基本绩效年薪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 xml:space="preserve"> 职位名称</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基本年薪</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公司业绩年薪</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 xml:space="preserve">岗位业绩年薪 </w:t>
            </w:r>
          </w:p>
        </w:tc>
      </w:tr>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董事长</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60%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0</w:t>
            </w:r>
          </w:p>
        </w:tc>
      </w:tr>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总裁</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60%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0</w:t>
            </w:r>
          </w:p>
        </w:tc>
      </w:tr>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副总裁</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20%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r>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监事会主席</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20%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r>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总监</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20%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r>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董事会秘书</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20%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r>
      <w:tr w:rsidR="00D37BD9" w:rsidRPr="00FE00D7" w:rsidTr="00FE00D7">
        <w:trPr>
          <w:jc w:val="center"/>
        </w:trPr>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总裁助理</w:t>
            </w:r>
          </w:p>
        </w:tc>
        <w:tc>
          <w:tcPr>
            <w:tcW w:w="2130"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20%</w:t>
            </w:r>
          </w:p>
        </w:tc>
        <w:tc>
          <w:tcPr>
            <w:tcW w:w="2131" w:type="dxa"/>
          </w:tcPr>
          <w:p w:rsidR="00D37BD9" w:rsidRPr="00FE00D7" w:rsidRDefault="00D37BD9" w:rsidP="00FE00D7">
            <w:pPr>
              <w:widowControl/>
              <w:spacing w:line="360" w:lineRule="auto"/>
              <w:rPr>
                <w:rFonts w:ascii="楷体" w:eastAsia="楷体" w:hAnsi="楷体" w:cs="宋体" w:hint="eastAsia"/>
                <w:color w:val="333333"/>
                <w:kern w:val="0"/>
                <w:sz w:val="24"/>
              </w:rPr>
            </w:pPr>
            <w:r w:rsidRPr="00FE00D7">
              <w:rPr>
                <w:rFonts w:ascii="SimHei" w:eastAsia="黑体" w:hAnsi="SimHei" w:cs="宋体"/>
                <w:color w:val="333333"/>
                <w:kern w:val="0"/>
                <w:sz w:val="24"/>
              </w:rPr>
              <w:t>40%</w:t>
            </w:r>
          </w:p>
        </w:tc>
      </w:tr>
    </w:tbl>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公司业绩评估值低于60岗位业绩评估值低于60分，说明 / 分，则不得兑现 则不得兑现60分以上按比例兑现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3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(二)基本绩效年薪的考核计算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1、公司业绩考核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具体如下：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公司业绩考核指标表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指标类别 考核指标 权重 目标值 权重小计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年初经营层确定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主营业务收入 30% 并报薪酬委员会备案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年初经营层确定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经营业绩 归属于母公司的净利润(扣35% 并报薪酬委员会 70%指标 除非经常性损益部分) 备案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年初经营层确定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其他关注类非核心指标 5% 并报薪酬委员会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备案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安全管理 10% 五无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管理指标 20%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内控执行 10% 符合要求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根据公司战略规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战略管理 公司战略的执行和推进 10% 10%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划分解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合计 100%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注 1：公司业绩年薪=公司业绩年薪基准×考核得分/100，由薪酬委员会考核确定。</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注 2：其他关注类非核心指标主要包括净资产收益率、经营活动产生的现金流量净额、股权增值率、EVA 或其他薪酬委员会关注的指标，该类指标主要是与公司年度经营情况相关及薪酬委员会关注的其他指标。</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注 3：战略管理包括战略的分解、执行和推进及资本运作。其中，资本运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作主要是指基于公司战略和经营需要进行的资产调整(包括处置部分资产、对外投资等)和资本市场融资等帮助企业实现价值增值、效益增长的资本经营行为。</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该指标的确定和评价采取经营层根据战略管理情况向薪酬委员会报审的方式进行。</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4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2、岗位业绩考核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根据高管的岗位特点，高管岗位业绩考核与分管领域的绩效挂钩。具体挂钩的方式于年初由经营层确定并报薪酬委员会备案，主要考核高管完成既定目标对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公司整体业绩的贡献。</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高管岗位业绩年薪=岗位业绩年薪基准×岗位绩效得分/100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某集团总裁进行考核，并报薪酬委员会审定。</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六、特别绩效奖励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特别绩效奖励的设立是为了完善内部激励与约束机制，使高管做到责、权、利的有机结合，实现高管利益、公司利益、股东利益的有机统一。特别绩效奖励必须以股东利益最大化为基础，以因高管勤勉尽责、勇于奉献、加大管理创新等为股东所创造的超额价值为前提。</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(1)当公司取得重大管理创新、科技创新、投资取得显著成效、公司获得政府、行业等特别嘉奖的情况下，高管团队可获得一定的特别绩效奖励，具体金额由薪酬委员会确定。</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(2)当公司超额完成目标净利润时可按照(净利润实际完成数-年度目标净利润)×5%计算特别绩效奖励总额。</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为了体现短期激励与长期激励的结合，年度特别绩效奖励按照不超过80%的比例进行发放，余下的特别绩效奖励部分作为当届董事会特别绩效奖励，在每一届董事会届满换届前，经当届薪酬委员会对高管进行考核后发放。</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注：特别绩效奖励是针对整个高管团队的奖励，高管团队成员根据贡献程度领取相应的奖励，具体奖励方案由总裁制定并报薪酬委员会备案。</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 xml:space="preserve">七、附则 </w:t>
      </w:r>
    </w:p>
    <w:p w:rsidR="00D37BD9" w:rsidRPr="00FE00D7" w:rsidRDefault="00D37BD9" w:rsidP="00FE00D7">
      <w:pPr>
        <w:widowControl/>
        <w:spacing w:line="360" w:lineRule="auto"/>
        <w:ind w:firstLineChars="200" w:firstLine="480"/>
        <w:rPr>
          <w:rFonts w:ascii="楷体" w:eastAsia="楷体" w:hAnsi="楷体" w:cs="宋体"/>
          <w:color w:val="333333"/>
          <w:kern w:val="0"/>
          <w:sz w:val="24"/>
        </w:rPr>
      </w:pPr>
      <w:r w:rsidRPr="00FE00D7">
        <w:rPr>
          <w:rFonts w:ascii="SimHei" w:eastAsia="黑体" w:hAnsi="SimHei" w:cs="宋体"/>
          <w:color w:val="333333"/>
          <w:kern w:val="0"/>
          <w:sz w:val="24"/>
        </w:rPr>
        <w:t>本办法未尽事宜由公司董事会负责解释，经公司股东大会审议通过后实施。</w:t>
      </w:r>
    </w:p>
    <w:p w:rsidR="00D37BD9" w:rsidRPr="00FE00D7" w:rsidRDefault="00D37BD9" w:rsidP="007775DA">
      <w:pPr>
        <w:widowControl/>
        <w:spacing w:line="360" w:lineRule="auto"/>
        <w:ind w:firstLineChars="200" w:firstLine="480"/>
        <w:jc w:val="right"/>
        <w:rPr>
          <w:rFonts w:ascii="楷体" w:eastAsia="楷体" w:hAnsi="楷体"/>
          <w:sz w:val="24"/>
        </w:rPr>
      </w:pPr>
      <w:r w:rsidRPr="00FE00D7">
        <w:rPr>
          <w:rFonts w:ascii="SimHei" w:eastAsia="黑体" w:hAnsi="SimHei" w:cs="宋体"/>
          <w:color w:val="333333"/>
          <w:kern w:val="0"/>
          <w:sz w:val="24"/>
        </w:rPr>
        <w:t xml:space="preserve"> 　 </w:t>
      </w:r>
      <w:r w:rsidRPr="00FE00D7">
        <w:rPr>
          <w:rFonts w:ascii="SimHei" w:eastAsia="黑体" w:hAnsi="SimHei" w:cs="宋体" w:hint="eastAsia"/>
          <w:color w:val="333333"/>
          <w:kern w:val="0"/>
          <w:sz w:val="24"/>
        </w:rPr>
        <w:t xml:space="preserve">                                20</w:t>
      </w:r>
      <w:r w:rsidR="007775DA">
        <w:rPr>
          <w:rFonts w:ascii="SimHei" w:eastAsia="黑体" w:hAnsi="SimHei" w:cs="宋体" w:hint="eastAsia"/>
          <w:color w:val="333333"/>
          <w:kern w:val="0"/>
          <w:sz w:val="24"/>
        </w:rPr>
        <w:t>XX</w:t>
      </w:r>
      <w:r w:rsidRPr="00FE00D7">
        <w:rPr>
          <w:rFonts w:ascii="SimHei" w:eastAsia="黑体" w:hAnsi="SimHei" w:cs="宋体"/>
          <w:color w:val="333333"/>
          <w:kern w:val="0"/>
          <w:sz w:val="24"/>
        </w:rPr>
        <w:t>年</w:t>
      </w:r>
      <w:r w:rsidRPr="00FE00D7">
        <w:rPr>
          <w:rFonts w:ascii="SimHei" w:eastAsia="黑体" w:hAnsi="SimHei" w:cs="宋体" w:hint="eastAsia"/>
          <w:color w:val="333333"/>
          <w:kern w:val="0"/>
          <w:sz w:val="24"/>
        </w:rPr>
        <w:t>3</w:t>
      </w:r>
      <w:r w:rsidRPr="00FE00D7">
        <w:rPr>
          <w:rFonts w:ascii="SimHei" w:eastAsia="黑体" w:hAnsi="SimHei" w:cs="宋体"/>
          <w:color w:val="333333"/>
          <w:kern w:val="0"/>
          <w:sz w:val="24"/>
        </w:rPr>
        <w:t>月</w:t>
      </w:r>
      <w:r w:rsidRPr="00FE00D7">
        <w:rPr>
          <w:rFonts w:ascii="SimHei" w:eastAsia="黑体" w:hAnsi="SimHei" w:cs="宋体" w:hint="eastAsia"/>
          <w:color w:val="333333"/>
          <w:kern w:val="0"/>
          <w:sz w:val="24"/>
        </w:rPr>
        <w:t>1</w:t>
      </w:r>
      <w:r w:rsidRPr="00FE00D7">
        <w:rPr>
          <w:rFonts w:ascii="SimHei" w:eastAsia="黑体" w:hAnsi="SimHei" w:cs="宋体"/>
          <w:color w:val="333333"/>
          <w:kern w:val="0"/>
          <w:sz w:val="24"/>
        </w:rPr>
        <w:t>日</w:t>
      </w:r>
    </w:p>
    <w:sectPr w:rsidR="00D37BD9" w:rsidRPr="00FE00D7" w:rsidSect="00FE00D7">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C1" w:rsidRDefault="00423DC1">
      <w:r>
        <w:separator/>
      </w:r>
    </w:p>
  </w:endnote>
  <w:endnote w:type="continuationSeparator" w:id="0">
    <w:p w:rsidR="00423DC1" w:rsidRDefault="0042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D9" w:rsidRDefault="00D37BD9">
    <w:pPr>
      <w:pStyle w:val="a4"/>
    </w:pPr>
    <w:r>
      <w:pict>
        <v:shapetype id="_x0000_t202" coordsize="21600,21600" o:spt="202" path="m,l,21600r21600,l21600,xe">
          <v:stroke joinstyle="miter"/>
          <v:path gradientshapeok="t" o:connecttype="rect"/>
        </v:shapetype>
        <v:shape id="文本框7" o:spid="_x0000_s2049" type="#_x0000_t202" style="position:absolute;margin-left:0;margin-top:0;width:2in;height:2in;z-index:1;mso-wrap-style:none;mso-position-horizontal:center;mso-position-horizontal-relative:margin" filled="f" stroked="f">
          <v:textbox style="mso-fit-shape-to-text:t" inset="0,0,0,0">
            <w:txbxContent>
              <w:p w:rsidR="00D37BD9" w:rsidRPr="00FE00D7" w:rsidRDefault="00D37BD9">
                <w:pPr>
                  <w:snapToGrid w:val="0"/>
                  <w:rPr>
                    <w:rFonts w:ascii="楷体" w:eastAsia="楷体" w:hAnsi="楷体" w:hint="eastAsia"/>
                    <w:sz w:val="18"/>
                    <w:szCs w:val="18"/>
                  </w:rPr>
                </w:pPr>
                <w:r w:rsidRPr="00FE00D7">
                  <w:rPr>
                    <w:rFonts w:ascii="楷体" w:eastAsia="楷体" w:hAnsi="楷体" w:hint="eastAsia"/>
                    <w:sz w:val="18"/>
                    <w:szCs w:val="18"/>
                  </w:rPr>
                  <w:fldChar w:fldCharType="begin"/>
                </w:r>
                <w:r w:rsidRPr="00FE00D7">
                  <w:rPr>
                    <w:rFonts w:ascii="楷体" w:eastAsia="楷体" w:hAnsi="楷体" w:hint="eastAsia"/>
                    <w:sz w:val="18"/>
                    <w:szCs w:val="18"/>
                  </w:rPr>
                  <w:instrText xml:space="preserve"> PAGE  \* MERGEFORMAT </w:instrText>
                </w:r>
                <w:r w:rsidRPr="00FE00D7">
                  <w:rPr>
                    <w:rFonts w:ascii="楷体" w:eastAsia="楷体" w:hAnsi="楷体" w:hint="eastAsia"/>
                    <w:sz w:val="18"/>
                    <w:szCs w:val="18"/>
                  </w:rPr>
                  <w:fldChar w:fldCharType="separate"/>
                </w:r>
                <w:r w:rsidR="00423DC1">
                  <w:rPr>
                    <w:rFonts w:ascii="楷体" w:eastAsia="楷体" w:hAnsi="楷体"/>
                    <w:noProof/>
                    <w:sz w:val="18"/>
                    <w:szCs w:val="18"/>
                  </w:rPr>
                  <w:t>1</w:t>
                </w:r>
                <w:r w:rsidRPr="00FE00D7">
                  <w:rPr>
                    <w:rFonts w:ascii="楷体" w:eastAsia="楷体" w:hAnsi="楷体"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C1" w:rsidRDefault="00423DC1">
      <w:r>
        <w:separator/>
      </w:r>
    </w:p>
  </w:footnote>
  <w:footnote w:type="continuationSeparator" w:id="0">
    <w:p w:rsidR="00423DC1" w:rsidRDefault="00423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A3CE8"/>
    <w:multiLevelType w:val="multilevel"/>
    <w:tmpl w:val="7A9A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50"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3471D1"/>
    <w:rsid w:val="00423DC1"/>
    <w:rsid w:val="00645481"/>
    <w:rsid w:val="007775DA"/>
    <w:rsid w:val="00D37BD9"/>
    <w:rsid w:val="00FE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here">
    <w:name w:val="where"/>
    <w:basedOn w:val="a0"/>
  </w:style>
  <w:style w:type="character" w:customStyle="1" w:styleId="small1">
    <w:name w:val="small1"/>
    <w:rPr>
      <w:rFonts w:ascii="Times New Roman" w:hAnsi="Times New Roman" w:cs="Times New Roman" w:hint="default"/>
      <w:b/>
      <w:bCs/>
      <w:color w:val="666666"/>
      <w:sz w:val="15"/>
      <w:szCs w:val="15"/>
    </w:rPr>
  </w:style>
  <w:style w:type="character" w:customStyle="1" w:styleId="big1">
    <w:name w:val="big1"/>
    <w:rPr>
      <w:rFonts w:ascii="Times New Roman" w:hAnsi="Times New Roman" w:cs="Times New Roman" w:hint="default"/>
      <w:b/>
      <w:bCs/>
      <w:color w:val="0B3B8C"/>
      <w:sz w:val="20"/>
      <w:szCs w:val="20"/>
    </w:rPr>
  </w:style>
  <w:style w:type="character" w:styleId="a3">
    <w:name w:val="Hyperlink"/>
    <w:rPr>
      <w:strike w:val="0"/>
      <w:dstrike w:val="0"/>
      <w:color w:val="0B3B8C"/>
      <w:u w:val="none"/>
    </w:rPr>
  </w:style>
  <w:style w:type="character" w:customStyle="1" w:styleId="infocol1">
    <w:name w:val="infocol1"/>
    <w:basedOn w:val="a0"/>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cqcb.com/e/public/ClickAd?adid=113" TargetMode="External"/><Relationship Id="rId13" Type="http://schemas.openxmlformats.org/officeDocument/2006/relationships/hyperlink" Target="http://www.cqcb.com/e/public/ClickAd?adid=1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qcb.com/e/public/ClickAd?adid=1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qcb.com/e/public/ClickAd?adid=1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qcb.com/e/public/ClickAd?adid=115" TargetMode="External"/><Relationship Id="rId4" Type="http://schemas.openxmlformats.org/officeDocument/2006/relationships/webSettings" Target="webSettings.xml"/><Relationship Id="rId9" Type="http://schemas.openxmlformats.org/officeDocument/2006/relationships/hyperlink" Target="http://www.cqcb.com/e/public/ClickAd?adid=114"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491</Words>
  <Characters>2801</Characters>
  <Application>Microsoft Office Word</Application>
  <DocSecurity>0</DocSecurity>
  <PresentationFormat/>
  <Lines>23</Lines>
  <Paragraphs>6</Paragraphs>
  <Slides>0</Slides>
  <Notes>0</Notes>
  <HiddenSlides>0</HiddenSlides>
  <MMClips>0</MMClips>
  <ScaleCrop>false</ScaleCrop>
  <Company>微软中国</Company>
  <LinksUpToDate>false</LinksUpToDate>
  <CharactersWithSpaces>3286</CharactersWithSpaces>
  <SharedDoc>false</SharedDoc>
  <HLinks>
    <vt:vector size="36" baseType="variant">
      <vt:variant>
        <vt:i4>1114140</vt:i4>
      </vt:variant>
      <vt:variant>
        <vt:i4>15</vt:i4>
      </vt:variant>
      <vt:variant>
        <vt:i4>0</vt:i4>
      </vt:variant>
      <vt:variant>
        <vt:i4>5</vt:i4>
      </vt:variant>
      <vt:variant>
        <vt:lpwstr>http://www.cqcb.com/e/public/ClickAd?adid=118</vt:lpwstr>
      </vt:variant>
      <vt:variant>
        <vt:lpwstr/>
      </vt:variant>
      <vt:variant>
        <vt:i4>1114140</vt:i4>
      </vt:variant>
      <vt:variant>
        <vt:i4>12</vt:i4>
      </vt:variant>
      <vt:variant>
        <vt:i4>0</vt:i4>
      </vt:variant>
      <vt:variant>
        <vt:i4>5</vt:i4>
      </vt:variant>
      <vt:variant>
        <vt:lpwstr>http://www.cqcb.com/e/public/ClickAd?adid=117</vt:lpwstr>
      </vt:variant>
      <vt:variant>
        <vt:lpwstr/>
      </vt:variant>
      <vt:variant>
        <vt:i4>1114140</vt:i4>
      </vt:variant>
      <vt:variant>
        <vt:i4>9</vt:i4>
      </vt:variant>
      <vt:variant>
        <vt:i4>0</vt:i4>
      </vt:variant>
      <vt:variant>
        <vt:i4>5</vt:i4>
      </vt:variant>
      <vt:variant>
        <vt:lpwstr>http://www.cqcb.com/e/public/ClickAd?adid=116</vt:lpwstr>
      </vt:variant>
      <vt:variant>
        <vt:lpwstr/>
      </vt:variant>
      <vt:variant>
        <vt:i4>1114140</vt:i4>
      </vt:variant>
      <vt:variant>
        <vt:i4>6</vt:i4>
      </vt:variant>
      <vt:variant>
        <vt:i4>0</vt:i4>
      </vt:variant>
      <vt:variant>
        <vt:i4>5</vt:i4>
      </vt:variant>
      <vt:variant>
        <vt:lpwstr>http://www.cqcb.com/e/public/ClickAd?adid=115</vt:lpwstr>
      </vt:variant>
      <vt:variant>
        <vt:lpwstr/>
      </vt:variant>
      <vt:variant>
        <vt:i4>1114140</vt:i4>
      </vt:variant>
      <vt:variant>
        <vt:i4>3</vt:i4>
      </vt:variant>
      <vt:variant>
        <vt:i4>0</vt:i4>
      </vt:variant>
      <vt:variant>
        <vt:i4>5</vt:i4>
      </vt:variant>
      <vt:variant>
        <vt:lpwstr>http://www.cqcb.com/e/public/ClickAd?adid=114</vt:lpwstr>
      </vt:variant>
      <vt:variant>
        <vt:lpwstr/>
      </vt:variant>
      <vt:variant>
        <vt:i4>1114140</vt:i4>
      </vt:variant>
      <vt:variant>
        <vt:i4>0</vt:i4>
      </vt:variant>
      <vt:variant>
        <vt:i4>0</vt:i4>
      </vt:variant>
      <vt:variant>
        <vt:i4>5</vt:i4>
      </vt:variant>
      <vt:variant>
        <vt:lpwstr>http://www.cqcb.com/e/public/ClickAd?adid=113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高管薪酬考核办法（2012年12月）</dc:title>
  <dc:creator>微软用户</dc:creator>
  <cp:lastModifiedBy>zhisuo qi</cp:lastModifiedBy>
  <cp:revision>2</cp:revision>
  <cp:lastPrinted>2018-03-01T01:50:34Z</cp:lastPrinted>
  <dcterms:created xsi:type="dcterms:W3CDTF">2021-08-10T01:16:00Z</dcterms:created>
  <dcterms:modified xsi:type="dcterms:W3CDTF">2021-08-10T01:16:00Z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