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DA" w:rsidRPr="000A3BDE" w:rsidRDefault="00916D67" w:rsidP="000A3BDE">
      <w:pPr>
        <w:spacing w:line="360" w:lineRule="auto"/>
        <w:jc w:val="center"/>
        <w:rPr>
          <w:rFonts w:ascii="楷体" w:eastAsia="楷体" w:hAnsi="楷体"/>
          <w:b/>
          <w:sz w:val="24"/>
          <w:szCs w:val="24"/>
        </w:rPr>
      </w:pPr>
      <w:r w:rsidRPr="000A3BDE">
        <w:rPr>
          <w:rFonts w:ascii="SimHei" w:eastAsia="黑体" w:hAnsi="SimHei" w:hint="eastAsia"/>
          <w:b/>
          <w:sz w:val="24"/>
          <w:szCs w:val="24"/>
        </w:rPr>
        <w:t>******</w:t>
      </w:r>
      <w:r w:rsidR="00EA37DA" w:rsidRPr="000A3BDE">
        <w:rPr>
          <w:rFonts w:ascii="SimHei" w:eastAsia="黑体" w:hAnsi="SimHei" w:hint="eastAsia"/>
          <w:b/>
          <w:sz w:val="24"/>
          <w:szCs w:val="24"/>
        </w:rPr>
        <w:t>股份公司</w:t>
      </w:r>
    </w:p>
    <w:p w:rsidR="00EA37DA" w:rsidRPr="000A3BDE" w:rsidRDefault="00EA37DA" w:rsidP="000A3BDE">
      <w:pPr>
        <w:spacing w:afterLines="100" w:after="312" w:line="360" w:lineRule="auto"/>
        <w:jc w:val="center"/>
        <w:rPr>
          <w:rFonts w:ascii="楷体" w:eastAsia="楷体" w:hAnsi="楷体"/>
          <w:b/>
          <w:sz w:val="36"/>
          <w:szCs w:val="24"/>
        </w:rPr>
      </w:pPr>
      <w:r w:rsidRPr="000A3BDE">
        <w:rPr>
          <w:rFonts w:ascii="SimHei" w:eastAsia="黑体" w:hAnsi="SimHei" w:hint="eastAsia"/>
          <w:b/>
          <w:sz w:val="36"/>
          <w:szCs w:val="24"/>
        </w:rPr>
        <w:t>高级管理人员薪酬管理办法</w:t>
      </w:r>
    </w:p>
    <w:p w:rsidR="00EA37DA" w:rsidRPr="000A3BDE" w:rsidRDefault="00702F26" w:rsidP="000A3BDE">
      <w:pPr>
        <w:spacing w:line="360" w:lineRule="auto"/>
        <w:ind w:firstLineChars="200" w:firstLine="482"/>
        <w:rPr>
          <w:rFonts w:ascii="楷体" w:eastAsia="楷体" w:hAnsi="楷体"/>
          <w:b/>
          <w:sz w:val="24"/>
          <w:szCs w:val="24"/>
        </w:rPr>
      </w:pPr>
      <w:r w:rsidRPr="000A3BDE">
        <w:rPr>
          <w:rFonts w:ascii="SimHei" w:eastAsia="黑体" w:hAnsi="SimHei" w:hint="eastAsia"/>
          <w:b/>
          <w:sz w:val="24"/>
          <w:szCs w:val="24"/>
        </w:rPr>
        <w:t xml:space="preserve">第一章 </w:t>
      </w:r>
      <w:r w:rsidR="00EA37DA" w:rsidRPr="000A3BDE">
        <w:rPr>
          <w:rFonts w:ascii="SimHei" w:eastAsia="黑体" w:hAnsi="SimHei" w:hint="eastAsia"/>
          <w:b/>
          <w:sz w:val="24"/>
          <w:szCs w:val="24"/>
        </w:rPr>
        <w:t>总 则</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第一条</w:t>
      </w:r>
      <w:r w:rsidR="0071020D" w:rsidRPr="000A3BDE">
        <w:rPr>
          <w:rFonts w:ascii="SimHei" w:eastAsia="黑体" w:hAnsi="SimHei" w:hint="eastAsia"/>
          <w:sz w:val="24"/>
          <w:szCs w:val="24"/>
        </w:rPr>
        <w:t xml:space="preserve"> </w:t>
      </w:r>
      <w:r w:rsidRPr="000A3BDE">
        <w:rPr>
          <w:rFonts w:ascii="SimHei" w:eastAsia="黑体" w:hAnsi="SimHei" w:hint="eastAsia"/>
          <w:sz w:val="24"/>
          <w:szCs w:val="24"/>
        </w:rPr>
        <w:t>为了建立激励与约束相结合的企业运行机制，规范对</w:t>
      </w:r>
      <w:r w:rsidR="00916D67" w:rsidRPr="000A3BDE">
        <w:rPr>
          <w:rFonts w:ascii="SimHei" w:eastAsia="黑体" w:hAnsi="SimHei" w:hint="eastAsia"/>
          <w:sz w:val="24"/>
          <w:szCs w:val="24"/>
        </w:rPr>
        <w:t>******</w:t>
      </w:r>
      <w:r w:rsidR="0071020D" w:rsidRPr="000A3BDE">
        <w:rPr>
          <w:rFonts w:ascii="SimHei" w:eastAsia="黑体" w:hAnsi="SimHei" w:hint="eastAsia"/>
          <w:sz w:val="24"/>
          <w:szCs w:val="24"/>
        </w:rPr>
        <w:t>股份公司（以下简称“公司”）高级管理</w:t>
      </w:r>
      <w:r w:rsidRPr="000A3BDE">
        <w:rPr>
          <w:rFonts w:ascii="SimHei" w:eastAsia="黑体" w:hAnsi="SimHei" w:hint="eastAsia"/>
          <w:sz w:val="24"/>
          <w:szCs w:val="24"/>
        </w:rPr>
        <w:t>人员的薪酬管理，根据国家有关法律和政策规定、公司章程，特制定本办法。</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第二条</w:t>
      </w:r>
      <w:r w:rsidR="0071020D" w:rsidRPr="000A3BDE">
        <w:rPr>
          <w:rFonts w:ascii="SimHei" w:eastAsia="黑体" w:hAnsi="SimHei" w:hint="eastAsia"/>
          <w:sz w:val="24"/>
          <w:szCs w:val="24"/>
        </w:rPr>
        <w:t xml:space="preserve"> </w:t>
      </w:r>
      <w:r w:rsidRPr="000A3BDE">
        <w:rPr>
          <w:rFonts w:ascii="SimHei" w:eastAsia="黑体" w:hAnsi="SimHei" w:hint="eastAsia"/>
          <w:sz w:val="24"/>
          <w:szCs w:val="24"/>
        </w:rPr>
        <w:t>本办法适用于总经理、常务副总经理、副总经理、财务总监、董事会秘书等公司高级管理人员</w:t>
      </w:r>
      <w:r w:rsidR="00702F26" w:rsidRPr="000A3BDE">
        <w:rPr>
          <w:rFonts w:ascii="SimHei" w:eastAsia="黑体" w:hAnsi="SimHei" w:hint="eastAsia"/>
          <w:sz w:val="24"/>
          <w:szCs w:val="24"/>
        </w:rPr>
        <w:t>（以下简称“高管人员”）</w:t>
      </w:r>
      <w:r w:rsidRPr="000A3BDE">
        <w:rPr>
          <w:rFonts w:ascii="SimHei" w:eastAsia="黑体" w:hAnsi="SimHei" w:hint="eastAsia"/>
          <w:sz w:val="24"/>
          <w:szCs w:val="24"/>
        </w:rPr>
        <w:t>。</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第三条</w:t>
      </w:r>
      <w:r w:rsidR="0071020D" w:rsidRPr="000A3BDE">
        <w:rPr>
          <w:rFonts w:ascii="SimHei" w:eastAsia="黑体" w:hAnsi="SimHei" w:hint="eastAsia"/>
          <w:sz w:val="24"/>
          <w:szCs w:val="24"/>
        </w:rPr>
        <w:t xml:space="preserve"> </w:t>
      </w:r>
      <w:r w:rsidRPr="000A3BDE">
        <w:rPr>
          <w:rFonts w:ascii="SimHei" w:eastAsia="黑体" w:hAnsi="SimHei" w:hint="eastAsia"/>
          <w:sz w:val="24"/>
          <w:szCs w:val="24"/>
        </w:rPr>
        <w:t>本办法本着以下基本原则制定：</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w:t>
      </w:r>
      <w:r w:rsidR="00D67472" w:rsidRPr="000A3BDE">
        <w:rPr>
          <w:rFonts w:ascii="SimHei" w:eastAsia="黑体" w:hAnsi="SimHei" w:hint="eastAsia"/>
          <w:sz w:val="24"/>
          <w:szCs w:val="24"/>
        </w:rPr>
        <w:t>一</w:t>
      </w:r>
      <w:r w:rsidRPr="000A3BDE">
        <w:rPr>
          <w:rFonts w:ascii="SimHei" w:eastAsia="黑体" w:hAnsi="SimHei" w:hint="eastAsia"/>
          <w:sz w:val="24"/>
          <w:szCs w:val="24"/>
        </w:rPr>
        <w:t>）薪酬水平与经营业绩和职责挂钩，强化绩效年薪作用的原则；</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w:t>
      </w:r>
      <w:r w:rsidR="00D67472" w:rsidRPr="000A3BDE">
        <w:rPr>
          <w:rFonts w:ascii="SimHei" w:eastAsia="黑体" w:hAnsi="SimHei" w:hint="eastAsia"/>
          <w:sz w:val="24"/>
          <w:szCs w:val="24"/>
        </w:rPr>
        <w:t>二</w:t>
      </w:r>
      <w:r w:rsidRPr="000A3BDE">
        <w:rPr>
          <w:rFonts w:ascii="SimHei" w:eastAsia="黑体" w:hAnsi="SimHei" w:hint="eastAsia"/>
          <w:sz w:val="24"/>
          <w:szCs w:val="24"/>
        </w:rPr>
        <w:t>）优化薪酬结构、强化监督与考核的原则；</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w:t>
      </w:r>
      <w:r w:rsidR="00D67472" w:rsidRPr="000A3BDE">
        <w:rPr>
          <w:rFonts w:ascii="SimHei" w:eastAsia="黑体" w:hAnsi="SimHei" w:hint="eastAsia"/>
          <w:sz w:val="24"/>
          <w:szCs w:val="24"/>
        </w:rPr>
        <w:t>三</w:t>
      </w:r>
      <w:r w:rsidRPr="000A3BDE">
        <w:rPr>
          <w:rFonts w:ascii="SimHei" w:eastAsia="黑体" w:hAnsi="SimHei" w:hint="eastAsia"/>
          <w:sz w:val="24"/>
          <w:szCs w:val="24"/>
        </w:rPr>
        <w:t>）工资总额纳入公司预算计划管理；</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w:t>
      </w:r>
      <w:r w:rsidR="00D67472" w:rsidRPr="000A3BDE">
        <w:rPr>
          <w:rFonts w:ascii="SimHei" w:eastAsia="黑体" w:hAnsi="SimHei" w:hint="eastAsia"/>
          <w:sz w:val="24"/>
          <w:szCs w:val="24"/>
        </w:rPr>
        <w:t>四</w:t>
      </w:r>
      <w:r w:rsidRPr="000A3BDE">
        <w:rPr>
          <w:rFonts w:ascii="SimHei" w:eastAsia="黑体" w:hAnsi="SimHei" w:hint="eastAsia"/>
          <w:sz w:val="24"/>
          <w:szCs w:val="24"/>
        </w:rPr>
        <w:t>）年薪增长幅度与本公司经营业绩提升和经济效益提高相匹配</w:t>
      </w:r>
      <w:r w:rsidR="0071020D" w:rsidRPr="000A3BDE">
        <w:rPr>
          <w:rFonts w:ascii="SimHei" w:eastAsia="黑体" w:hAnsi="SimHei" w:hint="eastAsia"/>
          <w:sz w:val="24"/>
          <w:szCs w:val="24"/>
        </w:rPr>
        <w:t>，</w:t>
      </w:r>
      <w:r w:rsidRPr="000A3BDE">
        <w:rPr>
          <w:rFonts w:ascii="SimHei" w:eastAsia="黑体" w:hAnsi="SimHei" w:hint="eastAsia"/>
          <w:sz w:val="24"/>
          <w:szCs w:val="24"/>
        </w:rPr>
        <w:t>增长幅度不超过当年职工平均工资增幅和</w:t>
      </w:r>
      <w:r w:rsidR="00FB20D5" w:rsidRPr="000A3BDE">
        <w:rPr>
          <w:rFonts w:ascii="SimHei" w:eastAsia="黑体" w:hAnsi="SimHei"/>
          <w:sz w:val="24"/>
          <w:szCs w:val="24"/>
        </w:rPr>
        <w:t>归属于公司股东的扣除非经常性损益后的净利润</w:t>
      </w:r>
      <w:r w:rsidR="009C71DC" w:rsidRPr="000A3BDE">
        <w:rPr>
          <w:rFonts w:ascii="SimHei" w:eastAsia="黑体" w:hAnsi="SimHei" w:hint="eastAsia"/>
          <w:sz w:val="24"/>
          <w:szCs w:val="24"/>
        </w:rPr>
        <w:t>的</w:t>
      </w:r>
      <w:r w:rsidRPr="000A3BDE">
        <w:rPr>
          <w:rFonts w:ascii="SimHei" w:eastAsia="黑体" w:hAnsi="SimHei" w:hint="eastAsia"/>
          <w:sz w:val="24"/>
          <w:szCs w:val="24"/>
        </w:rPr>
        <w:t>增幅。</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w:t>
      </w:r>
      <w:r w:rsidR="00D67472" w:rsidRPr="000A3BDE">
        <w:rPr>
          <w:rFonts w:ascii="SimHei" w:eastAsia="黑体" w:hAnsi="SimHei" w:hint="eastAsia"/>
          <w:sz w:val="24"/>
          <w:szCs w:val="24"/>
        </w:rPr>
        <w:t>五</w:t>
      </w:r>
      <w:r w:rsidRPr="000A3BDE">
        <w:rPr>
          <w:rFonts w:ascii="SimHei" w:eastAsia="黑体" w:hAnsi="SimHei" w:hint="eastAsia"/>
          <w:sz w:val="24"/>
          <w:szCs w:val="24"/>
        </w:rPr>
        <w:t>）薪酬激励与人才战略相结合。</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第四条</w:t>
      </w:r>
      <w:r w:rsidR="0071020D" w:rsidRPr="000A3BDE">
        <w:rPr>
          <w:rFonts w:ascii="SimHei" w:eastAsia="黑体" w:hAnsi="SimHei" w:hint="eastAsia"/>
          <w:sz w:val="24"/>
          <w:szCs w:val="24"/>
        </w:rPr>
        <w:t xml:space="preserve"> </w:t>
      </w:r>
      <w:r w:rsidRPr="000A3BDE">
        <w:rPr>
          <w:rFonts w:ascii="SimHei" w:eastAsia="黑体" w:hAnsi="SimHei" w:hint="eastAsia"/>
          <w:sz w:val="24"/>
          <w:szCs w:val="24"/>
        </w:rPr>
        <w:t>机构职责：公司董事会</w:t>
      </w:r>
      <w:r w:rsidR="00EB5F66" w:rsidRPr="000A3BDE">
        <w:rPr>
          <w:rFonts w:ascii="SimHei" w:eastAsia="黑体" w:hAnsi="SimHei" w:hint="eastAsia"/>
          <w:sz w:val="24"/>
          <w:szCs w:val="24"/>
        </w:rPr>
        <w:t>薪酬与考核委员会</w:t>
      </w:r>
      <w:r w:rsidRPr="000A3BDE">
        <w:rPr>
          <w:rFonts w:ascii="SimHei" w:eastAsia="黑体" w:hAnsi="SimHei" w:hint="eastAsia"/>
          <w:sz w:val="24"/>
          <w:szCs w:val="24"/>
        </w:rPr>
        <w:t>负责拟定公司高管人员薪酬基数和绩效考核方案；公司董事会负责</w:t>
      </w:r>
      <w:proofErr w:type="gramStart"/>
      <w:r w:rsidRPr="000A3BDE">
        <w:rPr>
          <w:rFonts w:ascii="SimHei" w:eastAsia="黑体" w:hAnsi="SimHei" w:hint="eastAsia"/>
          <w:sz w:val="24"/>
          <w:szCs w:val="24"/>
        </w:rPr>
        <w:t>审批高</w:t>
      </w:r>
      <w:proofErr w:type="gramEnd"/>
      <w:r w:rsidRPr="000A3BDE">
        <w:rPr>
          <w:rFonts w:ascii="SimHei" w:eastAsia="黑体" w:hAnsi="SimHei" w:hint="eastAsia"/>
          <w:sz w:val="24"/>
          <w:szCs w:val="24"/>
        </w:rPr>
        <w:t>管人员薪酬基数和绩效考核方案。</w:t>
      </w:r>
    </w:p>
    <w:p w:rsidR="00EA37DA" w:rsidRPr="000A3BDE" w:rsidRDefault="00702F26" w:rsidP="000A3BDE">
      <w:pPr>
        <w:spacing w:line="360" w:lineRule="auto"/>
        <w:ind w:firstLineChars="200" w:firstLine="482"/>
        <w:rPr>
          <w:rFonts w:ascii="楷体" w:eastAsia="楷体" w:hAnsi="楷体"/>
          <w:b/>
          <w:sz w:val="24"/>
          <w:szCs w:val="24"/>
        </w:rPr>
      </w:pPr>
      <w:r w:rsidRPr="000A3BDE">
        <w:rPr>
          <w:rFonts w:ascii="SimHei" w:eastAsia="黑体" w:hAnsi="SimHei" w:hint="eastAsia"/>
          <w:b/>
          <w:sz w:val="24"/>
          <w:szCs w:val="24"/>
        </w:rPr>
        <w:t xml:space="preserve">第二章 </w:t>
      </w:r>
      <w:r w:rsidR="00EA37DA" w:rsidRPr="000A3BDE">
        <w:rPr>
          <w:rFonts w:ascii="SimHei" w:eastAsia="黑体" w:hAnsi="SimHei" w:hint="eastAsia"/>
          <w:b/>
          <w:sz w:val="24"/>
          <w:szCs w:val="24"/>
        </w:rPr>
        <w:t>薪酬管理</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第五条</w:t>
      </w:r>
      <w:r w:rsidR="0071020D" w:rsidRPr="000A3BDE">
        <w:rPr>
          <w:rFonts w:ascii="SimHei" w:eastAsia="黑体" w:hAnsi="SimHei" w:hint="eastAsia"/>
          <w:sz w:val="24"/>
          <w:szCs w:val="24"/>
        </w:rPr>
        <w:t xml:space="preserve"> </w:t>
      </w:r>
      <w:r w:rsidRPr="000A3BDE">
        <w:rPr>
          <w:rFonts w:ascii="SimHei" w:eastAsia="黑体" w:hAnsi="SimHei" w:hint="eastAsia"/>
          <w:sz w:val="24"/>
          <w:szCs w:val="24"/>
        </w:rPr>
        <w:t>公司高管人员的薪酬包括基薪、绩效年薪、特殊奖励三部分。其中，基薪是对经营者的基本报酬；绩效年薪是按年度经营业绩完成情况而给予公司高管人员的奖励报酬；特殊奖励是公司高管人员完成年初董事会安排的特殊任务而单列给予的嘉奖</w:t>
      </w:r>
      <w:r w:rsidR="0071020D" w:rsidRPr="000A3BDE">
        <w:rPr>
          <w:rFonts w:ascii="SimHei" w:eastAsia="黑体" w:hAnsi="SimHei" w:hint="eastAsia"/>
          <w:sz w:val="24"/>
          <w:szCs w:val="24"/>
        </w:rPr>
        <w:t>，</w:t>
      </w:r>
      <w:r w:rsidRPr="000A3BDE">
        <w:rPr>
          <w:rFonts w:ascii="SimHei" w:eastAsia="黑体" w:hAnsi="SimHei" w:hint="eastAsia"/>
          <w:sz w:val="24"/>
          <w:szCs w:val="24"/>
        </w:rPr>
        <w:t>以及根据公司高管人员在公司市场开拓、内部挖潜，促进公司重点任务完成以及可持续发展，提高运行质量和效率方面的业绩，董事会对高管人员年薪给予一定数额的额外激励。</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第六条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公司高管人员基薪和绩效年薪的基数，每年由董事会</w:t>
      </w:r>
      <w:r w:rsidR="00EB5F66" w:rsidRPr="000A3BDE">
        <w:rPr>
          <w:rFonts w:ascii="SimHei" w:eastAsia="黑体" w:hAnsi="SimHei" w:hint="eastAsia"/>
          <w:sz w:val="24"/>
          <w:szCs w:val="24"/>
        </w:rPr>
        <w:t>薪酬与考核委员会</w:t>
      </w:r>
      <w:r w:rsidRPr="000A3BDE">
        <w:rPr>
          <w:rFonts w:ascii="SimHei" w:eastAsia="黑体" w:hAnsi="SimHei" w:hint="eastAsia"/>
          <w:sz w:val="24"/>
          <w:szCs w:val="24"/>
        </w:rPr>
        <w:t>依据公司所处的行业经营者的平均状况，根据公司年度经营目标和重点任务情况提出总经理基数额度建议，报公司董事会批准</w:t>
      </w:r>
      <w:r w:rsidR="007A559E" w:rsidRPr="000A3BDE">
        <w:rPr>
          <w:rFonts w:ascii="SimHei" w:eastAsia="黑体" w:hAnsi="SimHei" w:hint="eastAsia"/>
          <w:sz w:val="24"/>
          <w:szCs w:val="24"/>
          <w:highlight w:val="yellow"/>
        </w:rPr>
        <w:t>（建议总经理基薪基数按上年</w:t>
      </w:r>
      <w:r w:rsidR="007A559E" w:rsidRPr="000A3BDE">
        <w:rPr>
          <w:rFonts w:ascii="SimHei" w:eastAsia="黑体" w:hAnsi="SimHei" w:hint="eastAsia"/>
          <w:sz w:val="24"/>
          <w:szCs w:val="24"/>
          <w:highlight w:val="yellow"/>
        </w:rPr>
        <w:t>度</w:t>
      </w:r>
      <w:r w:rsidR="007A559E" w:rsidRPr="000A3BDE">
        <w:rPr>
          <w:rFonts w:ascii="SimHei" w:eastAsia="黑体" w:hAnsi="SimHei"/>
          <w:sz w:val="24"/>
          <w:szCs w:val="24"/>
          <w:highlight w:val="yellow"/>
        </w:rPr>
        <w:t>归属于</w:t>
      </w:r>
      <w:r w:rsidR="002F74BD" w:rsidRPr="000A3BDE">
        <w:rPr>
          <w:rFonts w:ascii="SimHei" w:eastAsia="黑体" w:hAnsi="SimHei" w:hint="eastAsia"/>
          <w:sz w:val="24"/>
          <w:szCs w:val="24"/>
          <w:highlight w:val="yellow"/>
        </w:rPr>
        <w:t>母</w:t>
      </w:r>
      <w:r w:rsidR="007A559E" w:rsidRPr="000A3BDE">
        <w:rPr>
          <w:rFonts w:ascii="SimHei" w:eastAsia="黑体" w:hAnsi="SimHei"/>
          <w:sz w:val="24"/>
          <w:szCs w:val="24"/>
          <w:highlight w:val="yellow"/>
        </w:rPr>
        <w:t>公司扣除非经常性损益</w:t>
      </w:r>
      <w:r w:rsidR="007A559E" w:rsidRPr="000A3BDE">
        <w:rPr>
          <w:rFonts w:ascii="SimHei" w:eastAsia="黑体" w:hAnsi="SimHei" w:hint="eastAsia"/>
          <w:sz w:val="24"/>
          <w:szCs w:val="24"/>
          <w:highlight w:val="yellow"/>
        </w:rPr>
        <w:t>后</w:t>
      </w:r>
      <w:r w:rsidR="007A559E" w:rsidRPr="000A3BDE">
        <w:rPr>
          <w:rFonts w:ascii="SimHei" w:eastAsia="黑体" w:hAnsi="SimHei"/>
          <w:sz w:val="24"/>
          <w:szCs w:val="24"/>
          <w:highlight w:val="yellow"/>
        </w:rPr>
        <w:t>净利润</w:t>
      </w:r>
      <w:r w:rsidR="007A559E" w:rsidRPr="000A3BDE">
        <w:rPr>
          <w:rFonts w:ascii="SimHei" w:eastAsia="黑体" w:hAnsi="SimHei" w:hint="eastAsia"/>
          <w:sz w:val="24"/>
          <w:szCs w:val="24"/>
          <w:highlight w:val="yellow"/>
        </w:rPr>
        <w:t>的1-2%确定，绩效年薪基数按本年度</w:t>
      </w:r>
      <w:r w:rsidR="007A559E" w:rsidRPr="000A3BDE">
        <w:rPr>
          <w:rFonts w:ascii="SimHei" w:eastAsia="黑体" w:hAnsi="SimHei"/>
          <w:sz w:val="24"/>
          <w:szCs w:val="24"/>
          <w:highlight w:val="yellow"/>
        </w:rPr>
        <w:t>归属于</w:t>
      </w:r>
      <w:r w:rsidR="002F74BD" w:rsidRPr="000A3BDE">
        <w:rPr>
          <w:rFonts w:ascii="SimHei" w:eastAsia="黑体" w:hAnsi="SimHei" w:hint="eastAsia"/>
          <w:sz w:val="24"/>
          <w:szCs w:val="24"/>
          <w:highlight w:val="yellow"/>
        </w:rPr>
        <w:t>母</w:t>
      </w:r>
      <w:r w:rsidR="007A559E" w:rsidRPr="000A3BDE">
        <w:rPr>
          <w:rFonts w:ascii="SimHei" w:eastAsia="黑体" w:hAnsi="SimHei"/>
          <w:sz w:val="24"/>
          <w:szCs w:val="24"/>
          <w:highlight w:val="yellow"/>
        </w:rPr>
        <w:t>公司扣除非经常性损益后净利润</w:t>
      </w:r>
      <w:r w:rsidR="00FA492F" w:rsidRPr="000A3BDE">
        <w:rPr>
          <w:rFonts w:ascii="SimHei" w:eastAsia="黑体" w:hAnsi="SimHei" w:hint="eastAsia"/>
          <w:sz w:val="24"/>
          <w:szCs w:val="24"/>
          <w:highlight w:val="yellow"/>
        </w:rPr>
        <w:t>的增加额</w:t>
      </w:r>
      <w:r w:rsidR="007A559E" w:rsidRPr="000A3BDE">
        <w:rPr>
          <w:rFonts w:ascii="SimHei" w:eastAsia="黑体" w:hAnsi="SimHei" w:hint="eastAsia"/>
          <w:sz w:val="24"/>
          <w:szCs w:val="24"/>
          <w:highlight w:val="yellow"/>
        </w:rPr>
        <w:t>的</w:t>
      </w:r>
      <w:r w:rsidR="001B43F7" w:rsidRPr="000A3BDE">
        <w:rPr>
          <w:rFonts w:ascii="SimHei" w:eastAsia="黑体" w:hAnsi="SimHei" w:hint="eastAsia"/>
          <w:sz w:val="24"/>
          <w:szCs w:val="24"/>
          <w:highlight w:val="yellow"/>
        </w:rPr>
        <w:t>3</w:t>
      </w:r>
      <w:r w:rsidR="00FA492F" w:rsidRPr="000A3BDE">
        <w:rPr>
          <w:rFonts w:ascii="SimHei" w:eastAsia="黑体" w:hAnsi="SimHei" w:hint="eastAsia"/>
          <w:sz w:val="24"/>
          <w:szCs w:val="24"/>
          <w:highlight w:val="yellow"/>
        </w:rPr>
        <w:t>-</w:t>
      </w:r>
      <w:r w:rsidR="001B43F7" w:rsidRPr="000A3BDE">
        <w:rPr>
          <w:rFonts w:ascii="SimHei" w:eastAsia="黑体" w:hAnsi="SimHei" w:hint="eastAsia"/>
          <w:sz w:val="24"/>
          <w:szCs w:val="24"/>
          <w:highlight w:val="yellow"/>
        </w:rPr>
        <w:t>5</w:t>
      </w:r>
      <w:r w:rsidR="00FA492F" w:rsidRPr="000A3BDE">
        <w:rPr>
          <w:rFonts w:ascii="SimHei" w:eastAsia="黑体" w:hAnsi="SimHei" w:hint="eastAsia"/>
          <w:sz w:val="24"/>
          <w:szCs w:val="24"/>
          <w:highlight w:val="yellow"/>
        </w:rPr>
        <w:t>%确定</w:t>
      </w:r>
      <w:r w:rsidR="007A559E" w:rsidRPr="000A3BDE">
        <w:rPr>
          <w:rFonts w:ascii="SimHei" w:eastAsia="黑体" w:hAnsi="SimHei" w:hint="eastAsia"/>
          <w:sz w:val="24"/>
          <w:szCs w:val="24"/>
          <w:highlight w:val="yellow"/>
        </w:rPr>
        <w:t>）</w:t>
      </w:r>
      <w:r w:rsidRPr="000A3BDE">
        <w:rPr>
          <w:rFonts w:ascii="SimHei" w:eastAsia="黑体" w:hAnsi="SimHei" w:hint="eastAsia"/>
          <w:sz w:val="24"/>
          <w:szCs w:val="24"/>
          <w:highlight w:val="yellow"/>
        </w:rPr>
        <w:t>。</w:t>
      </w:r>
      <w:r w:rsidRPr="000A3BDE">
        <w:rPr>
          <w:rFonts w:ascii="SimHei" w:eastAsia="黑体" w:hAnsi="SimHei" w:hint="eastAsia"/>
          <w:sz w:val="24"/>
          <w:szCs w:val="24"/>
        </w:rPr>
        <w:t>公司总经理基薪、绩效年薪基数标准确定后，其它高管人员根据所任职务、所负责任等因素，基薪按总经理基数的60%-90%确定，绩效年薪按总经理基数的75%-90%确定。</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第七条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公司高管人员特殊奖励原则上不超过当年基薪、绩效年薪之和的20%。年初董事会下达年度经营目标责任时，可单列一次性特殊奖励任务、奖励额度，年度绩效年薪考核兑现时一并兑现。</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第八条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高管人员基薪由公司财务部按月支付。绩效年薪和特殊奖励根据经审计的年度会计报告和生产经营任务完成情况进行考核审定。董事会批准后的五个工作日内，由公司财务部将绩效年薪的70%和特殊奖励兑付；其余30%的绩效年薪作为风险抵押金，任期届满，由董事会薪酬与考核委员会提出任期考核意见，报董事会审核同意后发放。</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第九条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公司高管人员除基薪、绩效年薪、特殊奖励外不得在公司领取其它任何形式的报酬、补贴（符合国家规定的专家津贴、差旅补贴除外）、津贴等货币性收入。经董事会特别批准同意的收入除外。</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公司高管人员基薪、绩效年薪、特殊奖励为含税报酬，公司依据国家税法有关规定，将代扣代缴相关个人所得税金。</w:t>
      </w:r>
    </w:p>
    <w:p w:rsidR="00EA37DA" w:rsidRPr="000A3BDE" w:rsidRDefault="00702F26" w:rsidP="000A3BDE">
      <w:pPr>
        <w:spacing w:line="360" w:lineRule="auto"/>
        <w:ind w:firstLineChars="200" w:firstLine="482"/>
        <w:rPr>
          <w:rFonts w:ascii="楷体" w:eastAsia="楷体" w:hAnsi="楷体"/>
          <w:b/>
          <w:sz w:val="24"/>
          <w:szCs w:val="24"/>
        </w:rPr>
      </w:pPr>
      <w:r w:rsidRPr="000A3BDE">
        <w:rPr>
          <w:rFonts w:ascii="SimHei" w:eastAsia="黑体" w:hAnsi="SimHei" w:hint="eastAsia"/>
          <w:b/>
          <w:sz w:val="24"/>
          <w:szCs w:val="24"/>
        </w:rPr>
        <w:t xml:space="preserve">第三章 </w:t>
      </w:r>
      <w:r w:rsidR="00EA37DA" w:rsidRPr="000A3BDE">
        <w:rPr>
          <w:rFonts w:ascii="SimHei" w:eastAsia="黑体" w:hAnsi="SimHei" w:hint="eastAsia"/>
          <w:b/>
          <w:sz w:val="24"/>
          <w:szCs w:val="24"/>
        </w:rPr>
        <w:t>薪酬考核</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第十一条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公司高管人员基薪考核指标，主要</w:t>
      </w:r>
      <w:r w:rsidR="009323CF" w:rsidRPr="000A3BDE">
        <w:rPr>
          <w:rFonts w:ascii="SimHei" w:eastAsia="黑体" w:hAnsi="SimHei" w:hint="eastAsia"/>
          <w:sz w:val="24"/>
          <w:szCs w:val="24"/>
        </w:rPr>
        <w:t>由董事会在每年年初</w:t>
      </w:r>
      <w:r w:rsidRPr="000A3BDE">
        <w:rPr>
          <w:rFonts w:ascii="SimHei" w:eastAsia="黑体" w:hAnsi="SimHei" w:hint="eastAsia"/>
          <w:sz w:val="24"/>
          <w:szCs w:val="24"/>
        </w:rPr>
        <w:t>根据其岗位职责，以及公司高管人员年度工作述职情况考核确定。</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第十二条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公司总经理绩效年薪与公司年度绩效考核直接挂钩，依据董事会确定绩效年薪基数乘以按绩效考核分值确定的考核系数确定，绩效年薪=绩效年薪基数*K。其中：K为公司年度绩效考核结果对应的考核系数。</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第十三条</w:t>
      </w:r>
      <w:r w:rsidR="000779FB" w:rsidRPr="000A3BDE">
        <w:rPr>
          <w:rFonts w:ascii="SimHei" w:eastAsia="黑体" w:hAnsi="SimHei" w:hint="eastAsia"/>
          <w:sz w:val="24"/>
          <w:szCs w:val="24"/>
        </w:rPr>
        <w:t xml:space="preserve"> </w:t>
      </w:r>
      <w:r w:rsidRPr="000A3BDE">
        <w:rPr>
          <w:rFonts w:ascii="SimHei" w:eastAsia="黑体" w:hAnsi="SimHei" w:hint="eastAsia"/>
          <w:sz w:val="24"/>
          <w:szCs w:val="24"/>
        </w:rPr>
        <w:t>公司绩效考核指标</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公司绩效考核指标包括：基本经营指标和约束性指标</w:t>
      </w:r>
    </w:p>
    <w:p w:rsidR="00EA37DA"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（一）</w:t>
      </w:r>
      <w:r w:rsidR="00EA37DA" w:rsidRPr="000A3BDE">
        <w:rPr>
          <w:rFonts w:ascii="SimHei" w:eastAsia="黑体" w:hAnsi="SimHei" w:hint="eastAsia"/>
          <w:sz w:val="24"/>
          <w:szCs w:val="24"/>
        </w:rPr>
        <w:t>、基本经营指标</w:t>
      </w:r>
    </w:p>
    <w:tbl>
      <w:tblPr>
        <w:tblStyle w:val="a3"/>
        <w:tblW w:w="0" w:type="auto"/>
        <w:jc w:val="center"/>
        <w:tblInd w:w="675" w:type="dxa"/>
        <w:tblLook w:val="04A0" w:firstRow="1" w:lastRow="0" w:firstColumn="1" w:lastColumn="0" w:noHBand="0" w:noVBand="1"/>
      </w:tblPr>
      <w:tblGrid>
        <w:gridCol w:w="4536"/>
        <w:gridCol w:w="3119"/>
      </w:tblGrid>
      <w:tr w:rsidR="00290BC8" w:rsidRPr="000A3BDE" w:rsidTr="000A3BDE">
        <w:trPr>
          <w:jc w:val="center"/>
        </w:trPr>
        <w:tc>
          <w:tcPr>
            <w:tcW w:w="4536" w:type="dxa"/>
            <w:vAlign w:val="center"/>
          </w:tcPr>
          <w:p w:rsidR="00290BC8"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指标名称</w:t>
            </w:r>
          </w:p>
        </w:tc>
        <w:tc>
          <w:tcPr>
            <w:tcW w:w="3119" w:type="dxa"/>
            <w:vAlign w:val="center"/>
          </w:tcPr>
          <w:p w:rsidR="00290BC8"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比重</w:t>
            </w:r>
          </w:p>
        </w:tc>
      </w:tr>
      <w:tr w:rsidR="00290BC8" w:rsidRPr="000A3BDE" w:rsidTr="000A3BDE">
        <w:trPr>
          <w:jc w:val="center"/>
        </w:trPr>
        <w:tc>
          <w:tcPr>
            <w:tcW w:w="4536" w:type="dxa"/>
          </w:tcPr>
          <w:p w:rsidR="00290BC8"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1、</w:t>
            </w:r>
            <w:r w:rsidR="00F712CD" w:rsidRPr="000A3BDE">
              <w:rPr>
                <w:rFonts w:ascii="SimHei" w:eastAsia="黑体" w:hAnsi="SimHei" w:hint="eastAsia"/>
                <w:sz w:val="24"/>
                <w:szCs w:val="24"/>
              </w:rPr>
              <w:t>净利润</w:t>
            </w:r>
            <w:r w:rsidR="001B1918" w:rsidRPr="000A3BDE">
              <w:rPr>
                <w:rFonts w:ascii="SimHei" w:eastAsia="黑体" w:hAnsi="SimHei" w:hint="eastAsia"/>
                <w:sz w:val="24"/>
                <w:szCs w:val="24"/>
              </w:rPr>
              <w:t>相对</w:t>
            </w:r>
            <w:r w:rsidR="00F712CD" w:rsidRPr="000A3BDE">
              <w:rPr>
                <w:rFonts w:ascii="SimHei" w:eastAsia="黑体" w:hAnsi="SimHei" w:hint="eastAsia"/>
                <w:sz w:val="24"/>
                <w:szCs w:val="24"/>
              </w:rPr>
              <w:t>增长率</w:t>
            </w:r>
          </w:p>
        </w:tc>
        <w:tc>
          <w:tcPr>
            <w:tcW w:w="3119" w:type="dxa"/>
          </w:tcPr>
          <w:p w:rsidR="00290BC8" w:rsidRPr="000A3BDE" w:rsidRDefault="00F712CD"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7</w:t>
            </w:r>
            <w:r w:rsidR="00290BC8" w:rsidRPr="000A3BDE">
              <w:rPr>
                <w:rFonts w:ascii="SimHei" w:eastAsia="黑体" w:hAnsi="SimHei"/>
                <w:sz w:val="24"/>
                <w:szCs w:val="24"/>
              </w:rPr>
              <w:t>0%</w:t>
            </w:r>
          </w:p>
        </w:tc>
      </w:tr>
      <w:tr w:rsidR="00290BC8" w:rsidRPr="000A3BDE" w:rsidTr="000A3BDE">
        <w:trPr>
          <w:jc w:val="center"/>
        </w:trPr>
        <w:tc>
          <w:tcPr>
            <w:tcW w:w="4536" w:type="dxa"/>
          </w:tcPr>
          <w:p w:rsidR="00290BC8" w:rsidRPr="000A3BDE" w:rsidRDefault="00F712CD"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2</w:t>
            </w:r>
            <w:r w:rsidR="00290BC8" w:rsidRPr="000A3BDE">
              <w:rPr>
                <w:rFonts w:ascii="SimHei" w:eastAsia="黑体" w:hAnsi="SimHei" w:hint="eastAsia"/>
                <w:sz w:val="24"/>
                <w:szCs w:val="24"/>
              </w:rPr>
              <w:t>、</w:t>
            </w:r>
            <w:r w:rsidR="006677AA" w:rsidRPr="000A3BDE">
              <w:rPr>
                <w:rFonts w:ascii="SimHei" w:eastAsia="黑体" w:hAnsi="SimHei" w:hint="eastAsia"/>
                <w:sz w:val="24"/>
                <w:szCs w:val="24"/>
              </w:rPr>
              <w:t>重大事项完成情况</w:t>
            </w:r>
          </w:p>
        </w:tc>
        <w:tc>
          <w:tcPr>
            <w:tcW w:w="3119" w:type="dxa"/>
          </w:tcPr>
          <w:p w:rsidR="00290BC8" w:rsidRPr="000A3BDE" w:rsidRDefault="00F712CD"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3</w:t>
            </w:r>
            <w:r w:rsidR="00290BC8" w:rsidRPr="000A3BDE">
              <w:rPr>
                <w:rFonts w:ascii="SimHei" w:eastAsia="黑体" w:hAnsi="SimHei"/>
                <w:sz w:val="24"/>
                <w:szCs w:val="24"/>
              </w:rPr>
              <w:t>0%</w:t>
            </w:r>
          </w:p>
        </w:tc>
      </w:tr>
    </w:tbl>
    <w:p w:rsidR="00EA37DA"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（二）</w:t>
      </w:r>
      <w:r w:rsidR="00EA37DA" w:rsidRPr="000A3BDE">
        <w:rPr>
          <w:rFonts w:ascii="SimHei" w:eastAsia="黑体" w:hAnsi="SimHei" w:hint="eastAsia"/>
          <w:sz w:val="24"/>
          <w:szCs w:val="24"/>
        </w:rPr>
        <w:t>约束性指标</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主要包括：</w:t>
      </w:r>
      <w:r w:rsidR="006677AA" w:rsidRPr="000A3BDE">
        <w:rPr>
          <w:rFonts w:ascii="SimHei" w:eastAsia="黑体" w:hAnsi="SimHei" w:hint="eastAsia"/>
          <w:sz w:val="24"/>
          <w:szCs w:val="24"/>
        </w:rPr>
        <w:t>团队建设、</w:t>
      </w:r>
      <w:r w:rsidRPr="000A3BDE">
        <w:rPr>
          <w:rFonts w:ascii="SimHei" w:eastAsia="黑体" w:hAnsi="SimHei" w:hint="eastAsia"/>
          <w:sz w:val="24"/>
          <w:szCs w:val="24"/>
        </w:rPr>
        <w:t>安全环保、质量管理、保卫保密、风险管理、廉洁从</w:t>
      </w:r>
      <w:r w:rsidR="006677AA" w:rsidRPr="000A3BDE">
        <w:rPr>
          <w:rFonts w:ascii="SimHei" w:eastAsia="黑体" w:hAnsi="SimHei" w:hint="eastAsia"/>
          <w:sz w:val="24"/>
          <w:szCs w:val="24"/>
        </w:rPr>
        <w:t>业、薪酬管控</w:t>
      </w:r>
      <w:r w:rsidRPr="000A3BDE">
        <w:rPr>
          <w:rFonts w:ascii="SimHei" w:eastAsia="黑体" w:hAnsi="SimHei" w:hint="eastAsia"/>
          <w:sz w:val="24"/>
          <w:szCs w:val="24"/>
        </w:rPr>
        <w:t>和规范管理等方面</w:t>
      </w:r>
      <w:r w:rsidR="006677AA" w:rsidRPr="000A3BDE">
        <w:rPr>
          <w:rFonts w:ascii="SimHei" w:eastAsia="黑体" w:hAnsi="SimHei" w:hint="eastAsia"/>
          <w:sz w:val="24"/>
          <w:szCs w:val="24"/>
        </w:rPr>
        <w:t>。</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第十四条</w:t>
      </w:r>
      <w:r w:rsidR="006677AA" w:rsidRPr="000A3BDE">
        <w:rPr>
          <w:rFonts w:ascii="SimHei" w:eastAsia="黑体" w:hAnsi="SimHei" w:hint="eastAsia"/>
          <w:sz w:val="24"/>
          <w:szCs w:val="24"/>
        </w:rPr>
        <w:t xml:space="preserve"> </w:t>
      </w:r>
      <w:r w:rsidRPr="000A3BDE">
        <w:rPr>
          <w:rFonts w:ascii="SimHei" w:eastAsia="黑体" w:hAnsi="SimHei" w:hint="eastAsia"/>
          <w:sz w:val="24"/>
          <w:szCs w:val="24"/>
        </w:rPr>
        <w:t>绩效考核具体办法</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年度绩效考核得分=Σ（各项基本经营指标得分×权重×100）/考核体系对应的理论满分值－约束性指标扣分</w:t>
      </w:r>
      <w:bookmarkStart w:id="0" w:name="_GoBack"/>
      <w:bookmarkEnd w:id="0"/>
    </w:p>
    <w:p w:rsidR="00EA37DA"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（一）</w:t>
      </w:r>
      <w:r w:rsidR="00EA37DA" w:rsidRPr="000A3BDE">
        <w:rPr>
          <w:rFonts w:ascii="SimHei" w:eastAsia="黑体" w:hAnsi="SimHei" w:hint="eastAsia"/>
          <w:sz w:val="24"/>
          <w:szCs w:val="24"/>
        </w:rPr>
        <w:t>基本经营指标考核办法</w:t>
      </w:r>
    </w:p>
    <w:p w:rsidR="001B1918"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 xml:space="preserve"> 1、</w:t>
      </w:r>
      <w:r w:rsidR="009F3A99" w:rsidRPr="000A3BDE">
        <w:rPr>
          <w:rFonts w:ascii="SimHei" w:eastAsia="黑体" w:hAnsi="SimHei" w:hint="eastAsia"/>
          <w:sz w:val="24"/>
          <w:szCs w:val="24"/>
        </w:rPr>
        <w:t>净利润</w:t>
      </w:r>
      <w:r w:rsidR="001B1918" w:rsidRPr="000A3BDE">
        <w:rPr>
          <w:rFonts w:ascii="SimHei" w:eastAsia="黑体" w:hAnsi="SimHei" w:hint="eastAsia"/>
          <w:sz w:val="24"/>
          <w:szCs w:val="24"/>
        </w:rPr>
        <w:t>相对</w:t>
      </w:r>
      <w:r w:rsidR="009F3A99" w:rsidRPr="000A3BDE">
        <w:rPr>
          <w:rFonts w:ascii="SimHei" w:eastAsia="黑体" w:hAnsi="SimHei" w:hint="eastAsia"/>
          <w:sz w:val="24"/>
          <w:szCs w:val="24"/>
        </w:rPr>
        <w:t>增长率</w:t>
      </w:r>
      <w:r w:rsidR="00CD15FB" w:rsidRPr="000A3BDE">
        <w:rPr>
          <w:rFonts w:ascii="SimHei" w:eastAsia="黑体" w:hAnsi="SimHei" w:hint="eastAsia"/>
          <w:sz w:val="24"/>
          <w:szCs w:val="24"/>
        </w:rPr>
        <w:t>（C）</w:t>
      </w:r>
    </w:p>
    <w:p w:rsidR="001B1918" w:rsidRPr="000A3BDE" w:rsidRDefault="004B08CD"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 xml:space="preserve"> </w:t>
      </w:r>
      <w:r w:rsidR="001B1918" w:rsidRPr="000A3BDE">
        <w:rPr>
          <w:rFonts w:ascii="SimHei" w:eastAsia="黑体" w:hAnsi="SimHei" w:hint="eastAsia"/>
          <w:sz w:val="24"/>
          <w:szCs w:val="24"/>
        </w:rPr>
        <w:t>A=</w:t>
      </w:r>
      <w:r w:rsidR="009F3A99" w:rsidRPr="000A3BDE">
        <w:rPr>
          <w:rFonts w:ascii="SimHei" w:eastAsia="黑体" w:hAnsi="SimHei" w:hint="eastAsia"/>
          <w:sz w:val="24"/>
          <w:szCs w:val="24"/>
        </w:rPr>
        <w:t>创业板上市公司20</w:t>
      </w:r>
      <w:r w:rsidR="007C34DF">
        <w:rPr>
          <w:rFonts w:ascii="SimHei" w:eastAsia="黑体" w:hAnsi="SimHei" w:hint="eastAsia"/>
          <w:sz w:val="24"/>
          <w:szCs w:val="24"/>
        </w:rPr>
        <w:t>XX</w:t>
      </w:r>
      <w:r w:rsidR="009F3A99" w:rsidRPr="000A3BDE">
        <w:rPr>
          <w:rFonts w:ascii="SimHei" w:eastAsia="黑体" w:hAnsi="SimHei" w:hint="eastAsia"/>
          <w:sz w:val="24"/>
          <w:szCs w:val="24"/>
        </w:rPr>
        <w:t>年平均净利润</w:t>
      </w:r>
      <w:r w:rsidRPr="000A3BDE">
        <w:rPr>
          <w:rFonts w:ascii="SimHei" w:eastAsia="黑体" w:hAnsi="SimHei" w:hint="eastAsia"/>
          <w:sz w:val="24"/>
          <w:szCs w:val="24"/>
        </w:rPr>
        <w:t>增长率</w:t>
      </w:r>
      <w:r w:rsidR="009F3A99" w:rsidRPr="000A3BDE">
        <w:rPr>
          <w:rFonts w:ascii="SimHei" w:eastAsia="黑体" w:hAnsi="SimHei" w:hint="eastAsia"/>
          <w:sz w:val="24"/>
          <w:szCs w:val="24"/>
        </w:rPr>
        <w:t>20%</w:t>
      </w:r>
    </w:p>
    <w:p w:rsidR="009F3A99" w:rsidRPr="000A3BDE" w:rsidRDefault="004B08CD"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 xml:space="preserve"> </w:t>
      </w:r>
      <w:r w:rsidR="001B1918" w:rsidRPr="000A3BDE">
        <w:rPr>
          <w:rFonts w:ascii="SimHei" w:eastAsia="黑体" w:hAnsi="SimHei" w:hint="eastAsia"/>
          <w:sz w:val="24"/>
          <w:szCs w:val="24"/>
        </w:rPr>
        <w:t>B=</w:t>
      </w:r>
      <w:r w:rsidR="00EA37DA" w:rsidRPr="000A3BDE">
        <w:rPr>
          <w:rFonts w:ascii="SimHei" w:eastAsia="黑体" w:hAnsi="SimHei" w:hint="eastAsia"/>
          <w:sz w:val="24"/>
          <w:szCs w:val="24"/>
        </w:rPr>
        <w:t>公司</w:t>
      </w:r>
      <w:r w:rsidR="009F3A99" w:rsidRPr="000A3BDE">
        <w:rPr>
          <w:rFonts w:ascii="SimHei" w:eastAsia="黑体" w:hAnsi="SimHei" w:hint="eastAsia"/>
          <w:sz w:val="24"/>
          <w:szCs w:val="24"/>
        </w:rPr>
        <w:t>当年实现的净利润增长率</w:t>
      </w:r>
    </w:p>
    <w:p w:rsidR="00CD15FB" w:rsidRPr="000A3BDE" w:rsidRDefault="004B08CD"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 xml:space="preserve"> </w:t>
      </w:r>
      <w:r w:rsidR="001B1918" w:rsidRPr="000A3BDE">
        <w:rPr>
          <w:rFonts w:ascii="SimHei" w:eastAsia="黑体" w:hAnsi="SimHei" w:hint="eastAsia"/>
          <w:sz w:val="24"/>
          <w:szCs w:val="24"/>
        </w:rPr>
        <w:t>C=B-A</w:t>
      </w:r>
    </w:p>
    <w:p w:rsidR="001B1918" w:rsidRPr="000A3BDE" w:rsidRDefault="004B08CD"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 xml:space="preserve"> </w:t>
      </w:r>
      <w:r w:rsidR="001B1918" w:rsidRPr="000A3BDE">
        <w:rPr>
          <w:rFonts w:ascii="SimHei" w:eastAsia="黑体" w:hAnsi="SimHei" w:hint="eastAsia"/>
          <w:sz w:val="24"/>
          <w:szCs w:val="24"/>
        </w:rPr>
        <w:t>基础分</w:t>
      </w:r>
      <w:r w:rsidR="004721E7" w:rsidRPr="000A3BDE">
        <w:rPr>
          <w:rFonts w:ascii="SimHei" w:eastAsia="黑体" w:hAnsi="SimHei" w:hint="eastAsia"/>
          <w:sz w:val="24"/>
          <w:szCs w:val="24"/>
        </w:rPr>
        <w:t>70分，</w:t>
      </w:r>
      <w:r w:rsidR="00CD15FB" w:rsidRPr="000A3BDE">
        <w:rPr>
          <w:rFonts w:ascii="SimHei" w:eastAsia="黑体" w:hAnsi="SimHei" w:hint="eastAsia"/>
          <w:sz w:val="24"/>
          <w:szCs w:val="24"/>
        </w:rPr>
        <w:t>每增加10%</w:t>
      </w:r>
      <w:r w:rsidR="004721E7" w:rsidRPr="000A3BDE">
        <w:rPr>
          <w:rFonts w:ascii="SimHei" w:eastAsia="黑体" w:hAnsi="SimHei" w:hint="eastAsia"/>
          <w:sz w:val="24"/>
          <w:szCs w:val="24"/>
        </w:rPr>
        <w:t>，加10分，最高加30分。</w:t>
      </w:r>
    </w:p>
    <w:p w:rsidR="00EA37DA" w:rsidRPr="000A3BDE" w:rsidRDefault="001B191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2</w:t>
      </w:r>
      <w:r w:rsidR="00290BC8" w:rsidRPr="000A3BDE">
        <w:rPr>
          <w:rFonts w:ascii="SimHei" w:eastAsia="黑体" w:hAnsi="SimHei" w:hint="eastAsia"/>
          <w:sz w:val="24"/>
          <w:szCs w:val="24"/>
        </w:rPr>
        <w:t>、</w:t>
      </w:r>
      <w:r w:rsidR="006677AA" w:rsidRPr="000A3BDE">
        <w:rPr>
          <w:rFonts w:ascii="SimHei" w:eastAsia="黑体" w:hAnsi="SimHei" w:hint="eastAsia"/>
          <w:sz w:val="24"/>
          <w:szCs w:val="24"/>
        </w:rPr>
        <w:t>重大事项</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由董事会薪酬与考核委员会根据公司年度</w:t>
      </w:r>
      <w:r w:rsidR="006677AA" w:rsidRPr="000A3BDE">
        <w:rPr>
          <w:rFonts w:ascii="SimHei" w:eastAsia="黑体" w:hAnsi="SimHei" w:hint="eastAsia"/>
          <w:sz w:val="24"/>
          <w:szCs w:val="24"/>
        </w:rPr>
        <w:t>重大事项</w:t>
      </w:r>
      <w:r w:rsidRPr="000A3BDE">
        <w:rPr>
          <w:rFonts w:ascii="SimHei" w:eastAsia="黑体" w:hAnsi="SimHei" w:hint="eastAsia"/>
          <w:sz w:val="24"/>
          <w:szCs w:val="24"/>
        </w:rPr>
        <w:t>完成情况确定得分。</w:t>
      </w:r>
    </w:p>
    <w:p w:rsidR="00EA37DA" w:rsidRPr="000A3BDE" w:rsidRDefault="00290BC8"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（二）</w:t>
      </w:r>
      <w:r w:rsidR="00EA37DA" w:rsidRPr="000A3BDE">
        <w:rPr>
          <w:rFonts w:ascii="SimHei" w:eastAsia="黑体" w:hAnsi="SimHei" w:hint="eastAsia"/>
          <w:sz w:val="24"/>
          <w:szCs w:val="24"/>
        </w:rPr>
        <w:t>约束性指标扣分项考核</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由董事会薪酬与考核委员会根据各项约束性指标完成情况考核评定，各指标只进行扣分，不加分。</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第十五条</w:t>
      </w:r>
      <w:r w:rsidR="006677AA" w:rsidRPr="000A3BDE">
        <w:rPr>
          <w:rFonts w:ascii="SimHei" w:eastAsia="黑体" w:hAnsi="SimHei" w:hint="eastAsia"/>
          <w:sz w:val="24"/>
          <w:szCs w:val="24"/>
        </w:rPr>
        <w:t xml:space="preserve"> </w:t>
      </w:r>
      <w:r w:rsidRPr="000A3BDE">
        <w:rPr>
          <w:rFonts w:ascii="SimHei" w:eastAsia="黑体" w:hAnsi="SimHei" w:hint="eastAsia"/>
          <w:sz w:val="24"/>
          <w:szCs w:val="24"/>
        </w:rPr>
        <w:t>绩效考核得分对应的考核系数表</w:t>
      </w:r>
    </w:p>
    <w:tbl>
      <w:tblPr>
        <w:tblStyle w:val="a3"/>
        <w:tblW w:w="0" w:type="auto"/>
        <w:jc w:val="center"/>
        <w:tblInd w:w="675" w:type="dxa"/>
        <w:tblLook w:val="04A0" w:firstRow="1" w:lastRow="0" w:firstColumn="1" w:lastColumn="0" w:noHBand="0" w:noVBand="1"/>
      </w:tblPr>
      <w:tblGrid>
        <w:gridCol w:w="1985"/>
        <w:gridCol w:w="1701"/>
        <w:gridCol w:w="4161"/>
      </w:tblGrid>
      <w:tr w:rsidR="00290BC8" w:rsidRPr="000A3BDE" w:rsidTr="000A3BDE">
        <w:trPr>
          <w:jc w:val="center"/>
        </w:trPr>
        <w:tc>
          <w:tcPr>
            <w:tcW w:w="1985" w:type="dxa"/>
            <w:vAlign w:val="center"/>
          </w:tcPr>
          <w:p w:rsidR="00290BC8" w:rsidRPr="000A3BDE" w:rsidRDefault="00290BC8" w:rsidP="000A3BDE">
            <w:pPr>
              <w:spacing w:line="360" w:lineRule="auto"/>
              <w:rPr>
                <w:rFonts w:ascii="楷体" w:eastAsia="楷体" w:hAnsi="楷体"/>
                <w:sz w:val="24"/>
                <w:szCs w:val="24"/>
              </w:rPr>
            </w:pPr>
            <w:r w:rsidRPr="000A3BDE">
              <w:rPr>
                <w:rFonts w:ascii="SimHei" w:eastAsia="黑体" w:hAnsi="SimHei" w:hint="eastAsia"/>
                <w:sz w:val="24"/>
                <w:szCs w:val="24"/>
              </w:rPr>
              <w:t>绩效考核分值</w:t>
            </w:r>
          </w:p>
        </w:tc>
        <w:tc>
          <w:tcPr>
            <w:tcW w:w="1701" w:type="dxa"/>
            <w:vAlign w:val="center"/>
          </w:tcPr>
          <w:p w:rsidR="00290BC8" w:rsidRPr="000A3BDE" w:rsidRDefault="00290BC8" w:rsidP="000A3BDE">
            <w:pPr>
              <w:spacing w:line="360" w:lineRule="auto"/>
              <w:rPr>
                <w:rFonts w:ascii="楷体" w:eastAsia="楷体" w:hAnsi="楷体"/>
                <w:sz w:val="24"/>
                <w:szCs w:val="24"/>
              </w:rPr>
            </w:pPr>
            <w:r w:rsidRPr="000A3BDE">
              <w:rPr>
                <w:rFonts w:ascii="SimHei" w:eastAsia="黑体" w:hAnsi="SimHei" w:hint="eastAsia"/>
                <w:sz w:val="24"/>
                <w:szCs w:val="24"/>
              </w:rPr>
              <w:t>考核系数范围</w:t>
            </w:r>
          </w:p>
        </w:tc>
        <w:tc>
          <w:tcPr>
            <w:tcW w:w="4161" w:type="dxa"/>
            <w:vAlign w:val="center"/>
          </w:tcPr>
          <w:p w:rsidR="00290BC8" w:rsidRPr="000A3BDE" w:rsidRDefault="00290BC8" w:rsidP="000A3BDE">
            <w:pPr>
              <w:spacing w:line="360" w:lineRule="auto"/>
              <w:rPr>
                <w:rFonts w:ascii="楷体" w:eastAsia="楷体" w:hAnsi="楷体"/>
                <w:sz w:val="24"/>
                <w:szCs w:val="24"/>
              </w:rPr>
            </w:pPr>
            <w:r w:rsidRPr="000A3BDE">
              <w:rPr>
                <w:rFonts w:ascii="SimHei" w:eastAsia="黑体" w:hAnsi="SimHei" w:hint="eastAsia"/>
                <w:sz w:val="24"/>
                <w:szCs w:val="24"/>
              </w:rPr>
              <w:t>考核系数计算公式</w:t>
            </w:r>
          </w:p>
        </w:tc>
      </w:tr>
      <w:tr w:rsidR="00290BC8" w:rsidRPr="000A3BDE" w:rsidTr="000A3BDE">
        <w:trPr>
          <w:jc w:val="center"/>
        </w:trPr>
        <w:tc>
          <w:tcPr>
            <w:tcW w:w="1985" w:type="dxa"/>
            <w:vAlign w:val="center"/>
          </w:tcPr>
          <w:p w:rsidR="00290BC8" w:rsidRPr="000A3BDE" w:rsidRDefault="00290BC8" w:rsidP="000A3BDE">
            <w:pPr>
              <w:spacing w:line="360" w:lineRule="auto"/>
              <w:rPr>
                <w:rFonts w:ascii="楷体" w:eastAsia="楷体" w:hAnsi="楷体"/>
                <w:sz w:val="24"/>
                <w:szCs w:val="24"/>
              </w:rPr>
            </w:pPr>
            <w:r w:rsidRPr="000A3BDE">
              <w:rPr>
                <w:rFonts w:ascii="SimHei" w:eastAsia="黑体" w:hAnsi="SimHei" w:hint="eastAsia"/>
                <w:sz w:val="24"/>
                <w:szCs w:val="24"/>
              </w:rPr>
              <w:t>90＜分值≤100</w:t>
            </w:r>
          </w:p>
        </w:tc>
        <w:tc>
          <w:tcPr>
            <w:tcW w:w="1701" w:type="dxa"/>
            <w:vAlign w:val="center"/>
          </w:tcPr>
          <w:p w:rsidR="00290BC8" w:rsidRPr="000A3BDE" w:rsidRDefault="00290BC8" w:rsidP="000A3BDE">
            <w:pPr>
              <w:spacing w:line="360" w:lineRule="auto"/>
              <w:rPr>
                <w:rFonts w:ascii="楷体" w:eastAsia="楷体" w:hAnsi="楷体"/>
                <w:sz w:val="24"/>
                <w:szCs w:val="24"/>
              </w:rPr>
            </w:pPr>
            <w:r w:rsidRPr="000A3BDE">
              <w:rPr>
                <w:rFonts w:ascii="SimHei" w:eastAsia="黑体" w:hAnsi="SimHei" w:hint="eastAsia"/>
                <w:sz w:val="24"/>
                <w:szCs w:val="24"/>
              </w:rPr>
              <w:t>1.5～2.1</w:t>
            </w:r>
          </w:p>
        </w:tc>
        <w:tc>
          <w:tcPr>
            <w:tcW w:w="4161" w:type="dxa"/>
            <w:vAlign w:val="center"/>
          </w:tcPr>
          <w:p w:rsidR="00290BC8" w:rsidRPr="000A3BDE" w:rsidRDefault="00290BC8" w:rsidP="000A3BDE">
            <w:pPr>
              <w:spacing w:line="360" w:lineRule="auto"/>
              <w:rPr>
                <w:rFonts w:ascii="楷体" w:eastAsia="楷体" w:hAnsi="楷体"/>
                <w:sz w:val="24"/>
                <w:szCs w:val="24"/>
              </w:rPr>
            </w:pPr>
            <w:r w:rsidRPr="000A3BDE">
              <w:rPr>
                <w:rFonts w:ascii="SimHei" w:eastAsia="黑体" w:hAnsi="SimHei" w:hint="eastAsia"/>
                <w:sz w:val="24"/>
                <w:szCs w:val="24"/>
              </w:rPr>
              <w:t>1.5+（分值－90）×（2.1－1.5）/10</w:t>
            </w:r>
          </w:p>
        </w:tc>
      </w:tr>
      <w:tr w:rsidR="00290BC8" w:rsidRPr="000A3BDE" w:rsidTr="000A3BDE">
        <w:trPr>
          <w:jc w:val="center"/>
        </w:trPr>
        <w:tc>
          <w:tcPr>
            <w:tcW w:w="1985"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80＜分值≤90</w:t>
            </w:r>
          </w:p>
        </w:tc>
        <w:tc>
          <w:tcPr>
            <w:tcW w:w="170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1.1～1.5</w:t>
            </w:r>
          </w:p>
        </w:tc>
        <w:tc>
          <w:tcPr>
            <w:tcW w:w="416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1.1+（分值－80）×（1.5－1.1）/10</w:t>
            </w:r>
          </w:p>
        </w:tc>
      </w:tr>
      <w:tr w:rsidR="00290BC8" w:rsidRPr="000A3BDE" w:rsidTr="000A3BDE">
        <w:trPr>
          <w:jc w:val="center"/>
        </w:trPr>
        <w:tc>
          <w:tcPr>
            <w:tcW w:w="1985"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70＜分值≤80</w:t>
            </w:r>
          </w:p>
        </w:tc>
        <w:tc>
          <w:tcPr>
            <w:tcW w:w="170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0.7～1.1</w:t>
            </w:r>
          </w:p>
        </w:tc>
        <w:tc>
          <w:tcPr>
            <w:tcW w:w="416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0.7+（分值－70）×（1.1－0.7）/10</w:t>
            </w:r>
          </w:p>
        </w:tc>
      </w:tr>
      <w:tr w:rsidR="00290BC8" w:rsidRPr="000A3BDE" w:rsidTr="000A3BDE">
        <w:trPr>
          <w:jc w:val="center"/>
        </w:trPr>
        <w:tc>
          <w:tcPr>
            <w:tcW w:w="1985"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60＜分值≤70</w:t>
            </w:r>
          </w:p>
        </w:tc>
        <w:tc>
          <w:tcPr>
            <w:tcW w:w="170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0.5～0.7</w:t>
            </w:r>
          </w:p>
        </w:tc>
        <w:tc>
          <w:tcPr>
            <w:tcW w:w="416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0.5+（分值－60）×（0.7－0.5）/10</w:t>
            </w:r>
          </w:p>
        </w:tc>
      </w:tr>
      <w:tr w:rsidR="00290BC8" w:rsidRPr="000A3BDE" w:rsidTr="000A3BDE">
        <w:trPr>
          <w:jc w:val="center"/>
        </w:trPr>
        <w:tc>
          <w:tcPr>
            <w:tcW w:w="1985"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分值≤60</w:t>
            </w:r>
          </w:p>
        </w:tc>
        <w:tc>
          <w:tcPr>
            <w:tcW w:w="170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0</w:t>
            </w:r>
          </w:p>
        </w:tc>
        <w:tc>
          <w:tcPr>
            <w:tcW w:w="4161" w:type="dxa"/>
            <w:vAlign w:val="center"/>
          </w:tcPr>
          <w:p w:rsidR="00290BC8" w:rsidRPr="000A3BDE" w:rsidRDefault="00EB5F66" w:rsidP="000A3BDE">
            <w:pPr>
              <w:spacing w:line="360" w:lineRule="auto"/>
              <w:rPr>
                <w:rFonts w:ascii="楷体" w:eastAsia="楷体" w:hAnsi="楷体"/>
                <w:sz w:val="24"/>
                <w:szCs w:val="24"/>
              </w:rPr>
            </w:pPr>
            <w:r w:rsidRPr="000A3BDE">
              <w:rPr>
                <w:rFonts w:ascii="SimHei" w:eastAsia="黑体" w:hAnsi="SimHei" w:hint="eastAsia"/>
                <w:sz w:val="24"/>
                <w:szCs w:val="24"/>
              </w:rPr>
              <w:t>0</w:t>
            </w:r>
          </w:p>
        </w:tc>
      </w:tr>
    </w:tbl>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第十六条</w:t>
      </w:r>
      <w:r w:rsidR="006677AA" w:rsidRPr="000A3BDE">
        <w:rPr>
          <w:rFonts w:ascii="SimHei" w:eastAsia="黑体" w:hAnsi="SimHei" w:hint="eastAsia"/>
          <w:sz w:val="24"/>
          <w:szCs w:val="24"/>
        </w:rPr>
        <w:t xml:space="preserve"> </w:t>
      </w:r>
      <w:r w:rsidRPr="000A3BDE">
        <w:rPr>
          <w:rFonts w:ascii="SimHei" w:eastAsia="黑体" w:hAnsi="SimHei" w:hint="eastAsia"/>
          <w:sz w:val="24"/>
          <w:szCs w:val="24"/>
        </w:rPr>
        <w:t>因不可抗力或非经常性因素形成的损益，经薪酬与考核委员会审核后，可不纳入考核指标。</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第十七条</w:t>
      </w:r>
      <w:r w:rsidR="006677AA" w:rsidRPr="000A3BDE">
        <w:rPr>
          <w:rFonts w:ascii="SimHei" w:eastAsia="黑体" w:hAnsi="SimHei" w:hint="eastAsia"/>
          <w:sz w:val="24"/>
          <w:szCs w:val="24"/>
        </w:rPr>
        <w:t xml:space="preserve"> </w:t>
      </w:r>
      <w:r w:rsidRPr="000A3BDE">
        <w:rPr>
          <w:rFonts w:ascii="SimHei" w:eastAsia="黑体" w:hAnsi="SimHei" w:hint="eastAsia"/>
          <w:sz w:val="24"/>
          <w:szCs w:val="24"/>
        </w:rPr>
        <w:t>公司董事会下设的薪酬与考核委员会，负责根据</w:t>
      </w:r>
      <w:r w:rsidR="00702F26" w:rsidRPr="000A3BDE">
        <w:rPr>
          <w:rFonts w:ascii="SimHei" w:eastAsia="黑体" w:hAnsi="SimHei" w:hint="eastAsia"/>
          <w:sz w:val="24"/>
          <w:szCs w:val="24"/>
        </w:rPr>
        <w:t>本办法及</w:t>
      </w:r>
      <w:r w:rsidRPr="000A3BDE">
        <w:rPr>
          <w:rFonts w:ascii="SimHei" w:eastAsia="黑体" w:hAnsi="SimHei" w:hint="eastAsia"/>
          <w:sz w:val="24"/>
          <w:szCs w:val="24"/>
        </w:rPr>
        <w:t>年度经营业绩完成的实际情况，确定公司总经理的年度考核系数并提出绩效年薪建议，报董事会批准。</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第十八条</w:t>
      </w:r>
      <w:r w:rsidR="00702F26" w:rsidRPr="000A3BDE">
        <w:rPr>
          <w:rFonts w:ascii="SimHei" w:eastAsia="黑体" w:hAnsi="SimHei" w:hint="eastAsia"/>
          <w:sz w:val="24"/>
          <w:szCs w:val="24"/>
        </w:rPr>
        <w:t xml:space="preserve"> </w:t>
      </w:r>
      <w:r w:rsidRPr="000A3BDE">
        <w:rPr>
          <w:rFonts w:ascii="SimHei" w:eastAsia="黑体" w:hAnsi="SimHei" w:hint="eastAsia"/>
          <w:sz w:val="24"/>
          <w:szCs w:val="24"/>
        </w:rPr>
        <w:t>公司董事会薪酬与考核委员负责根据年初董事会安排的特殊任务实际完成情况和公司高管人员在公司市场开拓、内部挖潜，促进公司重点任务完成以及可持续发展，提高运行质量和效率方面的业绩，提出高管人员特殊奖励建议金额，报董事会批准。</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第十九条</w:t>
      </w:r>
      <w:r w:rsidR="00702F26" w:rsidRPr="000A3BDE">
        <w:rPr>
          <w:rFonts w:ascii="SimHei" w:eastAsia="黑体" w:hAnsi="SimHei" w:hint="eastAsia"/>
          <w:sz w:val="24"/>
          <w:szCs w:val="24"/>
        </w:rPr>
        <w:t xml:space="preserve"> </w:t>
      </w:r>
      <w:r w:rsidRPr="000A3BDE">
        <w:rPr>
          <w:rFonts w:ascii="SimHei" w:eastAsia="黑体" w:hAnsi="SimHei" w:hint="eastAsia"/>
          <w:sz w:val="24"/>
          <w:szCs w:val="24"/>
        </w:rPr>
        <w:t>公司必须严格按照本办法规定发放高管人员薪酬，出现违反本办法发放薪酬情形，除责成高管人员退回超发薪酬外，董事会将</w:t>
      </w:r>
      <w:proofErr w:type="gramStart"/>
      <w:r w:rsidRPr="000A3BDE">
        <w:rPr>
          <w:rFonts w:ascii="SimHei" w:eastAsia="黑体" w:hAnsi="SimHei" w:hint="eastAsia"/>
          <w:sz w:val="24"/>
          <w:szCs w:val="24"/>
        </w:rPr>
        <w:t>追究高</w:t>
      </w:r>
      <w:proofErr w:type="gramEnd"/>
      <w:r w:rsidRPr="000A3BDE">
        <w:rPr>
          <w:rFonts w:ascii="SimHei" w:eastAsia="黑体" w:hAnsi="SimHei" w:hint="eastAsia"/>
          <w:sz w:val="24"/>
          <w:szCs w:val="24"/>
        </w:rPr>
        <w:t>管人员相应责任。</w:t>
      </w:r>
    </w:p>
    <w:p w:rsidR="00EA37DA" w:rsidRPr="000A3BDE" w:rsidRDefault="00702F26" w:rsidP="000A3BDE">
      <w:pPr>
        <w:spacing w:line="360" w:lineRule="auto"/>
        <w:ind w:firstLineChars="200" w:firstLine="482"/>
        <w:rPr>
          <w:rFonts w:ascii="楷体" w:eastAsia="楷体" w:hAnsi="楷体"/>
          <w:sz w:val="24"/>
          <w:szCs w:val="24"/>
        </w:rPr>
      </w:pPr>
      <w:r w:rsidRPr="000A3BDE">
        <w:rPr>
          <w:rFonts w:ascii="SimHei" w:eastAsia="黑体" w:hAnsi="SimHei" w:hint="eastAsia"/>
          <w:b/>
          <w:sz w:val="24"/>
          <w:szCs w:val="24"/>
        </w:rPr>
        <w:t xml:space="preserve">第四章 </w:t>
      </w:r>
      <w:r w:rsidR="00EA37DA" w:rsidRPr="000A3BDE">
        <w:rPr>
          <w:rFonts w:ascii="SimHei" w:eastAsia="黑体" w:hAnsi="SimHei" w:hint="eastAsia"/>
          <w:b/>
          <w:sz w:val="24"/>
          <w:szCs w:val="24"/>
        </w:rPr>
        <w:t>附则</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第二十条</w:t>
      </w:r>
      <w:r w:rsidR="00702F26" w:rsidRPr="000A3BDE">
        <w:rPr>
          <w:rFonts w:ascii="SimHei" w:eastAsia="黑体" w:hAnsi="SimHei" w:hint="eastAsia"/>
          <w:sz w:val="24"/>
          <w:szCs w:val="24"/>
        </w:rPr>
        <w:t xml:space="preserve"> </w:t>
      </w:r>
      <w:r w:rsidRPr="000A3BDE">
        <w:rPr>
          <w:rFonts w:ascii="SimHei" w:eastAsia="黑体" w:hAnsi="SimHei" w:hint="eastAsia"/>
          <w:sz w:val="24"/>
          <w:szCs w:val="24"/>
        </w:rPr>
        <w:t>本办法由公司董事会薪酬委员会负责解释。</w:t>
      </w:r>
    </w:p>
    <w:p w:rsidR="00EA37DA"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第二十一条</w:t>
      </w:r>
      <w:r w:rsidR="00702F26" w:rsidRPr="000A3BDE">
        <w:rPr>
          <w:rFonts w:ascii="SimHei" w:eastAsia="黑体" w:hAnsi="SimHei" w:hint="eastAsia"/>
          <w:sz w:val="24"/>
          <w:szCs w:val="24"/>
        </w:rPr>
        <w:t xml:space="preserve"> </w:t>
      </w:r>
      <w:r w:rsidRPr="000A3BDE">
        <w:rPr>
          <w:rFonts w:ascii="SimHei" w:eastAsia="黑体" w:hAnsi="SimHei" w:hint="eastAsia"/>
          <w:sz w:val="24"/>
          <w:szCs w:val="24"/>
        </w:rPr>
        <w:t>本办法自二零</w:t>
      </w:r>
      <w:r w:rsidR="000A3BDE">
        <w:rPr>
          <w:rFonts w:ascii="SimHei" w:eastAsia="黑体" w:hAnsi="SimHei" w:hint="eastAsia"/>
          <w:sz w:val="24"/>
          <w:szCs w:val="24"/>
        </w:rPr>
        <w:t>XX</w:t>
      </w:r>
      <w:r w:rsidRPr="000A3BDE">
        <w:rPr>
          <w:rFonts w:ascii="SimHei" w:eastAsia="黑体" w:hAnsi="SimHei" w:hint="eastAsia"/>
          <w:sz w:val="24"/>
          <w:szCs w:val="24"/>
        </w:rPr>
        <w:t>年</w:t>
      </w:r>
      <w:r w:rsidR="00AF3AE4" w:rsidRPr="000A3BDE">
        <w:rPr>
          <w:rFonts w:ascii="SimHei" w:eastAsia="黑体" w:hAnsi="SimHei" w:hint="eastAsia"/>
          <w:sz w:val="24"/>
          <w:szCs w:val="24"/>
        </w:rPr>
        <w:t>十</w:t>
      </w:r>
      <w:r w:rsidRPr="000A3BDE">
        <w:rPr>
          <w:rFonts w:ascii="SimHei" w:eastAsia="黑体" w:hAnsi="SimHei" w:hint="eastAsia"/>
          <w:sz w:val="24"/>
          <w:szCs w:val="24"/>
        </w:rPr>
        <w:t>月</w:t>
      </w:r>
      <w:r w:rsidR="00AF3AE4" w:rsidRPr="000A3BDE">
        <w:rPr>
          <w:rFonts w:ascii="SimHei" w:eastAsia="黑体" w:hAnsi="SimHei" w:hint="eastAsia"/>
          <w:sz w:val="24"/>
          <w:szCs w:val="24"/>
        </w:rPr>
        <w:t>十</w:t>
      </w:r>
      <w:r w:rsidRPr="000A3BDE">
        <w:rPr>
          <w:rFonts w:ascii="SimHei" w:eastAsia="黑体" w:hAnsi="SimHei" w:hint="eastAsia"/>
          <w:sz w:val="24"/>
          <w:szCs w:val="24"/>
        </w:rPr>
        <w:t>日起执行。</w:t>
      </w:r>
    </w:p>
    <w:p w:rsidR="00EB5F66" w:rsidRPr="000A3BDE" w:rsidRDefault="00EB5F66" w:rsidP="000A3BDE">
      <w:pPr>
        <w:spacing w:line="360" w:lineRule="auto"/>
        <w:ind w:firstLineChars="200" w:firstLine="480"/>
        <w:rPr>
          <w:rFonts w:ascii="楷体" w:eastAsia="楷体" w:hAnsi="楷体"/>
          <w:sz w:val="24"/>
          <w:szCs w:val="24"/>
        </w:rPr>
      </w:pPr>
    </w:p>
    <w:p w:rsidR="00EB5F66" w:rsidRPr="000A3BDE" w:rsidRDefault="00EB5F66" w:rsidP="000A3BDE">
      <w:pPr>
        <w:spacing w:line="360" w:lineRule="auto"/>
        <w:ind w:firstLineChars="200" w:firstLine="480"/>
        <w:rPr>
          <w:rFonts w:ascii="楷体" w:eastAsia="楷体" w:hAnsi="楷体"/>
          <w:sz w:val="24"/>
          <w:szCs w:val="24"/>
        </w:rPr>
      </w:pPr>
    </w:p>
    <w:p w:rsidR="00EA37DA" w:rsidRPr="000A3BDE" w:rsidRDefault="00916D67"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w:t>
      </w:r>
      <w:r w:rsidR="00EA37DA" w:rsidRPr="000A3BDE">
        <w:rPr>
          <w:rFonts w:ascii="SimHei" w:eastAsia="黑体" w:hAnsi="SimHei" w:hint="eastAsia"/>
          <w:sz w:val="24"/>
          <w:szCs w:val="24"/>
        </w:rPr>
        <w:t>股份公司董事会</w:t>
      </w:r>
    </w:p>
    <w:p w:rsidR="00EF065B" w:rsidRPr="000A3BDE" w:rsidRDefault="00EA37DA" w:rsidP="000A3BDE">
      <w:pPr>
        <w:spacing w:line="360" w:lineRule="auto"/>
        <w:ind w:firstLineChars="200" w:firstLine="480"/>
        <w:rPr>
          <w:rFonts w:ascii="楷体" w:eastAsia="楷体" w:hAnsi="楷体"/>
          <w:sz w:val="24"/>
          <w:szCs w:val="24"/>
        </w:rPr>
      </w:pPr>
      <w:r w:rsidRPr="000A3BDE">
        <w:rPr>
          <w:rFonts w:ascii="SimHei" w:eastAsia="黑体" w:hAnsi="SimHei" w:hint="eastAsia"/>
          <w:sz w:val="24"/>
          <w:szCs w:val="24"/>
        </w:rPr>
        <w:t>二O</w:t>
      </w:r>
      <w:r w:rsidR="000A3BDE">
        <w:rPr>
          <w:rFonts w:ascii="SimHei" w:eastAsia="黑体" w:hAnsi="SimHei" w:hint="eastAsia"/>
          <w:sz w:val="24"/>
          <w:szCs w:val="24"/>
        </w:rPr>
        <w:t>XX</w:t>
      </w:r>
      <w:r w:rsidRPr="000A3BDE">
        <w:rPr>
          <w:rFonts w:ascii="SimHei" w:eastAsia="黑体" w:hAnsi="SimHei" w:hint="eastAsia"/>
          <w:sz w:val="24"/>
          <w:szCs w:val="24"/>
        </w:rPr>
        <w:t>年</w:t>
      </w:r>
      <w:r w:rsidR="00EB5F66" w:rsidRPr="000A3BDE">
        <w:rPr>
          <w:rFonts w:ascii="SimHei" w:eastAsia="黑体" w:hAnsi="SimHei" w:hint="eastAsia"/>
          <w:sz w:val="24"/>
          <w:szCs w:val="24"/>
        </w:rPr>
        <w:t>十月十</w:t>
      </w:r>
      <w:r w:rsidRPr="000A3BDE">
        <w:rPr>
          <w:rFonts w:ascii="SimHei" w:eastAsia="黑体" w:hAnsi="SimHei" w:hint="eastAsia"/>
          <w:sz w:val="24"/>
          <w:szCs w:val="24"/>
        </w:rPr>
        <w:t>日</w:t>
      </w:r>
    </w:p>
    <w:sectPr w:rsidR="00EF065B" w:rsidRPr="000A3BDE" w:rsidSect="00EF06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26D" w:rsidRDefault="0019126D" w:rsidP="00782273">
      <w:r>
        <w:separator/>
      </w:r>
    </w:p>
  </w:endnote>
  <w:endnote w:type="continuationSeparator" w:id="0">
    <w:p w:rsidR="0019126D" w:rsidRDefault="0019126D" w:rsidP="0078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26D" w:rsidRDefault="0019126D" w:rsidP="00782273">
      <w:r>
        <w:separator/>
      </w:r>
    </w:p>
  </w:footnote>
  <w:footnote w:type="continuationSeparator" w:id="0">
    <w:p w:rsidR="0019126D" w:rsidRDefault="0019126D" w:rsidP="00782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37DA"/>
    <w:rsid w:val="00043D88"/>
    <w:rsid w:val="000779FB"/>
    <w:rsid w:val="000A27CA"/>
    <w:rsid w:val="000A3BDE"/>
    <w:rsid w:val="00122FCD"/>
    <w:rsid w:val="0019126D"/>
    <w:rsid w:val="001B1918"/>
    <w:rsid w:val="001B43F7"/>
    <w:rsid w:val="00290BC8"/>
    <w:rsid w:val="002C0B6B"/>
    <w:rsid w:val="002F74BD"/>
    <w:rsid w:val="003A697A"/>
    <w:rsid w:val="003F01B7"/>
    <w:rsid w:val="004221CB"/>
    <w:rsid w:val="004721E7"/>
    <w:rsid w:val="004B08CD"/>
    <w:rsid w:val="00582E55"/>
    <w:rsid w:val="005F45A6"/>
    <w:rsid w:val="006677AA"/>
    <w:rsid w:val="00677948"/>
    <w:rsid w:val="006E21B2"/>
    <w:rsid w:val="00702F26"/>
    <w:rsid w:val="0071020D"/>
    <w:rsid w:val="00713B84"/>
    <w:rsid w:val="00782273"/>
    <w:rsid w:val="007A559E"/>
    <w:rsid w:val="007C3392"/>
    <w:rsid w:val="007C34DF"/>
    <w:rsid w:val="00815A7A"/>
    <w:rsid w:val="0083561C"/>
    <w:rsid w:val="008661AD"/>
    <w:rsid w:val="00887CB7"/>
    <w:rsid w:val="00916D67"/>
    <w:rsid w:val="009323CF"/>
    <w:rsid w:val="009A03F2"/>
    <w:rsid w:val="009C71DC"/>
    <w:rsid w:val="009F3A99"/>
    <w:rsid w:val="00A53D17"/>
    <w:rsid w:val="00AF3AD0"/>
    <w:rsid w:val="00AF3AE4"/>
    <w:rsid w:val="00BE0E6E"/>
    <w:rsid w:val="00C23BA8"/>
    <w:rsid w:val="00CD15FB"/>
    <w:rsid w:val="00D67472"/>
    <w:rsid w:val="00DF7D66"/>
    <w:rsid w:val="00EA37DA"/>
    <w:rsid w:val="00EB5F66"/>
    <w:rsid w:val="00EF065B"/>
    <w:rsid w:val="00F712CD"/>
    <w:rsid w:val="00FA492F"/>
    <w:rsid w:val="00FB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6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B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782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82273"/>
    <w:rPr>
      <w:sz w:val="18"/>
      <w:szCs w:val="18"/>
    </w:rPr>
  </w:style>
  <w:style w:type="paragraph" w:styleId="a5">
    <w:name w:val="footer"/>
    <w:basedOn w:val="a"/>
    <w:link w:val="Char0"/>
    <w:uiPriority w:val="99"/>
    <w:unhideWhenUsed/>
    <w:rsid w:val="00782273"/>
    <w:pPr>
      <w:tabs>
        <w:tab w:val="center" w:pos="4153"/>
        <w:tab w:val="right" w:pos="8306"/>
      </w:tabs>
      <w:snapToGrid w:val="0"/>
      <w:jc w:val="left"/>
    </w:pPr>
    <w:rPr>
      <w:sz w:val="18"/>
      <w:szCs w:val="18"/>
    </w:rPr>
  </w:style>
  <w:style w:type="character" w:customStyle="1" w:styleId="Char0">
    <w:name w:val="页脚 Char"/>
    <w:basedOn w:val="a0"/>
    <w:link w:val="a5"/>
    <w:uiPriority w:val="99"/>
    <w:rsid w:val="007822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D49B-32F5-4E0A-A700-AFCF9736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zhisuo qi</cp:lastModifiedBy>
  <cp:revision>20</cp:revision>
  <cp:lastPrinted>2016-10-10T08:19:00Z</cp:lastPrinted>
  <dcterms:created xsi:type="dcterms:W3CDTF">2016-10-10T03:51:00Z</dcterms:created>
  <dcterms:modified xsi:type="dcterms:W3CDTF">2021-08-10T01:15:00Z</dcterms:modified>
</cp:coreProperties>
</file>