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5A5" w:rsidRDefault="00BD70C6" w:rsidP="008515A5">
      <w:pPr>
        <w:pStyle w:val="Default"/>
        <w:pBdr>
          <w:bottom w:val="nil"/>
        </w:pBdr>
        <w:spacing w:line="360" w:lineRule="auto"/>
        <w:jc w:val="center"/>
        <w:rPr>
          <w:rFonts w:ascii="楷体" w:eastAsia="楷体" w:hAnsi="楷体" w:cs="Verdana" w:hint="eastAsia"/>
          <w:b/>
          <w:color w:val="221E1F"/>
          <w:sz w:val="36"/>
        </w:rPr>
      </w:pPr>
      <w:bookmarkStart w:id="0" w:name="_GoBack"/>
      <w:bookmarkEnd w:id="0"/>
      <w:r>
        <w:rPr>
          <w:rFonts w:ascii="SimHei" w:eastAsia="黑体" w:hAnsi="SimHei" w:cs="Verdana" w:hint="eastAsia"/>
          <w:b/>
          <w:color w:val="221E1F"/>
          <w:sz w:val="36"/>
        </w:rPr>
        <w:t>XX</w:t>
      </w:r>
      <w:r w:rsidR="003C2C9F" w:rsidRPr="008515A5">
        <w:rPr>
          <w:rFonts w:ascii="SimHei" w:eastAsia="黑体" w:hAnsi="SimHei" w:cs="Verdana" w:hint="eastAsia"/>
          <w:b/>
          <w:color w:val="221E1F"/>
          <w:sz w:val="36"/>
        </w:rPr>
        <w:t>公司总经理及其高管团队年度绩效考核</w:t>
      </w:r>
    </w:p>
    <w:p w:rsidR="003C2C9F" w:rsidRPr="008515A5" w:rsidRDefault="003C2C9F" w:rsidP="008515A5">
      <w:pPr>
        <w:pStyle w:val="Default"/>
        <w:pBdr>
          <w:bottom w:val="nil"/>
        </w:pBdr>
        <w:spacing w:line="360" w:lineRule="auto"/>
        <w:jc w:val="center"/>
        <w:rPr>
          <w:rFonts w:ascii="楷体" w:eastAsia="楷体" w:hAnsi="楷体" w:cs="Verdana" w:hint="eastAsia"/>
          <w:b/>
          <w:color w:val="221E1F"/>
          <w:sz w:val="36"/>
        </w:rPr>
      </w:pPr>
      <w:r w:rsidRPr="008515A5">
        <w:rPr>
          <w:rFonts w:ascii="SimHei" w:eastAsia="黑体" w:hAnsi="SimHei" w:cs="Verdana" w:hint="eastAsia"/>
          <w:b/>
          <w:color w:val="221E1F"/>
          <w:sz w:val="36"/>
        </w:rPr>
        <w:t>与薪酬管理办法</w:t>
      </w:r>
    </w:p>
    <w:p w:rsidR="003C2C9F" w:rsidRPr="008515A5" w:rsidRDefault="003C2C9F" w:rsidP="008515A5">
      <w:pPr>
        <w:pStyle w:val="Default"/>
        <w:spacing w:line="360" w:lineRule="auto"/>
        <w:ind w:firstLineChars="200" w:firstLine="482"/>
        <w:jc w:val="both"/>
        <w:rPr>
          <w:rFonts w:ascii="楷体" w:eastAsia="楷体" w:hAnsi="楷体" w:cs="方正楷体简体"/>
          <w:b/>
          <w:color w:val="221E1F"/>
        </w:rPr>
      </w:pPr>
      <w:r w:rsidRPr="008515A5">
        <w:rPr>
          <w:rFonts w:ascii="SimHei" w:eastAsia="黑体" w:hAnsi="SimHei" w:cs="Verdana" w:hint="eastAsia"/>
          <w:b/>
          <w:color w:val="221E1F"/>
        </w:rPr>
        <w:t>一、目的</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(1) </w:t>
      </w:r>
      <w:r w:rsidRPr="008515A5">
        <w:rPr>
          <w:rFonts w:ascii="SimHei" w:eastAsia="黑体" w:hAnsi="SimHei" w:cs="Verdana" w:hint="eastAsia"/>
          <w:color w:val="221E1F"/>
        </w:rPr>
        <w:t>强化以目标责任结果为贡献评价根本标准的公司价值评价体系，确保公司年度各项经营目标的达成。</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(2) </w:t>
      </w:r>
      <w:r w:rsidRPr="008515A5">
        <w:rPr>
          <w:rFonts w:ascii="SimHei" w:eastAsia="黑体" w:hAnsi="SimHei" w:cs="Verdana" w:hint="eastAsia"/>
          <w:color w:val="221E1F"/>
        </w:rPr>
        <w:t>促使公司总经理及其高管团队不断提升个人自身素质，树立良好的品德和领袖风范。激发献身精神和奋斗精神，不计个人得失，勇于承担目标责任。</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(3) </w:t>
      </w:r>
      <w:r w:rsidRPr="008515A5">
        <w:rPr>
          <w:rFonts w:ascii="SimHei" w:eastAsia="黑体" w:hAnsi="SimHei" w:cs="Verdana" w:hint="eastAsia"/>
          <w:color w:val="221E1F"/>
        </w:rPr>
        <w:t>促使公司高管团队关注公司整体团队运作，注重团队士气和组织气氛的营造，重视关键员工的培养和干部梯队的建设。</w:t>
      </w:r>
    </w:p>
    <w:p w:rsidR="003C2C9F" w:rsidRPr="008515A5" w:rsidRDefault="003C2C9F" w:rsidP="008515A5">
      <w:pPr>
        <w:pStyle w:val="CM9"/>
        <w:spacing w:line="360" w:lineRule="auto"/>
        <w:ind w:firstLineChars="200" w:firstLine="480"/>
        <w:jc w:val="both"/>
        <w:rPr>
          <w:rFonts w:ascii="楷体" w:eastAsia="楷体" w:hAnsi="楷体" w:cs="方正楷体简体" w:hint="eastAsia"/>
          <w:color w:val="221E1F"/>
        </w:rPr>
      </w:pPr>
      <w:r w:rsidRPr="008515A5">
        <w:rPr>
          <w:rFonts w:ascii="SimHei" w:eastAsia="黑体" w:hAnsi="SimHei" w:cs="Verdana"/>
          <w:color w:val="221E1F"/>
        </w:rPr>
        <w:t xml:space="preserve">(4) </w:t>
      </w:r>
      <w:r w:rsidRPr="008515A5">
        <w:rPr>
          <w:rFonts w:ascii="SimHei" w:eastAsia="黑体" w:hAnsi="SimHei" w:cs="Verdana" w:hint="eastAsia"/>
          <w:color w:val="221E1F"/>
        </w:rPr>
        <w:t>年度薪酬激励分配以年度绩效考核结果为根本标准，同时也作为下一年度公司总经理及其高管团队安排的依据，促进建立公司管理者能上能下的机制。</w:t>
      </w:r>
    </w:p>
    <w:p w:rsidR="003C2C9F" w:rsidRPr="008515A5" w:rsidRDefault="003C2C9F" w:rsidP="008515A5">
      <w:pPr>
        <w:pStyle w:val="Default"/>
        <w:spacing w:line="360" w:lineRule="auto"/>
        <w:ind w:firstLineChars="200" w:firstLine="482"/>
        <w:jc w:val="both"/>
        <w:rPr>
          <w:rFonts w:ascii="楷体" w:eastAsia="楷体" w:hAnsi="楷体" w:cs="Verdana" w:hint="eastAsia"/>
          <w:b/>
          <w:color w:val="221E1F"/>
        </w:rPr>
      </w:pPr>
      <w:r w:rsidRPr="008515A5">
        <w:rPr>
          <w:rFonts w:ascii="SimHei" w:eastAsia="黑体" w:hAnsi="SimHei" w:cs="Verdana" w:hint="eastAsia"/>
          <w:b/>
          <w:color w:val="221E1F"/>
        </w:rPr>
        <w:t>二、适用范围</w:t>
      </w:r>
    </w:p>
    <w:p w:rsidR="003C2C9F" w:rsidRPr="008515A5" w:rsidRDefault="003C2C9F" w:rsidP="008515A5">
      <w:pPr>
        <w:pStyle w:val="CM11"/>
        <w:spacing w:line="360" w:lineRule="auto"/>
        <w:ind w:firstLineChars="200" w:firstLine="480"/>
        <w:jc w:val="both"/>
        <w:rPr>
          <w:rFonts w:ascii="楷体" w:eastAsia="楷体" w:hAnsi="楷体" w:cs="方正楷体简体"/>
          <w:color w:val="221E1F"/>
        </w:rPr>
      </w:pPr>
      <w:r w:rsidRPr="008515A5">
        <w:rPr>
          <w:rFonts w:ascii="SimHei" w:eastAsia="黑体" w:hAnsi="SimHei" w:cs="Verdana" w:hint="eastAsia"/>
          <w:color w:val="221E1F"/>
        </w:rPr>
        <w:t>经公司董事会决议聘任的公司总经理、公司副总经理级别公司高级管理人员的年度绩效考核与薪酬管理工作适用本办法，具体包括以下内容。</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(1) </w:t>
      </w:r>
      <w:r w:rsidRPr="008515A5">
        <w:rPr>
          <w:rFonts w:ascii="SimHei" w:eastAsia="黑体" w:hAnsi="SimHei" w:cs="Verdana" w:hint="eastAsia"/>
          <w:color w:val="221E1F"/>
        </w:rPr>
        <w:t>公司总经理及其高管团队年度绩效目标的确定与完成情况考核的执行。</w:t>
      </w:r>
    </w:p>
    <w:p w:rsidR="008515A5" w:rsidRDefault="003C2C9F" w:rsidP="008515A5">
      <w:pPr>
        <w:pStyle w:val="Default"/>
        <w:spacing w:line="360" w:lineRule="auto"/>
        <w:ind w:firstLineChars="200" w:firstLine="480"/>
        <w:jc w:val="both"/>
        <w:rPr>
          <w:rFonts w:ascii="楷体" w:eastAsia="楷体" w:hAnsi="楷体" w:cs="Verdana" w:hint="eastAsia"/>
          <w:color w:val="221E1F"/>
        </w:rPr>
      </w:pPr>
      <w:r w:rsidRPr="008515A5">
        <w:rPr>
          <w:rFonts w:ascii="SimHei" w:eastAsia="黑体" w:hAnsi="SimHei" w:cs="Verdana"/>
          <w:color w:val="221E1F"/>
        </w:rPr>
        <w:t xml:space="preserve">(2) </w:t>
      </w:r>
      <w:r w:rsidRPr="008515A5">
        <w:rPr>
          <w:rFonts w:ascii="SimHei" w:eastAsia="黑体" w:hAnsi="SimHei" w:cs="Verdana" w:hint="eastAsia"/>
          <w:color w:val="221E1F"/>
        </w:rPr>
        <w:t>与年度绩效目标挂钩的公司总经理年度薪酬包的确定与执行。</w:t>
      </w:r>
    </w:p>
    <w:p w:rsidR="008515A5" w:rsidRDefault="003C2C9F" w:rsidP="008515A5">
      <w:pPr>
        <w:pStyle w:val="Default"/>
        <w:spacing w:line="360" w:lineRule="auto"/>
        <w:ind w:firstLineChars="200" w:firstLine="480"/>
        <w:jc w:val="both"/>
        <w:rPr>
          <w:rFonts w:ascii="楷体" w:eastAsia="楷体" w:hAnsi="楷体" w:cs="Verdana" w:hint="eastAsia"/>
          <w:color w:val="221E1F"/>
        </w:rPr>
      </w:pPr>
      <w:r w:rsidRPr="008515A5">
        <w:rPr>
          <w:rFonts w:ascii="SimHei" w:eastAsia="黑体" w:hAnsi="SimHei" w:cs="Verdana"/>
          <w:color w:val="221E1F"/>
        </w:rPr>
        <w:t xml:space="preserve">(3) </w:t>
      </w:r>
      <w:r w:rsidRPr="008515A5">
        <w:rPr>
          <w:rFonts w:ascii="SimHei" w:eastAsia="黑体" w:hAnsi="SimHei" w:cs="Verdana" w:hint="eastAsia"/>
          <w:color w:val="221E1F"/>
        </w:rPr>
        <w:t>与年度绩效目标挂钩的除总经理外的其他高管团队整体年度薪酬包的确定与执行。</w:t>
      </w:r>
    </w:p>
    <w:p w:rsidR="003C2C9F" w:rsidRPr="008515A5" w:rsidRDefault="003C2C9F" w:rsidP="008515A5">
      <w:pPr>
        <w:pStyle w:val="Default"/>
        <w:spacing w:line="360" w:lineRule="auto"/>
        <w:ind w:firstLineChars="200" w:firstLine="482"/>
        <w:jc w:val="both"/>
        <w:rPr>
          <w:rFonts w:ascii="楷体" w:eastAsia="楷体" w:hAnsi="楷体" w:cs="Verdana"/>
          <w:b/>
          <w:color w:val="221E1F"/>
        </w:rPr>
      </w:pPr>
      <w:r w:rsidRPr="008515A5">
        <w:rPr>
          <w:rFonts w:ascii="SimHei" w:eastAsia="黑体" w:hAnsi="SimHei" w:cs="Verdana" w:hint="eastAsia"/>
          <w:b/>
          <w:color w:val="221E1F"/>
        </w:rPr>
        <w:t>三、指导原则</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(1) </w:t>
      </w:r>
      <w:r w:rsidRPr="008515A5">
        <w:rPr>
          <w:rFonts w:ascii="SimHei" w:eastAsia="黑体" w:hAnsi="SimHei" w:cs="Verdana" w:hint="eastAsia"/>
          <w:color w:val="221E1F"/>
        </w:rPr>
        <w:t>责任结果导向原则。强调以责任结果为价值评价导向，关注个人绩效目标的达成，同时也关注对公司整体绩效目标的支撑。</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(2) </w:t>
      </w:r>
      <w:r w:rsidRPr="008515A5">
        <w:rPr>
          <w:rFonts w:ascii="SimHei" w:eastAsia="黑体" w:hAnsi="SimHei" w:cs="Verdana" w:hint="eastAsia"/>
          <w:color w:val="221E1F"/>
        </w:rPr>
        <w:t>述职与考核相结合原则。通过述职，促进公司总经理及其高管团队理清思路，抓住重点，合理配置资源，确保对公司年度绩效目标的支撑；通过承诺与考核，强化执行落实与组织协作意识，不断提高组织的整体绩效。</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(3) </w:t>
      </w:r>
      <w:r w:rsidRPr="008515A5">
        <w:rPr>
          <w:rFonts w:ascii="SimHei" w:eastAsia="黑体" w:hAnsi="SimHei" w:cs="Verdana" w:hint="eastAsia"/>
          <w:color w:val="221E1F"/>
        </w:rPr>
        <w:t>公司绩效与团队绩效、个人绩效结合原则。为增强公司总经理及其高管团队的责任和目标意识，公司总经理及其高管团队须就公司年度绩效目标进行承诺。同时，绩效承诺达成的结果即绩效考核成绩直接影响公司整体薪酬包额度、公司总经理年度薪酬包额度以及除公司总经理外其他高管整体年度薪酬包额度。</w:t>
      </w:r>
    </w:p>
    <w:p w:rsidR="003C2C9F" w:rsidRPr="008515A5" w:rsidRDefault="003C2C9F" w:rsidP="008515A5">
      <w:pPr>
        <w:pStyle w:val="Default"/>
        <w:spacing w:line="360" w:lineRule="auto"/>
        <w:ind w:firstLineChars="200" w:firstLine="480"/>
        <w:jc w:val="both"/>
        <w:rPr>
          <w:rFonts w:ascii="楷体" w:eastAsia="楷体" w:hAnsi="楷体" w:cs="方正楷体简体" w:hint="eastAsia"/>
          <w:color w:val="221E1F"/>
        </w:rPr>
      </w:pPr>
      <w:r w:rsidRPr="008515A5">
        <w:rPr>
          <w:rFonts w:ascii="SimHei" w:eastAsia="黑体" w:hAnsi="SimHei" w:cs="Verdana"/>
          <w:color w:val="221E1F"/>
        </w:rPr>
        <w:t xml:space="preserve">(4) </w:t>
      </w:r>
      <w:r w:rsidRPr="008515A5">
        <w:rPr>
          <w:rFonts w:ascii="SimHei" w:eastAsia="黑体" w:hAnsi="SimHei" w:cs="Verdana" w:hint="eastAsia"/>
          <w:color w:val="221E1F"/>
        </w:rPr>
        <w:t>客观公正原则。强调依据结果数据和事实进行评价。</w:t>
      </w:r>
    </w:p>
    <w:p w:rsidR="003C2C9F" w:rsidRPr="008515A5" w:rsidRDefault="003C2C9F" w:rsidP="008515A5">
      <w:pPr>
        <w:pStyle w:val="Default"/>
        <w:spacing w:line="360" w:lineRule="auto"/>
        <w:ind w:firstLineChars="200" w:firstLine="482"/>
        <w:jc w:val="both"/>
        <w:rPr>
          <w:rFonts w:ascii="楷体" w:eastAsia="楷体" w:hAnsi="楷体" w:cs="Verdana"/>
          <w:b/>
          <w:color w:val="221E1F"/>
        </w:rPr>
      </w:pPr>
      <w:r w:rsidRPr="008515A5">
        <w:rPr>
          <w:rFonts w:ascii="SimHei" w:eastAsia="黑体" w:hAnsi="SimHei" w:cs="Verdana" w:hint="eastAsia"/>
          <w:b/>
          <w:color w:val="221E1F"/>
        </w:rPr>
        <w:t>四、年度绩效目标承诺与完成结果考核流程</w:t>
      </w:r>
    </w:p>
    <w:p w:rsidR="003C2C9F" w:rsidRPr="008515A5" w:rsidRDefault="003C2C9F" w:rsidP="008515A5">
      <w:pPr>
        <w:pStyle w:val="Default"/>
        <w:spacing w:line="360" w:lineRule="auto"/>
        <w:ind w:left="480"/>
        <w:jc w:val="both"/>
        <w:rPr>
          <w:rFonts w:ascii="楷体" w:eastAsia="楷体" w:hAnsi="楷体" w:cs="方正楷体简体"/>
          <w:color w:val="221E1F"/>
        </w:rPr>
      </w:pPr>
      <w:r w:rsidRPr="008515A5">
        <w:rPr>
          <w:rFonts w:ascii="SimHei" w:eastAsia="黑体" w:hAnsi="SimHei" w:cs="Verdana"/>
          <w:color w:val="221E1F"/>
        </w:rPr>
        <w:t xml:space="preserve">1. </w:t>
      </w:r>
      <w:r w:rsidRPr="008515A5">
        <w:rPr>
          <w:rFonts w:ascii="SimHei" w:eastAsia="黑体" w:hAnsi="SimHei" w:cs="Verdana" w:hint="eastAsia"/>
          <w:color w:val="221E1F"/>
        </w:rPr>
        <w:t>公司总经理及其高管团队的年度绩效目标承诺与考核流程</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(1) </w:t>
      </w:r>
      <w:r w:rsidRPr="008515A5">
        <w:rPr>
          <w:rFonts w:ascii="SimHei" w:eastAsia="黑体" w:hAnsi="SimHei" w:cs="Verdana" w:hint="eastAsia"/>
          <w:color w:val="221E1F"/>
        </w:rPr>
        <w:t>年初的公司总经理及其高管团队的年度经营计划述职与绩效目标承诺</w:t>
      </w:r>
      <w:r w:rsidRPr="008515A5">
        <w:rPr>
          <w:rFonts w:ascii="SimHei" w:eastAsia="黑体" w:hAnsi="SimHei" w:cs="Verdana"/>
          <w:color w:val="221E1F"/>
        </w:rPr>
        <w:t>(</w:t>
      </w:r>
      <w:r w:rsidRPr="008515A5">
        <w:rPr>
          <w:rFonts w:ascii="SimHei" w:eastAsia="黑体" w:hAnsi="SimHei" w:cs="Verdana" w:hint="eastAsia"/>
          <w:color w:val="221E1F"/>
        </w:rPr>
        <w:t>包括持平目标、达标目标、挑战目标</w:t>
      </w:r>
      <w:r w:rsidRPr="008515A5">
        <w:rPr>
          <w:rFonts w:ascii="SimHei" w:eastAsia="黑体" w:hAnsi="SimHei" w:cs="Verdana"/>
          <w:color w:val="221E1F"/>
        </w:rPr>
        <w:t>)</w:t>
      </w:r>
      <w:r w:rsidRPr="008515A5">
        <w:rPr>
          <w:rFonts w:ascii="SimHei" w:eastAsia="黑体" w:hAnsi="SimHei" w:cs="Verdana" w:hint="eastAsia"/>
          <w:color w:val="221E1F"/>
        </w:rPr>
        <w:t>，并分别签订承诺书。</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(2) </w:t>
      </w:r>
      <w:r w:rsidRPr="008515A5">
        <w:rPr>
          <w:rFonts w:ascii="SimHei" w:eastAsia="黑体" w:hAnsi="SimHei" w:cs="Verdana" w:hint="eastAsia"/>
          <w:color w:val="221E1F"/>
        </w:rPr>
        <w:t>年中的绩效目标达成情况跟踪。</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(3) </w:t>
      </w:r>
      <w:r w:rsidRPr="008515A5">
        <w:rPr>
          <w:rFonts w:ascii="SimHei" w:eastAsia="黑体" w:hAnsi="SimHei" w:cs="Verdana" w:hint="eastAsia"/>
          <w:color w:val="221E1F"/>
        </w:rPr>
        <w:t>第二年年初对上一年的年度绩效综合评议。</w:t>
      </w:r>
    </w:p>
    <w:p w:rsidR="003C2C9F" w:rsidRPr="008515A5" w:rsidRDefault="003C2C9F" w:rsidP="008515A5">
      <w:pPr>
        <w:pStyle w:val="CM1"/>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2. </w:t>
      </w:r>
      <w:r w:rsidRPr="008515A5">
        <w:rPr>
          <w:rFonts w:ascii="SimHei" w:eastAsia="黑体" w:hAnsi="SimHei" w:cs="Verdana" w:hint="eastAsia"/>
          <w:color w:val="221E1F"/>
        </w:rPr>
        <w:t>年度经营计划述职</w:t>
      </w:r>
    </w:p>
    <w:p w:rsidR="003C2C9F" w:rsidRPr="008515A5" w:rsidRDefault="003C2C9F" w:rsidP="008515A5">
      <w:pPr>
        <w:pStyle w:val="CM1"/>
        <w:spacing w:line="360" w:lineRule="auto"/>
        <w:ind w:firstLineChars="200" w:firstLine="480"/>
        <w:jc w:val="both"/>
        <w:rPr>
          <w:rFonts w:ascii="楷体" w:eastAsia="楷体" w:hAnsi="楷体" w:cs="方正楷体简体"/>
          <w:color w:val="221E1F"/>
        </w:rPr>
      </w:pPr>
      <w:r w:rsidRPr="008515A5">
        <w:rPr>
          <w:rFonts w:ascii="SimHei" w:eastAsia="黑体" w:hAnsi="SimHei" w:cs="Verdana" w:hint="eastAsia"/>
          <w:color w:val="221E1F"/>
        </w:rPr>
        <w:t>为推动公司年度经营目标自上而下有效落实，要求公司总经理及其高管团队在年初</w:t>
      </w:r>
      <w:r w:rsidRPr="008515A5">
        <w:rPr>
          <w:rFonts w:ascii="SimHei" w:eastAsia="黑体" w:hAnsi="SimHei" w:cs="Verdana"/>
          <w:color w:val="221E1F"/>
        </w:rPr>
        <w:t>(</w:t>
      </w:r>
      <w:r w:rsidRPr="008515A5">
        <w:rPr>
          <w:rFonts w:ascii="SimHei" w:eastAsia="黑体" w:hAnsi="SimHei" w:cs="Verdana" w:hint="eastAsia"/>
          <w:color w:val="221E1F"/>
        </w:rPr>
        <w:t>一季度</w:t>
      </w:r>
      <w:r w:rsidRPr="008515A5">
        <w:rPr>
          <w:rFonts w:ascii="SimHei" w:eastAsia="黑体" w:hAnsi="SimHei" w:cs="Verdana"/>
          <w:color w:val="221E1F"/>
        </w:rPr>
        <w:t>)</w:t>
      </w:r>
      <w:r w:rsidRPr="008515A5">
        <w:rPr>
          <w:rFonts w:ascii="SimHei" w:eastAsia="黑体" w:hAnsi="SimHei" w:cs="Verdana" w:hint="eastAsia"/>
          <w:color w:val="221E1F"/>
        </w:rPr>
        <w:t>进行年度经营计划述职。原则上要求各副总经理要向总经理述职，具体要求由公司总经理另行规定；公司总经理向董事会考核与薪酬委员会预述职，在经会议审议后，向公司董事会正式述职。</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(1) </w:t>
      </w:r>
      <w:r w:rsidRPr="008515A5">
        <w:rPr>
          <w:rFonts w:ascii="SimHei" w:eastAsia="黑体" w:hAnsi="SimHei" w:cs="Verdana" w:hint="eastAsia"/>
          <w:color w:val="221E1F"/>
        </w:rPr>
        <w:t>公司总经理年度经营计划述职的关注点。</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hint="eastAsia"/>
          <w:color w:val="221E1F"/>
        </w:rPr>
        <w:t>①</w:t>
      </w:r>
      <w:r w:rsidRPr="008515A5">
        <w:rPr>
          <w:rFonts w:ascii="SimHei" w:eastAsia="黑体" w:hAnsi="SimHei" w:cs="Verdana"/>
          <w:color w:val="221E1F"/>
        </w:rPr>
        <w:t xml:space="preserve"> </w:t>
      </w:r>
      <w:r w:rsidRPr="008515A5">
        <w:rPr>
          <w:rFonts w:ascii="SimHei" w:eastAsia="黑体" w:hAnsi="SimHei" w:cs="Verdana" w:hint="eastAsia"/>
          <w:color w:val="221E1F"/>
        </w:rPr>
        <w:t>公司长期规划与重点；</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hint="eastAsia"/>
          <w:color w:val="221E1F"/>
        </w:rPr>
        <w:t>②</w:t>
      </w:r>
      <w:r w:rsidRPr="008515A5">
        <w:rPr>
          <w:rFonts w:ascii="SimHei" w:eastAsia="黑体" w:hAnsi="SimHei" w:cs="Verdana"/>
          <w:color w:val="221E1F"/>
        </w:rPr>
        <w:t xml:space="preserve"> </w:t>
      </w:r>
      <w:r w:rsidRPr="008515A5">
        <w:rPr>
          <w:rFonts w:ascii="SimHei" w:eastAsia="黑体" w:hAnsi="SimHei" w:cs="Verdana" w:hint="eastAsia"/>
          <w:color w:val="221E1F"/>
        </w:rPr>
        <w:t>公司未来一年的年度经营计划与绩效目标；</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hint="eastAsia"/>
          <w:color w:val="221E1F"/>
        </w:rPr>
        <w:t>③</w:t>
      </w:r>
      <w:r w:rsidRPr="008515A5">
        <w:rPr>
          <w:rFonts w:ascii="SimHei" w:eastAsia="黑体" w:hAnsi="SimHei" w:cs="Verdana"/>
          <w:color w:val="221E1F"/>
        </w:rPr>
        <w:t xml:space="preserve"> </w:t>
      </w:r>
      <w:r w:rsidRPr="008515A5">
        <w:rPr>
          <w:rFonts w:ascii="SimHei" w:eastAsia="黑体" w:hAnsi="SimHei" w:cs="Verdana" w:hint="eastAsia"/>
          <w:color w:val="221E1F"/>
        </w:rPr>
        <w:t>公司未来一年的财务预算和人力资源规划；</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hint="eastAsia"/>
          <w:color w:val="221E1F"/>
        </w:rPr>
        <w:t>④</w:t>
      </w:r>
      <w:r w:rsidRPr="008515A5">
        <w:rPr>
          <w:rFonts w:ascii="SimHei" w:eastAsia="黑体" w:hAnsi="SimHei" w:cs="Verdana"/>
          <w:color w:val="221E1F"/>
        </w:rPr>
        <w:t xml:space="preserve"> </w:t>
      </w:r>
      <w:r w:rsidRPr="008515A5">
        <w:rPr>
          <w:rFonts w:ascii="SimHei" w:eastAsia="黑体" w:hAnsi="SimHei" w:cs="Verdana" w:hint="eastAsia"/>
          <w:color w:val="221E1F"/>
        </w:rPr>
        <w:t>公司组织气氛的营造，关键员工的培养和干部梯队建设等相关计划；</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hint="eastAsia"/>
          <w:color w:val="221E1F"/>
        </w:rPr>
        <w:t>⑤</w:t>
      </w:r>
      <w:r w:rsidRPr="008515A5">
        <w:rPr>
          <w:rFonts w:ascii="SimHei" w:eastAsia="黑体" w:hAnsi="SimHei" w:cs="Verdana"/>
          <w:color w:val="221E1F"/>
        </w:rPr>
        <w:t xml:space="preserve"> </w:t>
      </w:r>
      <w:r w:rsidRPr="008515A5">
        <w:rPr>
          <w:rFonts w:ascii="SimHei" w:eastAsia="黑体" w:hAnsi="SimHei" w:cs="Verdana" w:hint="eastAsia"/>
          <w:color w:val="221E1F"/>
        </w:rPr>
        <w:t>强调质量和客户满意度，落实业务流程优化进展指标；</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hint="eastAsia"/>
          <w:color w:val="221E1F"/>
        </w:rPr>
        <w:t>⑥</w:t>
      </w:r>
      <w:r w:rsidRPr="008515A5">
        <w:rPr>
          <w:rFonts w:ascii="SimHei" w:eastAsia="黑体" w:hAnsi="SimHei" w:cs="Verdana"/>
          <w:color w:val="221E1F"/>
        </w:rPr>
        <w:t xml:space="preserve"> </w:t>
      </w:r>
      <w:r w:rsidRPr="008515A5">
        <w:rPr>
          <w:rFonts w:ascii="SimHei" w:eastAsia="黑体" w:hAnsi="SimHei" w:cs="Verdana" w:hint="eastAsia"/>
          <w:color w:val="221E1F"/>
        </w:rPr>
        <w:t>强调与业界最佳比较、与上年比较，不断改进；</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hint="eastAsia"/>
          <w:color w:val="221E1F"/>
        </w:rPr>
        <w:t>其他未来一年工作中需要强化的管理要点。</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(2) </w:t>
      </w:r>
      <w:r w:rsidRPr="008515A5">
        <w:rPr>
          <w:rFonts w:ascii="SimHei" w:eastAsia="黑体" w:hAnsi="SimHei" w:cs="Verdana" w:hint="eastAsia"/>
          <w:color w:val="221E1F"/>
        </w:rPr>
        <w:t>公司总经理年度经营计划述职的主要内容。</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hint="eastAsia"/>
          <w:color w:val="221E1F"/>
        </w:rPr>
        <w:t>①上年度工作回顾</w:t>
      </w:r>
      <w:r w:rsidRPr="008515A5">
        <w:rPr>
          <w:rFonts w:ascii="SimHei" w:eastAsia="黑体" w:hAnsi="SimHei" w:cs="Verdana"/>
          <w:color w:val="221E1F"/>
        </w:rPr>
        <w:t>(</w:t>
      </w:r>
      <w:r w:rsidRPr="008515A5">
        <w:rPr>
          <w:rFonts w:ascii="SimHei" w:eastAsia="黑体" w:hAnsi="SimHei" w:cs="Verdana" w:hint="eastAsia"/>
          <w:color w:val="221E1F"/>
        </w:rPr>
        <w:t>成绩与教训</w:t>
      </w:r>
      <w:r w:rsidRPr="008515A5">
        <w:rPr>
          <w:rFonts w:ascii="SimHei" w:eastAsia="黑体" w:hAnsi="SimHei" w:cs="Verdana"/>
          <w:color w:val="221E1F"/>
        </w:rPr>
        <w:t>)</w:t>
      </w:r>
      <w:r w:rsidRPr="008515A5">
        <w:rPr>
          <w:rFonts w:ascii="SimHei" w:eastAsia="黑体" w:hAnsi="SimHei" w:cs="Verdana" w:hint="eastAsia"/>
          <w:color w:val="221E1F"/>
        </w:rPr>
        <w:t>；</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hint="eastAsia"/>
          <w:color w:val="221E1F"/>
        </w:rPr>
        <w:t>②</w:t>
      </w:r>
      <w:r w:rsidRPr="008515A5">
        <w:rPr>
          <w:rFonts w:ascii="SimHei" w:eastAsia="黑体" w:hAnsi="SimHei" w:cs="Verdana"/>
          <w:color w:val="221E1F"/>
        </w:rPr>
        <w:t xml:space="preserve"> </w:t>
      </w:r>
      <w:r w:rsidRPr="008515A5">
        <w:rPr>
          <w:rFonts w:ascii="SimHei" w:eastAsia="黑体" w:hAnsi="SimHei" w:cs="Verdana" w:hint="eastAsia"/>
          <w:color w:val="221E1F"/>
        </w:rPr>
        <w:t>与竞争对手及业界最佳基准比较；</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hint="eastAsia"/>
          <w:color w:val="221E1F"/>
        </w:rPr>
        <w:t>③</w:t>
      </w:r>
      <w:r w:rsidRPr="008515A5">
        <w:rPr>
          <w:rFonts w:ascii="SimHei" w:eastAsia="黑体" w:hAnsi="SimHei" w:cs="Verdana"/>
          <w:color w:val="221E1F"/>
        </w:rPr>
        <w:t xml:space="preserve"> </w:t>
      </w:r>
      <w:r w:rsidRPr="008515A5">
        <w:rPr>
          <w:rFonts w:ascii="SimHei" w:eastAsia="黑体" w:hAnsi="SimHei" w:cs="Verdana" w:hint="eastAsia"/>
          <w:color w:val="221E1F"/>
        </w:rPr>
        <w:t>本年度关键绩效目标承诺；</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hint="eastAsia"/>
          <w:color w:val="221E1F"/>
        </w:rPr>
        <w:t>④</w:t>
      </w:r>
      <w:r w:rsidRPr="008515A5">
        <w:rPr>
          <w:rFonts w:ascii="SimHei" w:eastAsia="黑体" w:hAnsi="SimHei" w:cs="Verdana"/>
          <w:color w:val="221E1F"/>
        </w:rPr>
        <w:t xml:space="preserve"> </w:t>
      </w:r>
      <w:r w:rsidRPr="008515A5">
        <w:rPr>
          <w:rFonts w:ascii="SimHei" w:eastAsia="黑体" w:hAnsi="SimHei" w:cs="Verdana" w:hint="eastAsia"/>
          <w:color w:val="221E1F"/>
        </w:rPr>
        <w:t>业务策略与关键措施；</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hint="eastAsia"/>
          <w:color w:val="221E1F"/>
        </w:rPr>
        <w:t>⑤</w:t>
      </w:r>
      <w:r w:rsidRPr="008515A5">
        <w:rPr>
          <w:rFonts w:ascii="SimHei" w:eastAsia="黑体" w:hAnsi="SimHei" w:cs="Verdana"/>
          <w:color w:val="221E1F"/>
        </w:rPr>
        <w:t xml:space="preserve"> </w:t>
      </w:r>
      <w:r w:rsidRPr="008515A5">
        <w:rPr>
          <w:rFonts w:ascii="SimHei" w:eastAsia="黑体" w:hAnsi="SimHei" w:cs="Verdana" w:hint="eastAsia"/>
          <w:color w:val="221E1F"/>
        </w:rPr>
        <w:t>财务及人力预算；</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hint="eastAsia"/>
          <w:color w:val="221E1F"/>
        </w:rPr>
        <w:t>⑥</w:t>
      </w:r>
      <w:r w:rsidRPr="008515A5">
        <w:rPr>
          <w:rFonts w:ascii="SimHei" w:eastAsia="黑体" w:hAnsi="SimHei" w:cs="Verdana"/>
          <w:color w:val="221E1F"/>
        </w:rPr>
        <w:t xml:space="preserve"> </w:t>
      </w:r>
      <w:r w:rsidRPr="008515A5">
        <w:rPr>
          <w:rFonts w:ascii="SimHei" w:eastAsia="黑体" w:hAnsi="SimHei" w:cs="Verdana" w:hint="eastAsia"/>
          <w:color w:val="221E1F"/>
        </w:rPr>
        <w:t>困难求助等。</w:t>
      </w:r>
    </w:p>
    <w:p w:rsidR="003C2C9F" w:rsidRPr="008515A5" w:rsidRDefault="003C2C9F" w:rsidP="008515A5">
      <w:pPr>
        <w:pStyle w:val="CM3"/>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3. </w:t>
      </w:r>
      <w:r w:rsidRPr="008515A5">
        <w:rPr>
          <w:rFonts w:ascii="SimHei" w:eastAsia="黑体" w:hAnsi="SimHei" w:cs="Verdana" w:hint="eastAsia"/>
          <w:color w:val="221E1F"/>
        </w:rPr>
        <w:t>年度绩效目标承诺</w:t>
      </w:r>
    </w:p>
    <w:p w:rsidR="003C2C9F" w:rsidRPr="008515A5" w:rsidRDefault="003C2C9F" w:rsidP="008515A5">
      <w:pPr>
        <w:pStyle w:val="CM1"/>
        <w:spacing w:line="360" w:lineRule="auto"/>
        <w:ind w:firstLineChars="200" w:firstLine="480"/>
        <w:jc w:val="both"/>
        <w:rPr>
          <w:rFonts w:ascii="楷体" w:eastAsia="楷体" w:hAnsi="楷体" w:cs="方正楷体简体"/>
          <w:color w:val="221E1F"/>
        </w:rPr>
      </w:pPr>
      <w:r w:rsidRPr="008515A5">
        <w:rPr>
          <w:rFonts w:ascii="SimHei" w:eastAsia="黑体" w:hAnsi="SimHei" w:cs="Verdana" w:hint="eastAsia"/>
          <w:color w:val="221E1F"/>
        </w:rPr>
        <w:t>依据年初的述职结果，公司总经理及其高管团队确定并签署年度绩效承诺书。签署后的承诺书由董事会考核与薪酬委员会存档，作为对绩效承诺者进行绩效评价的依据。年度绩效承诺的内容包括以下几项。</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(1) </w:t>
      </w:r>
      <w:r w:rsidRPr="008515A5">
        <w:rPr>
          <w:rFonts w:ascii="SimHei" w:eastAsia="黑体" w:hAnsi="SimHei" w:cs="Verdana" w:hint="eastAsia"/>
          <w:color w:val="221E1F"/>
        </w:rPr>
        <w:t>结果目标：公司总经理及其高管团队承诺在考评期内所要达成的绩效结果性目标，分为持平目标、达标目标和挑战目标，以支持公司年度经营绩效目标的实现。</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(2) </w:t>
      </w:r>
      <w:r w:rsidRPr="008515A5">
        <w:rPr>
          <w:rFonts w:ascii="SimHei" w:eastAsia="黑体" w:hAnsi="SimHei" w:cs="Verdana" w:hint="eastAsia"/>
          <w:color w:val="221E1F"/>
        </w:rPr>
        <w:t>执行措施：为达成绩效结果性目标，应采取哪些关键措施，以确保结果目标的最终达成。</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(3) </w:t>
      </w:r>
      <w:r w:rsidRPr="008515A5">
        <w:rPr>
          <w:rFonts w:ascii="SimHei" w:eastAsia="黑体" w:hAnsi="SimHei" w:cs="Verdana" w:hint="eastAsia"/>
          <w:color w:val="221E1F"/>
        </w:rPr>
        <w:t>团队建设：为保证公司整体绩效的达成，更加高效地促进关键措施的执行和结果目标的达成，应就团队士气和组织气氛的营造、关键员工培养和干部梯队建设等相关方面计划进行承诺。</w:t>
      </w:r>
    </w:p>
    <w:p w:rsidR="003C2C9F" w:rsidRPr="008515A5" w:rsidRDefault="003C2C9F" w:rsidP="008515A5">
      <w:pPr>
        <w:pStyle w:val="Default"/>
        <w:spacing w:line="360" w:lineRule="auto"/>
        <w:ind w:left="480"/>
        <w:jc w:val="both"/>
        <w:rPr>
          <w:rFonts w:ascii="楷体" w:eastAsia="楷体" w:hAnsi="楷体" w:cs="方正楷体简体"/>
          <w:color w:val="221E1F"/>
        </w:rPr>
      </w:pPr>
      <w:r w:rsidRPr="008515A5">
        <w:rPr>
          <w:rFonts w:ascii="SimHei" w:eastAsia="黑体" w:hAnsi="SimHei" w:cs="Verdana"/>
          <w:color w:val="221E1F"/>
        </w:rPr>
        <w:t xml:space="preserve">4. </w:t>
      </w:r>
      <w:r w:rsidRPr="008515A5">
        <w:rPr>
          <w:rFonts w:ascii="SimHei" w:eastAsia="黑体" w:hAnsi="SimHei" w:cs="Verdana" w:hint="eastAsia"/>
          <w:color w:val="221E1F"/>
        </w:rPr>
        <w:t>绩效跟踪</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(1) </w:t>
      </w:r>
      <w:r w:rsidRPr="008515A5">
        <w:rPr>
          <w:rFonts w:ascii="SimHei" w:eastAsia="黑体" w:hAnsi="SimHei" w:cs="Verdana" w:hint="eastAsia"/>
          <w:color w:val="221E1F"/>
        </w:rPr>
        <w:t>该阶段由董事会考核与薪酬委员会利用季度财务报告等信息，对公司总经理及其高管团队的绩效目标执行完成状况进行例行跟踪、分析。</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(2) </w:t>
      </w:r>
      <w:r w:rsidRPr="008515A5">
        <w:rPr>
          <w:rFonts w:ascii="SimHei" w:eastAsia="黑体" w:hAnsi="SimHei" w:cs="Verdana" w:hint="eastAsia"/>
          <w:color w:val="221E1F"/>
        </w:rPr>
        <w:t>公司年度经营计划及绩效目标一经确定，原则上应保持相对稳定。如确实需要更改，须向董事会考核与薪酬委员会提出申请，经董事会考核与薪酬委员会会议审核，并提交董事会决议通过才能变更，并在董事会考核与薪酬委员会备案。</w:t>
      </w:r>
    </w:p>
    <w:p w:rsidR="003C2C9F" w:rsidRPr="008515A5" w:rsidRDefault="003C2C9F" w:rsidP="008515A5">
      <w:pPr>
        <w:pStyle w:val="CM1"/>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5. </w:t>
      </w:r>
      <w:r w:rsidRPr="008515A5">
        <w:rPr>
          <w:rFonts w:ascii="SimHei" w:eastAsia="黑体" w:hAnsi="SimHei" w:cs="Verdana" w:hint="eastAsia"/>
          <w:color w:val="221E1F"/>
        </w:rPr>
        <w:t>年度绩效综合评议</w:t>
      </w:r>
    </w:p>
    <w:p w:rsidR="003C2C9F" w:rsidRPr="008515A5" w:rsidRDefault="003C2C9F" w:rsidP="008515A5">
      <w:pPr>
        <w:pStyle w:val="CM1"/>
        <w:spacing w:line="360" w:lineRule="auto"/>
        <w:ind w:firstLineChars="200" w:firstLine="480"/>
        <w:jc w:val="both"/>
        <w:rPr>
          <w:rFonts w:ascii="楷体" w:eastAsia="楷体" w:hAnsi="楷体" w:cs="方正楷体简体"/>
          <w:color w:val="221E1F"/>
        </w:rPr>
      </w:pPr>
      <w:r w:rsidRPr="008515A5">
        <w:rPr>
          <w:rFonts w:ascii="SimHei" w:eastAsia="黑体" w:hAnsi="SimHei" w:cs="Verdana" w:hint="eastAsia"/>
          <w:color w:val="221E1F"/>
        </w:rPr>
        <w:t>对照公司总经理及其高管团队年度绩效承诺目标的达成状况，董事会考核与薪酬委员会进行综合评议并给出初评意见，双方将初评意见与公司总经理及其高管团队进行反馈沟通后，提交董事会会议审议通过，确定最终年度绩效考核结果。</w:t>
      </w:r>
    </w:p>
    <w:p w:rsidR="003C2C9F" w:rsidRPr="008515A5" w:rsidRDefault="003C2C9F" w:rsidP="008515A5">
      <w:pPr>
        <w:pStyle w:val="Default"/>
        <w:spacing w:line="360" w:lineRule="auto"/>
        <w:ind w:firstLineChars="200" w:firstLine="482"/>
        <w:jc w:val="both"/>
        <w:rPr>
          <w:rFonts w:ascii="楷体" w:eastAsia="楷体" w:hAnsi="楷体" w:cs="Verdana"/>
          <w:b/>
          <w:color w:val="221E1F"/>
        </w:rPr>
      </w:pPr>
      <w:r w:rsidRPr="008515A5">
        <w:rPr>
          <w:rFonts w:ascii="SimHei" w:eastAsia="黑体" w:hAnsi="SimHei" w:cs="Verdana" w:hint="eastAsia"/>
          <w:b/>
          <w:color w:val="221E1F"/>
        </w:rPr>
        <w:t>五、年度绩效考核职责分工</w:t>
      </w:r>
    </w:p>
    <w:p w:rsidR="003C2C9F" w:rsidRPr="008515A5" w:rsidRDefault="003C2C9F" w:rsidP="008515A5">
      <w:pPr>
        <w:pStyle w:val="CM9"/>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1. </w:t>
      </w:r>
      <w:r w:rsidRPr="008515A5">
        <w:rPr>
          <w:rFonts w:ascii="SimHei" w:eastAsia="黑体" w:hAnsi="SimHei" w:cs="Verdana" w:hint="eastAsia"/>
          <w:color w:val="221E1F"/>
        </w:rPr>
        <w:t>董事会</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(1) </w:t>
      </w:r>
      <w:r w:rsidRPr="008515A5">
        <w:rPr>
          <w:rFonts w:ascii="SimHei" w:eastAsia="黑体" w:hAnsi="SimHei" w:cs="Verdana" w:hint="eastAsia"/>
          <w:color w:val="221E1F"/>
        </w:rPr>
        <w:t>评审公司总经理及其高管团队的年度经营计划述职报告；</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(2) </w:t>
      </w:r>
      <w:r w:rsidRPr="008515A5">
        <w:rPr>
          <w:rFonts w:ascii="SimHei" w:eastAsia="黑体" w:hAnsi="SimHei" w:cs="Verdana" w:hint="eastAsia"/>
          <w:color w:val="221E1F"/>
        </w:rPr>
        <w:t>与公司总经理及其高管团队讨论确定其年度绩效目标承诺；</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(3) </w:t>
      </w:r>
      <w:r w:rsidRPr="008515A5">
        <w:rPr>
          <w:rFonts w:ascii="SimHei" w:eastAsia="黑体" w:hAnsi="SimHei" w:cs="Verdana" w:hint="eastAsia"/>
          <w:color w:val="221E1F"/>
        </w:rPr>
        <w:t>建立并组织实施例行的绩效分析评审会，针对公司总经理及其高管团队的绩效承诺和改进要求，及时监控与指导；</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(4) </w:t>
      </w:r>
      <w:r w:rsidRPr="008515A5">
        <w:rPr>
          <w:rFonts w:ascii="SimHei" w:eastAsia="黑体" w:hAnsi="SimHei" w:cs="Verdana" w:hint="eastAsia"/>
          <w:color w:val="221E1F"/>
        </w:rPr>
        <w:t>负责对公司总经理及其高管团队进行年度绩效考核，确定绩效考核结果；</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(5) </w:t>
      </w:r>
      <w:r w:rsidRPr="008515A5">
        <w:rPr>
          <w:rFonts w:ascii="SimHei" w:eastAsia="黑体" w:hAnsi="SimHei" w:cs="Verdana" w:hint="eastAsia"/>
          <w:color w:val="221E1F"/>
        </w:rPr>
        <w:t>就年度绩效考核结果，向公司总经理及其高管团队进行沟通反馈。</w:t>
      </w:r>
    </w:p>
    <w:p w:rsidR="003C2C9F" w:rsidRPr="008515A5" w:rsidRDefault="003C2C9F" w:rsidP="008515A5">
      <w:pPr>
        <w:pStyle w:val="Default"/>
        <w:spacing w:line="360" w:lineRule="auto"/>
        <w:ind w:left="480"/>
        <w:jc w:val="both"/>
        <w:rPr>
          <w:rFonts w:ascii="楷体" w:eastAsia="楷体" w:hAnsi="楷体" w:cs="方正楷体简体"/>
          <w:color w:val="221E1F"/>
        </w:rPr>
      </w:pPr>
      <w:r w:rsidRPr="008515A5">
        <w:rPr>
          <w:rFonts w:ascii="SimHei" w:eastAsia="黑体" w:hAnsi="SimHei" w:cs="Verdana"/>
          <w:color w:val="221E1F"/>
        </w:rPr>
        <w:t xml:space="preserve">2. </w:t>
      </w:r>
      <w:r w:rsidRPr="008515A5">
        <w:rPr>
          <w:rFonts w:ascii="SimHei" w:eastAsia="黑体" w:hAnsi="SimHei" w:cs="Verdana" w:hint="eastAsia"/>
          <w:color w:val="221E1F"/>
        </w:rPr>
        <w:t>公司总经理及其高管团队</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(1) </w:t>
      </w:r>
      <w:r w:rsidRPr="008515A5">
        <w:rPr>
          <w:rFonts w:ascii="SimHei" w:eastAsia="黑体" w:hAnsi="SimHei" w:cs="Verdana" w:hint="eastAsia"/>
          <w:color w:val="221E1F"/>
        </w:rPr>
        <w:t>年初根据要求，撰写述职报告，向董事会进行年度述职；</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(2) </w:t>
      </w:r>
      <w:r w:rsidRPr="008515A5">
        <w:rPr>
          <w:rFonts w:ascii="SimHei" w:eastAsia="黑体" w:hAnsi="SimHei" w:cs="Verdana" w:hint="eastAsia"/>
          <w:color w:val="221E1F"/>
        </w:rPr>
        <w:t>与董事会一起讨论确定并签署年度绩效承诺书；</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(3) </w:t>
      </w:r>
      <w:r w:rsidRPr="008515A5">
        <w:rPr>
          <w:rFonts w:ascii="SimHei" w:eastAsia="黑体" w:hAnsi="SimHei" w:cs="Verdana" w:hint="eastAsia"/>
          <w:color w:val="221E1F"/>
        </w:rPr>
        <w:t>参与董事会组织的例行跟踪、分析和评审会议，按照评审的意见组织不断进行绩效改进；</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(4) </w:t>
      </w:r>
      <w:r w:rsidRPr="008515A5">
        <w:rPr>
          <w:rFonts w:ascii="SimHei" w:eastAsia="黑体" w:hAnsi="SimHei" w:cs="Verdana" w:hint="eastAsia"/>
          <w:color w:val="221E1F"/>
        </w:rPr>
        <w:t>承诺书中相关工作内容如有较大变更，应及时向董事会提出对承诺书的修改意见，以及向董事会考核与薪酬委员会提出修改申请。</w:t>
      </w:r>
    </w:p>
    <w:p w:rsidR="003C2C9F" w:rsidRPr="008515A5" w:rsidRDefault="003C2C9F" w:rsidP="008515A5">
      <w:pPr>
        <w:pStyle w:val="CM9"/>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3. </w:t>
      </w:r>
      <w:r w:rsidRPr="008515A5">
        <w:rPr>
          <w:rFonts w:ascii="SimHei" w:eastAsia="黑体" w:hAnsi="SimHei" w:cs="Verdana" w:hint="eastAsia"/>
          <w:color w:val="221E1F"/>
        </w:rPr>
        <w:t>董事会考核与薪酬委员会</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(1) </w:t>
      </w:r>
      <w:r w:rsidRPr="008515A5">
        <w:rPr>
          <w:rFonts w:ascii="SimHei" w:eastAsia="黑体" w:hAnsi="SimHei" w:cs="Verdana" w:hint="eastAsia"/>
          <w:color w:val="221E1F"/>
        </w:rPr>
        <w:t>考核实施的组织部门，确保绩效考核符合流程规范；</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(2) </w:t>
      </w:r>
      <w:r w:rsidRPr="008515A5">
        <w:rPr>
          <w:rFonts w:ascii="SimHei" w:eastAsia="黑体" w:hAnsi="SimHei" w:cs="Verdana" w:hint="eastAsia"/>
          <w:color w:val="221E1F"/>
        </w:rPr>
        <w:t>协助公司总经理及其高管团队制定年初述职报告和年度绩效承诺目标书；</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(3) </w:t>
      </w:r>
      <w:r w:rsidRPr="008515A5">
        <w:rPr>
          <w:rFonts w:ascii="SimHei" w:eastAsia="黑体" w:hAnsi="SimHei" w:cs="Verdana" w:hint="eastAsia"/>
          <w:color w:val="221E1F"/>
        </w:rPr>
        <w:t>收集、跟踪公司总经理及其高管团队承诺目标的达成情况，并进行必要分析；</w:t>
      </w:r>
    </w:p>
    <w:p w:rsidR="003C2C9F" w:rsidRPr="008515A5" w:rsidRDefault="003C2C9F" w:rsidP="008515A5">
      <w:pPr>
        <w:pStyle w:val="Default"/>
        <w:spacing w:line="360" w:lineRule="auto"/>
        <w:ind w:firstLineChars="200" w:firstLine="480"/>
        <w:jc w:val="both"/>
        <w:rPr>
          <w:rFonts w:ascii="楷体" w:eastAsia="楷体" w:hAnsi="楷体" w:cs="方正楷体简体" w:hint="eastAsia"/>
          <w:color w:val="221E1F"/>
        </w:rPr>
      </w:pPr>
      <w:r w:rsidRPr="008515A5">
        <w:rPr>
          <w:rFonts w:ascii="SimHei" w:eastAsia="黑体" w:hAnsi="SimHei" w:cs="Verdana"/>
          <w:color w:val="221E1F"/>
        </w:rPr>
        <w:t xml:space="preserve">(4) </w:t>
      </w:r>
      <w:r w:rsidRPr="008515A5">
        <w:rPr>
          <w:rFonts w:ascii="SimHei" w:eastAsia="黑体" w:hAnsi="SimHei" w:cs="Verdana" w:hint="eastAsia"/>
          <w:color w:val="221E1F"/>
        </w:rPr>
        <w:t>负责公司总经理及其高管团队的述职、例行绩效分析评审、年终考核的初评会议，提出初评意见并与公司总经理及其高管团队进行沟通反馈。</w:t>
      </w:r>
    </w:p>
    <w:p w:rsidR="003C2C9F" w:rsidRPr="008515A5" w:rsidRDefault="003C2C9F" w:rsidP="008515A5">
      <w:pPr>
        <w:pStyle w:val="Default"/>
        <w:spacing w:line="360" w:lineRule="auto"/>
        <w:ind w:firstLineChars="200" w:firstLine="482"/>
        <w:jc w:val="both"/>
        <w:rPr>
          <w:rFonts w:ascii="楷体" w:eastAsia="楷体" w:hAnsi="楷体" w:cs="Verdana"/>
          <w:b/>
          <w:color w:val="221E1F"/>
        </w:rPr>
      </w:pPr>
      <w:r w:rsidRPr="008515A5">
        <w:rPr>
          <w:rFonts w:ascii="SimHei" w:eastAsia="黑体" w:hAnsi="SimHei" w:cs="Verdana" w:hint="eastAsia"/>
          <w:b/>
          <w:color w:val="221E1F"/>
        </w:rPr>
        <w:t>六、年度绩效目标承诺及考核结果的应用</w:t>
      </w:r>
    </w:p>
    <w:p w:rsidR="003C2C9F" w:rsidRPr="008515A5" w:rsidRDefault="003C2C9F" w:rsidP="008515A5">
      <w:pPr>
        <w:pStyle w:val="CM9"/>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1. </w:t>
      </w:r>
      <w:r w:rsidRPr="008515A5">
        <w:rPr>
          <w:rFonts w:ascii="SimHei" w:eastAsia="黑体" w:hAnsi="SimHei" w:cs="Verdana" w:hint="eastAsia"/>
          <w:color w:val="221E1F"/>
        </w:rPr>
        <w:t>考核结果的得出</w:t>
      </w:r>
    </w:p>
    <w:p w:rsidR="003C2C9F" w:rsidRPr="008515A5" w:rsidRDefault="003C2C9F" w:rsidP="008515A5">
      <w:pPr>
        <w:pStyle w:val="CM1"/>
        <w:spacing w:line="360" w:lineRule="auto"/>
        <w:ind w:firstLineChars="200" w:firstLine="480"/>
        <w:jc w:val="both"/>
        <w:rPr>
          <w:rFonts w:ascii="楷体" w:eastAsia="楷体" w:hAnsi="楷体" w:cs="方正楷体简体"/>
          <w:color w:val="221E1F"/>
        </w:rPr>
      </w:pPr>
      <w:r w:rsidRPr="008515A5">
        <w:rPr>
          <w:rFonts w:ascii="SimHei" w:eastAsia="黑体" w:hAnsi="SimHei" w:cs="Verdana" w:hint="eastAsia"/>
          <w:color w:val="221E1F"/>
        </w:rPr>
        <w:t>年度绩效综合评议结果主要采取参照年度绩效承诺指标达成目标值的情况进行考核并以加权记分的方式得出，具体记分方式包括以下几项。</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(1) </w:t>
      </w:r>
      <w:r w:rsidRPr="008515A5">
        <w:rPr>
          <w:rFonts w:ascii="SimHei" w:eastAsia="黑体" w:hAnsi="SimHei" w:cs="Verdana" w:hint="eastAsia"/>
          <w:color w:val="221E1F"/>
        </w:rPr>
        <w:t>年度绩效指标达成持平目标值的为</w:t>
      </w:r>
      <w:r w:rsidRPr="008515A5">
        <w:rPr>
          <w:rFonts w:ascii="SimHei" w:eastAsia="黑体" w:hAnsi="SimHei" w:cs="Verdana"/>
          <w:color w:val="221E1F"/>
        </w:rPr>
        <w:t xml:space="preserve">70 </w:t>
      </w:r>
      <w:r w:rsidRPr="008515A5">
        <w:rPr>
          <w:rFonts w:ascii="SimHei" w:eastAsia="黑体" w:hAnsi="SimHei" w:cs="Verdana" w:hint="eastAsia"/>
          <w:color w:val="221E1F"/>
        </w:rPr>
        <w:t>分；</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(2) </w:t>
      </w:r>
      <w:r w:rsidRPr="008515A5">
        <w:rPr>
          <w:rFonts w:ascii="SimHei" w:eastAsia="黑体" w:hAnsi="SimHei" w:cs="Verdana" w:hint="eastAsia"/>
          <w:color w:val="221E1F"/>
        </w:rPr>
        <w:t>年度绩效指标达成达标目标值的为</w:t>
      </w:r>
      <w:r w:rsidRPr="008515A5">
        <w:rPr>
          <w:rFonts w:ascii="SimHei" w:eastAsia="黑体" w:hAnsi="SimHei" w:cs="Verdana"/>
          <w:color w:val="221E1F"/>
        </w:rPr>
        <w:t xml:space="preserve">100 </w:t>
      </w:r>
      <w:r w:rsidRPr="008515A5">
        <w:rPr>
          <w:rFonts w:ascii="SimHei" w:eastAsia="黑体" w:hAnsi="SimHei" w:cs="Verdana" w:hint="eastAsia"/>
          <w:color w:val="221E1F"/>
        </w:rPr>
        <w:t>分；</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(3) </w:t>
      </w:r>
      <w:r w:rsidRPr="008515A5">
        <w:rPr>
          <w:rFonts w:ascii="SimHei" w:eastAsia="黑体" w:hAnsi="SimHei" w:cs="Verdana" w:hint="eastAsia"/>
          <w:color w:val="221E1F"/>
        </w:rPr>
        <w:t>年度绩效指标达成挑战目标值的为</w:t>
      </w:r>
      <w:r w:rsidRPr="008515A5">
        <w:rPr>
          <w:rFonts w:ascii="SimHei" w:eastAsia="黑体" w:hAnsi="SimHei" w:cs="Verdana"/>
          <w:color w:val="221E1F"/>
        </w:rPr>
        <w:t xml:space="preserve">120 </w:t>
      </w:r>
      <w:r w:rsidRPr="008515A5">
        <w:rPr>
          <w:rFonts w:ascii="SimHei" w:eastAsia="黑体" w:hAnsi="SimHei" w:cs="Verdana" w:hint="eastAsia"/>
          <w:color w:val="221E1F"/>
        </w:rPr>
        <w:t>分。</w:t>
      </w:r>
    </w:p>
    <w:p w:rsidR="003C2C9F" w:rsidRPr="008515A5" w:rsidRDefault="003C2C9F" w:rsidP="008515A5">
      <w:pPr>
        <w:pStyle w:val="CM1"/>
        <w:spacing w:line="360" w:lineRule="auto"/>
        <w:ind w:firstLineChars="200" w:firstLine="480"/>
        <w:jc w:val="both"/>
        <w:rPr>
          <w:rFonts w:ascii="楷体" w:eastAsia="楷体" w:hAnsi="楷体" w:cs="方正楷体简体"/>
          <w:color w:val="221E1F"/>
        </w:rPr>
      </w:pPr>
      <w:r w:rsidRPr="008515A5">
        <w:rPr>
          <w:rFonts w:ascii="SimHei" w:eastAsia="黑体" w:hAnsi="SimHei" w:cs="Verdana" w:hint="eastAsia"/>
          <w:color w:val="221E1F"/>
        </w:rPr>
        <w:t>存在多项绩效考核指标的，以各项指标得分的加权分数之和作为最终年度绩效综合评分。</w:t>
      </w:r>
    </w:p>
    <w:p w:rsidR="003C2C9F" w:rsidRPr="008515A5" w:rsidRDefault="003C2C9F" w:rsidP="008515A5">
      <w:pPr>
        <w:pStyle w:val="CM9"/>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2. </w:t>
      </w:r>
      <w:r w:rsidRPr="008515A5">
        <w:rPr>
          <w:rFonts w:ascii="SimHei" w:eastAsia="黑体" w:hAnsi="SimHei" w:cs="Verdana" w:hint="eastAsia"/>
          <w:color w:val="221E1F"/>
        </w:rPr>
        <w:t>考核结果的应用</w:t>
      </w:r>
    </w:p>
    <w:p w:rsidR="003C2C9F" w:rsidRPr="008515A5" w:rsidRDefault="003C2C9F" w:rsidP="008515A5">
      <w:pPr>
        <w:pStyle w:val="Default"/>
        <w:spacing w:line="360" w:lineRule="auto"/>
        <w:ind w:firstLineChars="200" w:firstLine="480"/>
        <w:jc w:val="both"/>
        <w:rPr>
          <w:rFonts w:ascii="楷体" w:eastAsia="楷体" w:hAnsi="楷体" w:cs="方正楷体简体"/>
          <w:color w:val="221E1F"/>
        </w:rPr>
      </w:pPr>
      <w:r w:rsidRPr="008515A5">
        <w:rPr>
          <w:rFonts w:ascii="SimHei" w:eastAsia="黑体" w:hAnsi="SimHei" w:cs="Verdana"/>
          <w:color w:val="221E1F"/>
        </w:rPr>
        <w:t xml:space="preserve">(1) </w:t>
      </w:r>
      <w:r w:rsidRPr="008515A5">
        <w:rPr>
          <w:rFonts w:ascii="SimHei" w:eastAsia="黑体" w:hAnsi="SimHei" w:cs="Verdana" w:hint="eastAsia"/>
          <w:color w:val="221E1F"/>
        </w:rPr>
        <w:t>年度绩效综合评分≤</w:t>
      </w:r>
      <w:r w:rsidRPr="008515A5">
        <w:rPr>
          <w:rFonts w:ascii="SimHei" w:eastAsia="黑体" w:hAnsi="SimHei" w:cs="Verdana"/>
          <w:color w:val="221E1F"/>
        </w:rPr>
        <w:t xml:space="preserve">70 </w:t>
      </w:r>
      <w:r w:rsidRPr="008515A5">
        <w:rPr>
          <w:rFonts w:ascii="SimHei" w:eastAsia="黑体" w:hAnsi="SimHei" w:cs="Verdana" w:hint="eastAsia"/>
          <w:color w:val="221E1F"/>
        </w:rPr>
        <w:t>，即年度绩效未达成或刚达成承诺的持平目标。</w:t>
      </w:r>
    </w:p>
    <w:p w:rsidR="003C2C9F" w:rsidRPr="008515A5" w:rsidRDefault="003C2C9F" w:rsidP="008515A5">
      <w:pPr>
        <w:pStyle w:val="Default"/>
        <w:spacing w:line="360" w:lineRule="auto"/>
        <w:ind w:firstLineChars="200" w:firstLine="480"/>
        <w:jc w:val="both"/>
        <w:rPr>
          <w:rFonts w:ascii="楷体" w:eastAsia="楷体" w:hAnsi="楷体" w:cs="方正楷体简体" w:hint="eastAsia"/>
          <w:color w:val="221E1F"/>
        </w:rPr>
      </w:pPr>
      <w:r w:rsidRPr="008515A5">
        <w:rPr>
          <w:rFonts w:ascii="SimHei" w:eastAsia="黑体" w:hAnsi="SimHei" w:cs="Verdana" w:hint="eastAsia"/>
          <w:color w:val="221E1F"/>
        </w:rPr>
        <w:t>①公司总经理及其高管团队年度薪酬包按照以下方式计算减少或者冻结</w:t>
      </w:r>
      <w:r w:rsidRPr="008515A5">
        <w:rPr>
          <w:rFonts w:ascii="SimHei" w:eastAsia="黑体" w:hAnsi="SimHei" w:cs="Verdana"/>
          <w:color w:val="221E1F"/>
        </w:rPr>
        <w:t>(</w:t>
      </w:r>
      <w:r w:rsidRPr="008515A5">
        <w:rPr>
          <w:rFonts w:ascii="SimHei" w:eastAsia="黑体" w:hAnsi="SimHei" w:cs="Verdana" w:hint="eastAsia"/>
          <w:color w:val="221E1F"/>
        </w:rPr>
        <w:t>在计算数额已低于上一年度实际已发薪酬数额时</w:t>
      </w:r>
      <w:r w:rsidRPr="008515A5">
        <w:rPr>
          <w:rFonts w:ascii="SimHei" w:eastAsia="黑体" w:hAnsi="SimHei" w:cs="Verdana"/>
          <w:color w:val="221E1F"/>
        </w:rPr>
        <w:t>)</w:t>
      </w:r>
      <w:r w:rsidRPr="008515A5">
        <w:rPr>
          <w:rFonts w:ascii="SimHei" w:eastAsia="黑体" w:hAnsi="SimHei" w:cs="Verdana" w:hint="eastAsia"/>
          <w:color w:val="221E1F"/>
        </w:rPr>
        <w:t>：</w:t>
      </w:r>
    </w:p>
    <w:p w:rsidR="003C2C9F" w:rsidRPr="008515A5" w:rsidRDefault="003C2C9F" w:rsidP="008515A5">
      <w:pPr>
        <w:pStyle w:val="Default"/>
        <w:spacing w:line="360" w:lineRule="auto"/>
        <w:ind w:firstLineChars="200" w:firstLine="480"/>
        <w:jc w:val="both"/>
        <w:rPr>
          <w:rFonts w:ascii="楷体" w:eastAsia="楷体" w:hAnsi="楷体"/>
          <w:color w:val="221E1F"/>
        </w:rPr>
      </w:pPr>
      <w:r w:rsidRPr="008515A5">
        <w:rPr>
          <w:rFonts w:ascii="SimHei" w:eastAsia="黑体" w:hAnsi="SimHei" w:cs="Verdana" w:hint="eastAsia"/>
          <w:color w:val="221E1F"/>
        </w:rPr>
        <w:t>本年度薪酬包总额</w:t>
      </w:r>
      <w:r w:rsidRPr="008515A5">
        <w:rPr>
          <w:rFonts w:ascii="SimHei" w:eastAsia="黑体" w:hAnsi="SimHei" w:cs="Verdana"/>
          <w:i/>
          <w:iCs/>
          <w:color w:val="221E1F"/>
        </w:rPr>
        <w:t>=</w:t>
      </w:r>
      <w:r w:rsidRPr="008515A5">
        <w:rPr>
          <w:rFonts w:ascii="SimHei" w:eastAsia="黑体" w:hAnsi="SimHei" w:cs="Verdana" w:hint="eastAsia"/>
          <w:color w:val="221E1F"/>
        </w:rPr>
        <w:t>上一年度薪酬包总额×</w:t>
      </w:r>
      <w:r w:rsidRPr="008515A5">
        <w:rPr>
          <w:rFonts w:ascii="SimHei" w:eastAsia="黑体" w:hAnsi="SimHei" w:cs="Verdana"/>
          <w:color w:val="221E1F"/>
        </w:rPr>
        <w:t>[1-(70-</w:t>
      </w:r>
      <w:r w:rsidRPr="008515A5">
        <w:rPr>
          <w:rFonts w:ascii="SimHei" w:eastAsia="黑体" w:hAnsi="SimHei" w:cs="Verdana" w:hint="eastAsia"/>
          <w:color w:val="221E1F"/>
        </w:rPr>
        <w:t>年度绩效综合评分</w:t>
      </w:r>
      <w:r w:rsidRPr="008515A5">
        <w:rPr>
          <w:rFonts w:ascii="SimHei" w:eastAsia="黑体" w:hAnsi="SimHei" w:cs="Verdana"/>
          <w:color w:val="221E1F"/>
        </w:rPr>
        <w:t xml:space="preserve">)/70] </w:t>
      </w:r>
    </w:p>
    <w:p w:rsidR="008515A5" w:rsidRDefault="003C2C9F" w:rsidP="008515A5">
      <w:pPr>
        <w:pStyle w:val="Default"/>
        <w:spacing w:line="360" w:lineRule="auto"/>
        <w:ind w:left="480"/>
        <w:jc w:val="both"/>
        <w:rPr>
          <w:rFonts w:ascii="楷体" w:eastAsia="楷体" w:hAnsi="楷体" w:cs="Verdana" w:hint="eastAsia"/>
          <w:color w:val="221E1F"/>
        </w:rPr>
      </w:pPr>
      <w:r w:rsidRPr="008515A5">
        <w:rPr>
          <w:rFonts w:ascii="SimHei" w:eastAsia="黑体" w:hAnsi="SimHei" w:cs="Verdana" w:hint="eastAsia"/>
          <w:color w:val="221E1F"/>
        </w:rPr>
        <w:t>②</w:t>
      </w:r>
      <w:r w:rsidRPr="008515A5">
        <w:rPr>
          <w:rFonts w:ascii="SimHei" w:eastAsia="黑体" w:hAnsi="SimHei" w:cs="Verdana"/>
          <w:color w:val="221E1F"/>
        </w:rPr>
        <w:t xml:space="preserve"> </w:t>
      </w:r>
      <w:r w:rsidRPr="008515A5">
        <w:rPr>
          <w:rFonts w:ascii="SimHei" w:eastAsia="黑体" w:hAnsi="SimHei" w:cs="Verdana" w:hint="eastAsia"/>
          <w:color w:val="221E1F"/>
        </w:rPr>
        <w:t>公司总经理及其高管团队正职降为副职或予以免职。</w:t>
      </w:r>
    </w:p>
    <w:p w:rsidR="003C2C9F" w:rsidRPr="008515A5" w:rsidRDefault="003C2C9F" w:rsidP="008515A5">
      <w:pPr>
        <w:pStyle w:val="Default"/>
        <w:spacing w:line="360" w:lineRule="auto"/>
        <w:ind w:left="480"/>
        <w:jc w:val="both"/>
        <w:rPr>
          <w:rFonts w:ascii="楷体" w:eastAsia="楷体" w:hAnsi="楷体" w:cs="方正楷体简体"/>
          <w:color w:val="221E1F"/>
        </w:rPr>
      </w:pPr>
      <w:r w:rsidRPr="008515A5">
        <w:rPr>
          <w:rFonts w:ascii="SimHei" w:eastAsia="黑体" w:hAnsi="SimHei" w:cs="Verdana"/>
          <w:color w:val="221E1F"/>
        </w:rPr>
        <w:t xml:space="preserve">(2) 70 </w:t>
      </w:r>
      <w:r w:rsidRPr="008515A5">
        <w:rPr>
          <w:rFonts w:ascii="SimHei" w:eastAsia="黑体" w:hAnsi="SimHei" w:cs="Verdana" w:hint="eastAsia"/>
          <w:color w:val="221E1F"/>
        </w:rPr>
        <w:t>＜年度绩效综合评分≤</w:t>
      </w:r>
      <w:r w:rsidRPr="008515A5">
        <w:rPr>
          <w:rFonts w:ascii="SimHei" w:eastAsia="黑体" w:hAnsi="SimHei" w:cs="Verdana"/>
          <w:color w:val="221E1F"/>
        </w:rPr>
        <w:t xml:space="preserve">100 </w:t>
      </w:r>
      <w:r w:rsidRPr="008515A5">
        <w:rPr>
          <w:rFonts w:ascii="SimHei" w:eastAsia="黑体" w:hAnsi="SimHei" w:cs="Verdana" w:hint="eastAsia"/>
          <w:color w:val="221E1F"/>
        </w:rPr>
        <w:t>，即年度绩效超过了承诺的持平目标，或已达成了承诺的达标目标。</w:t>
      </w:r>
    </w:p>
    <w:p w:rsidR="003C2C9F" w:rsidRPr="008515A5" w:rsidRDefault="003C2C9F" w:rsidP="008515A5">
      <w:pPr>
        <w:pStyle w:val="CM25"/>
        <w:spacing w:line="360" w:lineRule="auto"/>
        <w:ind w:firstLineChars="200" w:firstLine="480"/>
        <w:jc w:val="both"/>
        <w:rPr>
          <w:rFonts w:ascii="楷体" w:eastAsia="楷体" w:hAnsi="楷体" w:cs="方正楷体简体"/>
          <w:color w:val="221E1F"/>
        </w:rPr>
      </w:pPr>
      <w:r w:rsidRPr="008515A5">
        <w:rPr>
          <w:rFonts w:ascii="SimHei" w:eastAsia="黑体" w:hAnsi="SimHei" w:cs="Verdana" w:hint="eastAsia"/>
          <w:color w:val="221E1F"/>
        </w:rPr>
        <w:t>公司总经理及其高管团队年度薪酬包按照以下方式计算：</w:t>
      </w:r>
    </w:p>
    <w:p w:rsidR="003C2C9F" w:rsidRPr="008515A5" w:rsidRDefault="003C2C9F" w:rsidP="008515A5">
      <w:pPr>
        <w:pStyle w:val="CM25"/>
        <w:spacing w:line="360" w:lineRule="auto"/>
        <w:ind w:firstLineChars="200" w:firstLine="480"/>
        <w:jc w:val="both"/>
        <w:rPr>
          <w:rFonts w:ascii="楷体" w:eastAsia="楷体" w:hAnsi="楷体"/>
          <w:color w:val="221E1F"/>
        </w:rPr>
      </w:pPr>
      <w:r w:rsidRPr="008515A5">
        <w:rPr>
          <w:rFonts w:ascii="SimHei" w:eastAsia="黑体" w:hAnsi="SimHei" w:cs="Verdana" w:hint="eastAsia"/>
          <w:color w:val="221E1F"/>
        </w:rPr>
        <w:t>本年度薪酬包总额</w:t>
      </w:r>
      <w:r w:rsidRPr="008515A5">
        <w:rPr>
          <w:rFonts w:ascii="SimHei" w:eastAsia="黑体" w:hAnsi="SimHei" w:cs="Verdana"/>
          <w:i/>
          <w:iCs/>
          <w:color w:val="221E1F"/>
        </w:rPr>
        <w:t>=</w:t>
      </w:r>
      <w:r w:rsidRPr="008515A5">
        <w:rPr>
          <w:rFonts w:ascii="SimHei" w:eastAsia="黑体" w:hAnsi="SimHei" w:cs="Verdana" w:hint="eastAsia"/>
          <w:color w:val="221E1F"/>
        </w:rPr>
        <w:t>上一年度薪酬包总额×</w:t>
      </w:r>
      <w:r w:rsidRPr="008515A5">
        <w:rPr>
          <w:rFonts w:ascii="SimHei" w:eastAsia="黑体" w:hAnsi="SimHei" w:cs="Verdana"/>
          <w:color w:val="221E1F"/>
        </w:rPr>
        <w:t xml:space="preserve">[1+( </w:t>
      </w:r>
      <w:r w:rsidRPr="008515A5">
        <w:rPr>
          <w:rFonts w:ascii="SimHei" w:eastAsia="黑体" w:hAnsi="SimHei" w:cs="Verdana" w:hint="eastAsia"/>
          <w:color w:val="221E1F"/>
        </w:rPr>
        <w:t>年度绩效综合评分</w:t>
      </w:r>
      <w:r w:rsidRPr="008515A5">
        <w:rPr>
          <w:rFonts w:ascii="SimHei" w:eastAsia="黑体" w:hAnsi="SimHei" w:cs="Verdana"/>
          <w:color w:val="221E1F"/>
        </w:rPr>
        <w:t>-70)/30</w:t>
      </w:r>
      <w:r w:rsidRPr="008515A5">
        <w:rPr>
          <w:rFonts w:ascii="SimHei" w:eastAsia="黑体" w:hAnsi="SimHei" w:cs="Verdana" w:hint="eastAsia"/>
          <w:color w:val="221E1F"/>
        </w:rPr>
        <w:t>×</w:t>
      </w:r>
      <w:r w:rsidRPr="008515A5">
        <w:rPr>
          <w:rFonts w:ascii="SimHei" w:eastAsia="黑体" w:hAnsi="SimHei" w:cs="Verdana"/>
          <w:color w:val="221E1F"/>
        </w:rPr>
        <w:t>30</w:t>
      </w:r>
      <w:r w:rsidRPr="008515A5">
        <w:rPr>
          <w:rFonts w:ascii="SimHei" w:eastAsia="黑体" w:hAnsi="SimHei" w:cs="Verdana" w:hint="eastAsia"/>
          <w:color w:val="221E1F"/>
        </w:rPr>
        <w:t>％</w:t>
      </w:r>
      <w:r w:rsidRPr="008515A5">
        <w:rPr>
          <w:rFonts w:ascii="SimHei" w:eastAsia="黑体" w:hAnsi="SimHei" w:cs="Verdana"/>
          <w:color w:val="221E1F"/>
        </w:rPr>
        <w:t xml:space="preserve">] </w:t>
      </w:r>
    </w:p>
    <w:p w:rsidR="003C2C9F" w:rsidRPr="008515A5" w:rsidRDefault="003C2C9F" w:rsidP="008515A5">
      <w:pPr>
        <w:pStyle w:val="CM15"/>
        <w:spacing w:line="360" w:lineRule="auto"/>
        <w:ind w:firstLineChars="200" w:firstLine="480"/>
        <w:jc w:val="both"/>
        <w:rPr>
          <w:rFonts w:ascii="楷体" w:eastAsia="楷体" w:hAnsi="楷体" w:cs="方正楷体简体" w:hint="eastAsia"/>
          <w:color w:val="221E1F"/>
        </w:rPr>
      </w:pPr>
      <w:r w:rsidRPr="008515A5">
        <w:rPr>
          <w:rFonts w:ascii="SimHei" w:eastAsia="黑体" w:hAnsi="SimHei" w:cs="Verdana"/>
          <w:color w:val="221E1F"/>
        </w:rPr>
        <w:t xml:space="preserve">(3) 100 </w:t>
      </w:r>
      <w:r w:rsidRPr="008515A5">
        <w:rPr>
          <w:rFonts w:ascii="SimHei" w:eastAsia="黑体" w:hAnsi="SimHei" w:cs="Verdana" w:hint="eastAsia"/>
          <w:color w:val="221E1F"/>
        </w:rPr>
        <w:t>＜年度绩效综合评分≤</w:t>
      </w:r>
      <w:r w:rsidRPr="008515A5">
        <w:rPr>
          <w:rFonts w:ascii="SimHei" w:eastAsia="黑体" w:hAnsi="SimHei" w:cs="Verdana"/>
          <w:color w:val="221E1F"/>
        </w:rPr>
        <w:t xml:space="preserve">120 </w:t>
      </w:r>
      <w:r w:rsidRPr="008515A5">
        <w:rPr>
          <w:rFonts w:ascii="SimHei" w:eastAsia="黑体" w:hAnsi="SimHei" w:cs="Verdana" w:hint="eastAsia"/>
          <w:color w:val="221E1F"/>
        </w:rPr>
        <w:t>，即年度绩效超过了承诺的达标目标，或达成了承诺的挑战目标。</w:t>
      </w:r>
    </w:p>
    <w:p w:rsidR="003C2C9F" w:rsidRPr="008515A5" w:rsidRDefault="003C2C9F" w:rsidP="008515A5">
      <w:pPr>
        <w:pStyle w:val="CM11"/>
        <w:spacing w:line="360" w:lineRule="auto"/>
        <w:ind w:leftChars="100" w:left="210" w:firstLineChars="200" w:firstLine="480"/>
        <w:jc w:val="both"/>
        <w:rPr>
          <w:rFonts w:ascii="楷体" w:eastAsia="楷体" w:hAnsi="楷体" w:cs="方正楷体简体" w:hint="eastAsia"/>
          <w:color w:val="221E1F"/>
        </w:rPr>
      </w:pPr>
      <w:r w:rsidRPr="008515A5">
        <w:rPr>
          <w:rFonts w:ascii="SimHei" w:eastAsia="黑体" w:hAnsi="SimHei" w:cs="Verdana" w:hint="eastAsia"/>
          <w:color w:val="221E1F"/>
        </w:rPr>
        <w:t>公司总经理及其高管团队年度薪酬包按照以下方式计算：</w:t>
      </w:r>
    </w:p>
    <w:p w:rsidR="003C2C9F" w:rsidRPr="008515A5" w:rsidRDefault="003C2C9F" w:rsidP="008515A5">
      <w:pPr>
        <w:pStyle w:val="CM11"/>
        <w:spacing w:line="360" w:lineRule="auto"/>
        <w:ind w:leftChars="100" w:left="210" w:firstLineChars="200" w:firstLine="480"/>
        <w:jc w:val="both"/>
        <w:rPr>
          <w:rFonts w:ascii="楷体" w:eastAsia="楷体" w:hAnsi="楷体"/>
          <w:color w:val="221E1F"/>
        </w:rPr>
      </w:pPr>
      <w:r w:rsidRPr="008515A5">
        <w:rPr>
          <w:rFonts w:ascii="SimHei" w:eastAsia="黑体" w:hAnsi="SimHei" w:cs="Verdana" w:hint="eastAsia"/>
          <w:color w:val="221E1F"/>
        </w:rPr>
        <w:t>本年度薪酬包总额</w:t>
      </w:r>
      <w:r w:rsidRPr="008515A5">
        <w:rPr>
          <w:rFonts w:ascii="SimHei" w:eastAsia="黑体" w:hAnsi="SimHei" w:cs="Verdana"/>
          <w:i/>
          <w:iCs/>
          <w:color w:val="221E1F"/>
        </w:rPr>
        <w:t>=</w:t>
      </w:r>
      <w:r w:rsidRPr="008515A5">
        <w:rPr>
          <w:rFonts w:ascii="SimHei" w:eastAsia="黑体" w:hAnsi="SimHei" w:cs="Verdana" w:hint="eastAsia"/>
          <w:color w:val="221E1F"/>
        </w:rPr>
        <w:t>上一年度薪酬包总额×</w:t>
      </w:r>
      <w:r w:rsidRPr="008515A5">
        <w:rPr>
          <w:rFonts w:ascii="SimHei" w:eastAsia="黑体" w:hAnsi="SimHei" w:cs="Verdana"/>
          <w:color w:val="221E1F"/>
        </w:rPr>
        <w:t xml:space="preserve">[1+( </w:t>
      </w:r>
      <w:r w:rsidRPr="008515A5">
        <w:rPr>
          <w:rFonts w:ascii="SimHei" w:eastAsia="黑体" w:hAnsi="SimHei" w:cs="Verdana" w:hint="eastAsia"/>
          <w:color w:val="221E1F"/>
        </w:rPr>
        <w:t>年度绩效综合评分</w:t>
      </w:r>
      <w:r w:rsidRPr="008515A5">
        <w:rPr>
          <w:rFonts w:ascii="SimHei" w:eastAsia="黑体" w:hAnsi="SimHei" w:cs="Verdana"/>
          <w:color w:val="221E1F"/>
        </w:rPr>
        <w:t>-100)/20</w:t>
      </w:r>
      <w:r w:rsidRPr="008515A5">
        <w:rPr>
          <w:rFonts w:ascii="SimHei" w:eastAsia="黑体" w:hAnsi="SimHei" w:cs="Verdana" w:hint="eastAsia"/>
          <w:color w:val="221E1F"/>
        </w:rPr>
        <w:t>×</w:t>
      </w:r>
      <w:r w:rsidRPr="008515A5">
        <w:rPr>
          <w:rFonts w:ascii="SimHei" w:eastAsia="黑体" w:hAnsi="SimHei" w:cs="Verdana"/>
          <w:color w:val="221E1F"/>
        </w:rPr>
        <w:t>50</w:t>
      </w:r>
      <w:r w:rsidRPr="008515A5">
        <w:rPr>
          <w:rFonts w:ascii="SimHei" w:eastAsia="黑体" w:hAnsi="SimHei" w:cs="Verdana" w:hint="eastAsia"/>
          <w:color w:val="221E1F"/>
        </w:rPr>
        <w:t>％</w:t>
      </w:r>
      <w:r w:rsidRPr="008515A5">
        <w:rPr>
          <w:rFonts w:ascii="SimHei" w:eastAsia="黑体" w:hAnsi="SimHei" w:cs="Verdana"/>
          <w:color w:val="221E1F"/>
        </w:rPr>
        <w:t xml:space="preserve">] </w:t>
      </w:r>
    </w:p>
    <w:p w:rsidR="003C2C9F" w:rsidRPr="008515A5" w:rsidRDefault="003C2C9F" w:rsidP="008515A5">
      <w:pPr>
        <w:pStyle w:val="CM16"/>
        <w:spacing w:line="360" w:lineRule="auto"/>
        <w:ind w:firstLineChars="200" w:firstLine="480"/>
        <w:jc w:val="both"/>
        <w:rPr>
          <w:rFonts w:ascii="楷体" w:eastAsia="楷体" w:hAnsi="楷体" w:cs="方正楷体简体" w:hint="eastAsia"/>
          <w:color w:val="221E1F"/>
        </w:rPr>
      </w:pPr>
      <w:r w:rsidRPr="008515A5">
        <w:rPr>
          <w:rFonts w:ascii="SimHei" w:eastAsia="黑体" w:hAnsi="SimHei" w:cs="Verdana"/>
          <w:color w:val="221E1F"/>
        </w:rPr>
        <w:t xml:space="preserve">(4) 120 </w:t>
      </w:r>
      <w:r w:rsidRPr="008515A5">
        <w:rPr>
          <w:rFonts w:ascii="SimHei" w:eastAsia="黑体" w:hAnsi="SimHei" w:cs="Verdana" w:hint="eastAsia"/>
          <w:color w:val="221E1F"/>
        </w:rPr>
        <w:t>＜年度绩效综合评分。</w:t>
      </w:r>
    </w:p>
    <w:p w:rsidR="003C2C9F" w:rsidRPr="008515A5" w:rsidRDefault="003C2C9F" w:rsidP="008515A5">
      <w:pPr>
        <w:pStyle w:val="CM16"/>
        <w:spacing w:line="360" w:lineRule="auto"/>
        <w:ind w:firstLineChars="200" w:firstLine="480"/>
        <w:jc w:val="both"/>
        <w:rPr>
          <w:rFonts w:ascii="楷体" w:eastAsia="楷体" w:hAnsi="楷体" w:cs="方正楷体简体" w:hint="eastAsia"/>
          <w:color w:val="221E1F"/>
        </w:rPr>
      </w:pPr>
      <w:r w:rsidRPr="008515A5">
        <w:rPr>
          <w:rFonts w:ascii="SimHei" w:eastAsia="黑体" w:hAnsi="SimHei" w:cs="Verdana" w:hint="eastAsia"/>
          <w:color w:val="221E1F"/>
        </w:rPr>
        <w:t>公司总经理及其高管团队年度薪酬包按照以下方式计算：</w:t>
      </w:r>
    </w:p>
    <w:p w:rsidR="008515A5" w:rsidRDefault="003C2C9F" w:rsidP="008515A5">
      <w:pPr>
        <w:pStyle w:val="CM16"/>
        <w:spacing w:line="360" w:lineRule="auto"/>
        <w:ind w:firstLineChars="200" w:firstLine="480"/>
        <w:jc w:val="both"/>
        <w:rPr>
          <w:rFonts w:ascii="楷体" w:eastAsia="楷体" w:hAnsi="楷体" w:cs="Verdana" w:hint="eastAsia"/>
          <w:color w:val="221E1F"/>
        </w:rPr>
      </w:pPr>
      <w:r w:rsidRPr="008515A5">
        <w:rPr>
          <w:rFonts w:ascii="SimHei" w:eastAsia="黑体" w:hAnsi="SimHei" w:cs="Verdana" w:hint="eastAsia"/>
          <w:color w:val="221E1F"/>
        </w:rPr>
        <w:t>本年度薪酬包总额</w:t>
      </w:r>
      <w:r w:rsidRPr="008515A5">
        <w:rPr>
          <w:rFonts w:ascii="SimHei" w:eastAsia="黑体" w:hAnsi="SimHei" w:cs="Verdana"/>
          <w:i/>
          <w:iCs/>
          <w:color w:val="221E1F"/>
        </w:rPr>
        <w:t>=</w:t>
      </w:r>
      <w:r w:rsidRPr="008515A5">
        <w:rPr>
          <w:rFonts w:ascii="SimHei" w:eastAsia="黑体" w:hAnsi="SimHei" w:cs="Verdana" w:hint="eastAsia"/>
          <w:color w:val="221E1F"/>
        </w:rPr>
        <w:t>上一年度薪酬包总额×</w:t>
      </w:r>
      <w:r w:rsidRPr="008515A5">
        <w:rPr>
          <w:rFonts w:ascii="SimHei" w:eastAsia="黑体" w:hAnsi="SimHei" w:cs="Verdana"/>
          <w:color w:val="221E1F"/>
        </w:rPr>
        <w:t xml:space="preserve">[1+50%+( </w:t>
      </w:r>
      <w:r w:rsidRPr="008515A5">
        <w:rPr>
          <w:rFonts w:ascii="SimHei" w:eastAsia="黑体" w:hAnsi="SimHei" w:cs="Verdana" w:hint="eastAsia"/>
          <w:color w:val="221E1F"/>
        </w:rPr>
        <w:t>年度绩效综合评分</w:t>
      </w:r>
      <w:r w:rsidRPr="008515A5">
        <w:rPr>
          <w:rFonts w:ascii="SimHei" w:eastAsia="黑体" w:hAnsi="SimHei" w:cs="Verdana"/>
          <w:color w:val="221E1F"/>
        </w:rPr>
        <w:t xml:space="preserve">-120)/120] </w:t>
      </w:r>
    </w:p>
    <w:p w:rsidR="003C2C9F" w:rsidRPr="008515A5" w:rsidRDefault="003C2C9F" w:rsidP="008515A5">
      <w:pPr>
        <w:pStyle w:val="Default"/>
        <w:spacing w:line="360" w:lineRule="auto"/>
        <w:ind w:firstLineChars="200" w:firstLine="482"/>
        <w:jc w:val="both"/>
        <w:rPr>
          <w:rFonts w:ascii="楷体" w:eastAsia="楷体" w:hAnsi="楷体" w:cs="Verdana"/>
          <w:b/>
          <w:color w:val="221E1F"/>
        </w:rPr>
      </w:pPr>
      <w:r w:rsidRPr="008515A5">
        <w:rPr>
          <w:rFonts w:ascii="SimHei" w:eastAsia="黑体" w:hAnsi="SimHei" w:cs="Verdana" w:hint="eastAsia"/>
          <w:b/>
          <w:color w:val="221E1F"/>
        </w:rPr>
        <w:t>七、解释、修订和废止本办法的解释、修订和废止权归公司董事会。</w:t>
      </w:r>
    </w:p>
    <w:p w:rsidR="003C2C9F" w:rsidRPr="008515A5" w:rsidRDefault="003C2C9F" w:rsidP="008515A5">
      <w:pPr>
        <w:pStyle w:val="Default"/>
        <w:spacing w:line="360" w:lineRule="auto"/>
        <w:ind w:firstLineChars="200" w:firstLine="480"/>
        <w:jc w:val="right"/>
        <w:rPr>
          <w:rFonts w:ascii="楷体" w:eastAsia="楷体" w:hAnsi="楷体" w:cs="方正楷体简体" w:hint="eastAsia"/>
          <w:color w:val="221E1F"/>
        </w:rPr>
      </w:pPr>
      <w:r w:rsidRPr="008515A5">
        <w:rPr>
          <w:rFonts w:ascii="SimHei" w:eastAsia="黑体" w:hAnsi="SimHei" w:cs="Verdana" w:hint="eastAsia"/>
          <w:color w:val="221E1F"/>
        </w:rPr>
        <w:t>××公司董事会</w:t>
      </w:r>
    </w:p>
    <w:p w:rsidR="003C2C9F" w:rsidRPr="008515A5" w:rsidRDefault="003C2C9F" w:rsidP="008515A5">
      <w:pPr>
        <w:pStyle w:val="Default"/>
        <w:spacing w:line="360" w:lineRule="auto"/>
        <w:ind w:firstLineChars="200" w:firstLine="480"/>
        <w:jc w:val="right"/>
        <w:rPr>
          <w:rFonts w:ascii="楷体" w:eastAsia="楷体" w:hAnsi="楷体" w:cs="方正楷体简体" w:hint="eastAsia"/>
          <w:color w:val="221E1F"/>
        </w:rPr>
      </w:pPr>
      <w:r w:rsidRPr="008515A5">
        <w:rPr>
          <w:rFonts w:ascii="SimHei" w:eastAsia="黑体" w:hAnsi="SimHei" w:cs="Verdana" w:hint="eastAsia"/>
          <w:color w:val="221E1F"/>
        </w:rPr>
        <w:t>××××年×月×日</w:t>
      </w:r>
    </w:p>
    <w:p w:rsidR="003C2C9F" w:rsidRPr="008515A5" w:rsidRDefault="008515A5" w:rsidP="008515A5">
      <w:pPr>
        <w:pStyle w:val="Default"/>
        <w:spacing w:line="360" w:lineRule="auto"/>
        <w:jc w:val="center"/>
        <w:rPr>
          <w:rFonts w:ascii="楷体" w:eastAsia="楷体" w:hAnsi="楷体" w:cs="黑体.体简体"/>
          <w:b/>
          <w:color w:val="221E1F"/>
        </w:rPr>
      </w:pPr>
      <w:r>
        <w:rPr>
          <w:rFonts w:ascii="SimHei" w:eastAsia="黑体" w:hAnsi="SimHei" w:cs="Verdana"/>
          <w:b/>
          <w:color w:val="221E1F"/>
        </w:rPr>
      </w:r>
      <w:r w:rsidR="003C2C9F" w:rsidRPr="008515A5">
        <w:rPr>
          <w:rFonts w:ascii="SimHei" w:eastAsia="黑体" w:hAnsi="SimHei" w:cs="Verdana" w:hint="eastAsia"/>
          <w:b/>
          <w:color w:val="221E1F"/>
          <w:sz w:val="28"/>
        </w:rPr>
        <w:t>总经理考核表</w:t>
      </w:r>
    </w:p>
    <w:tbl>
      <w:tblPr>
        <w:tblW w:w="8005" w:type="dxa"/>
        <w:jc w:val="center"/>
        <w:tblBorders>
          <w:top w:val="nil"/>
          <w:left w:val="nil"/>
          <w:bottom w:val="nil"/>
          <w:right w:val="nil"/>
        </w:tblBorders>
        <w:tblLook w:val="0000" w:firstRow="0" w:lastRow="0" w:firstColumn="0" w:lastColumn="0" w:noHBand="0" w:noVBand="0"/>
      </w:tblPr>
      <w:tblGrid>
        <w:gridCol w:w="1242"/>
        <w:gridCol w:w="1134"/>
        <w:gridCol w:w="946"/>
        <w:gridCol w:w="897"/>
        <w:gridCol w:w="3786"/>
      </w:tblGrid>
      <w:tr w:rsidR="00EE3E1E" w:rsidRPr="008515A5" w:rsidTr="008515A5">
        <w:trPr>
          <w:trHeight w:val="355"/>
          <w:jc w:val="center"/>
        </w:trPr>
        <w:tc>
          <w:tcPr>
            <w:tcW w:w="1242" w:type="dxa"/>
            <w:tcBorders>
              <w:top w:val="single" w:sz="8" w:space="0" w:color="000000"/>
              <w:left w:val="single" w:sz="8" w:space="0" w:color="000000"/>
              <w:bottom w:val="single" w:sz="5" w:space="0" w:color="000000"/>
              <w:right w:val="single" w:sz="5" w:space="0" w:color="000000"/>
            </w:tcBorders>
            <w:shd w:val="clear" w:color="auto" w:fill="E1E1E1"/>
            <w:vAlign w:val="center"/>
          </w:tcPr>
          <w:p w:rsidR="003C2C9F" w:rsidRPr="008515A5" w:rsidRDefault="003C2C9F" w:rsidP="008515A5">
            <w:pPr>
              <w:pStyle w:val="Default"/>
              <w:spacing w:line="360" w:lineRule="auto"/>
              <w:jc w:val="both"/>
              <w:rPr>
                <w:rFonts w:ascii="楷体" w:eastAsia="楷体" w:hAnsi="楷体" w:cs="黑体e眠副浡渀."/>
                <w:color w:val="221E1F"/>
              </w:rPr>
            </w:pPr>
            <w:r w:rsidRPr="008515A5">
              <w:rPr>
                <w:rFonts w:ascii="SimHei" w:eastAsia="黑体" w:hAnsi="SimHei" w:cs="Verdana" w:hint="eastAsia"/>
                <w:color w:val="221E1F"/>
              </w:rPr>
              <w:t>考核方向</w:t>
            </w:r>
          </w:p>
        </w:tc>
        <w:tc>
          <w:tcPr>
            <w:tcW w:w="1134" w:type="dxa"/>
            <w:tcBorders>
              <w:top w:val="single" w:sz="8" w:space="0" w:color="000000"/>
              <w:left w:val="single" w:sz="5" w:space="0" w:color="000000"/>
              <w:bottom w:val="single" w:sz="5" w:space="0" w:color="000000"/>
              <w:right w:val="single" w:sz="5" w:space="0" w:color="000000"/>
            </w:tcBorders>
            <w:shd w:val="clear" w:color="auto" w:fill="E1E1E1"/>
            <w:vAlign w:val="center"/>
          </w:tcPr>
          <w:p w:rsidR="003C2C9F" w:rsidRPr="008515A5" w:rsidRDefault="003C2C9F" w:rsidP="008515A5">
            <w:pPr>
              <w:pStyle w:val="Default"/>
              <w:spacing w:line="360" w:lineRule="auto"/>
              <w:ind w:firstLineChars="100" w:firstLine="240"/>
              <w:jc w:val="both"/>
              <w:rPr>
                <w:rFonts w:ascii="楷体" w:eastAsia="楷体" w:hAnsi="楷体" w:cs="黑体e眠副浡渀."/>
                <w:color w:val="221E1F"/>
              </w:rPr>
            </w:pPr>
            <w:r w:rsidRPr="008515A5">
              <w:rPr>
                <w:rFonts w:ascii="SimHei" w:eastAsia="黑体" w:hAnsi="SimHei" w:cs="Verdana" w:hint="eastAsia"/>
                <w:color w:val="221E1F"/>
              </w:rPr>
              <w:t>权重</w:t>
            </w:r>
          </w:p>
        </w:tc>
        <w:tc>
          <w:tcPr>
            <w:tcW w:w="1843" w:type="dxa"/>
            <w:gridSpan w:val="2"/>
            <w:tcBorders>
              <w:top w:val="single" w:sz="8" w:space="0" w:color="000000"/>
              <w:left w:val="single" w:sz="5" w:space="0" w:color="000000"/>
              <w:bottom w:val="single" w:sz="5" w:space="0" w:color="000000"/>
              <w:right w:val="single" w:sz="5" w:space="0" w:color="000000"/>
            </w:tcBorders>
            <w:shd w:val="clear" w:color="auto" w:fill="E1E1E1"/>
            <w:vAlign w:val="center"/>
          </w:tcPr>
          <w:p w:rsidR="003C2C9F" w:rsidRPr="008515A5" w:rsidRDefault="003C2C9F" w:rsidP="008515A5">
            <w:pPr>
              <w:pStyle w:val="Default"/>
              <w:spacing w:line="360" w:lineRule="auto"/>
              <w:ind w:firstLineChars="200" w:firstLine="480"/>
              <w:jc w:val="both"/>
              <w:rPr>
                <w:rFonts w:ascii="楷体" w:eastAsia="楷体" w:hAnsi="楷体" w:cs="黑体e眠副浡渀."/>
                <w:color w:val="221E1F"/>
              </w:rPr>
            </w:pPr>
            <w:r w:rsidRPr="008515A5">
              <w:rPr>
                <w:rFonts w:ascii="SimHei" w:eastAsia="黑体" w:hAnsi="SimHei" w:cs="Verdana" w:hint="eastAsia"/>
                <w:color w:val="221E1F"/>
              </w:rPr>
              <w:t>指标</w:t>
            </w:r>
          </w:p>
        </w:tc>
        <w:tc>
          <w:tcPr>
            <w:tcW w:w="3786" w:type="dxa"/>
            <w:tcBorders>
              <w:top w:val="single" w:sz="8" w:space="0" w:color="000000"/>
              <w:left w:val="single" w:sz="5" w:space="0" w:color="000000"/>
              <w:bottom w:val="single" w:sz="5" w:space="0" w:color="000000"/>
              <w:right w:val="single" w:sz="8" w:space="0" w:color="000000"/>
            </w:tcBorders>
            <w:shd w:val="clear" w:color="auto" w:fill="E1E1E1"/>
            <w:vAlign w:val="center"/>
          </w:tcPr>
          <w:p w:rsidR="003C2C9F" w:rsidRPr="008515A5" w:rsidRDefault="003C2C9F" w:rsidP="008515A5">
            <w:pPr>
              <w:pStyle w:val="Default"/>
              <w:spacing w:line="360" w:lineRule="auto"/>
              <w:ind w:firstLineChars="500" w:firstLine="1200"/>
              <w:jc w:val="both"/>
              <w:rPr>
                <w:rFonts w:ascii="楷体" w:eastAsia="楷体" w:hAnsi="楷体" w:cs="黑体e眠副浡渀."/>
                <w:color w:val="221E1F"/>
              </w:rPr>
            </w:pPr>
            <w:r w:rsidRPr="008515A5">
              <w:rPr>
                <w:rFonts w:ascii="SimHei" w:eastAsia="黑体" w:hAnsi="SimHei" w:cs="Verdana" w:hint="eastAsia"/>
                <w:color w:val="221E1F"/>
              </w:rPr>
              <w:t>指标描述</w:t>
            </w:r>
          </w:p>
        </w:tc>
      </w:tr>
      <w:tr w:rsidR="00EE3E1E" w:rsidRPr="008515A5" w:rsidTr="008515A5">
        <w:trPr>
          <w:trHeight w:val="338"/>
          <w:jc w:val="center"/>
        </w:trPr>
        <w:tc>
          <w:tcPr>
            <w:tcW w:w="1242" w:type="dxa"/>
            <w:tcBorders>
              <w:top w:val="single" w:sz="5" w:space="0" w:color="000000"/>
              <w:left w:val="single" w:sz="8" w:space="0" w:color="000000"/>
              <w:right w:val="single" w:sz="5" w:space="0" w:color="000000"/>
            </w:tcBorders>
          </w:tcPr>
          <w:p w:rsidR="003C2C9F" w:rsidRPr="008515A5" w:rsidRDefault="003C2C9F" w:rsidP="008515A5">
            <w:pPr>
              <w:pStyle w:val="Default"/>
              <w:spacing w:line="360" w:lineRule="auto"/>
              <w:jc w:val="both"/>
              <w:rPr>
                <w:rFonts w:ascii="楷体" w:eastAsia="楷体" w:hAnsi="楷体" w:cs="Times New Roman"/>
                <w:color w:val="auto"/>
              </w:rPr>
            </w:pPr>
          </w:p>
        </w:tc>
        <w:tc>
          <w:tcPr>
            <w:tcW w:w="1134"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221E1F"/>
              </w:rPr>
            </w:pPr>
            <w:r w:rsidRPr="008515A5">
              <w:rPr>
                <w:rFonts w:ascii="SimHei" w:eastAsia="黑体" w:hAnsi="SimHei" w:cs="Verdana"/>
                <w:color w:val="221E1F"/>
              </w:rPr>
              <w:t xml:space="preserve">15% </w:t>
            </w:r>
          </w:p>
        </w:tc>
        <w:tc>
          <w:tcPr>
            <w:tcW w:w="946"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净资产回报率</w:t>
            </w:r>
          </w:p>
        </w:tc>
        <w:tc>
          <w:tcPr>
            <w:tcW w:w="4683" w:type="dxa"/>
            <w:gridSpan w:val="2"/>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衡量净资产的盈利能力</w:t>
            </w:r>
          </w:p>
        </w:tc>
      </w:tr>
      <w:tr w:rsidR="00EE3E1E" w:rsidRPr="008515A5" w:rsidTr="008515A5">
        <w:trPr>
          <w:trHeight w:val="340"/>
          <w:jc w:val="center"/>
        </w:trPr>
        <w:tc>
          <w:tcPr>
            <w:tcW w:w="1242" w:type="dxa"/>
            <w:tcBorders>
              <w:left w:val="single" w:sz="8" w:space="0" w:color="000000"/>
              <w:right w:val="single" w:sz="5" w:space="0" w:color="000000"/>
            </w:tcBorders>
          </w:tcPr>
          <w:p w:rsidR="003C2C9F" w:rsidRPr="008515A5" w:rsidRDefault="003C2C9F" w:rsidP="008515A5">
            <w:pPr>
              <w:pStyle w:val="Default"/>
              <w:spacing w:line="360" w:lineRule="auto"/>
              <w:jc w:val="both"/>
              <w:rPr>
                <w:rFonts w:ascii="楷体" w:eastAsia="楷体" w:hAnsi="楷体" w:cs="Times New Roman"/>
                <w:color w:val="auto"/>
              </w:rPr>
            </w:pPr>
          </w:p>
        </w:tc>
        <w:tc>
          <w:tcPr>
            <w:tcW w:w="1134"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221E1F"/>
              </w:rPr>
            </w:pPr>
            <w:r w:rsidRPr="008515A5">
              <w:rPr>
                <w:rFonts w:ascii="SimHei" w:eastAsia="黑体" w:hAnsi="SimHei" w:cs="Verdana"/>
                <w:color w:val="221E1F"/>
              </w:rPr>
              <w:t xml:space="preserve">10% </w:t>
            </w:r>
          </w:p>
        </w:tc>
        <w:tc>
          <w:tcPr>
            <w:tcW w:w="946"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税后净利润率</w:t>
            </w:r>
          </w:p>
        </w:tc>
        <w:tc>
          <w:tcPr>
            <w:tcW w:w="4683" w:type="dxa"/>
            <w:gridSpan w:val="2"/>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衡量公司的盈利能力</w:t>
            </w:r>
          </w:p>
        </w:tc>
      </w:tr>
      <w:tr w:rsidR="00EE3E1E" w:rsidRPr="008515A5" w:rsidTr="008515A5">
        <w:trPr>
          <w:trHeight w:val="340"/>
          <w:jc w:val="center"/>
        </w:trPr>
        <w:tc>
          <w:tcPr>
            <w:tcW w:w="1242" w:type="dxa"/>
            <w:tcBorders>
              <w:left w:val="single" w:sz="8" w:space="0" w:color="000000"/>
              <w:right w:val="single" w:sz="5" w:space="0" w:color="000000"/>
            </w:tcBorders>
          </w:tcPr>
          <w:p w:rsidR="003C2C9F" w:rsidRPr="008515A5" w:rsidRDefault="003C2C9F" w:rsidP="008515A5">
            <w:pPr>
              <w:pStyle w:val="Default"/>
              <w:spacing w:line="360" w:lineRule="auto"/>
              <w:jc w:val="both"/>
              <w:rPr>
                <w:rFonts w:ascii="楷体" w:eastAsia="楷体" w:hAnsi="楷体" w:cs="Times New Roman"/>
                <w:color w:val="auto"/>
              </w:rPr>
            </w:pPr>
          </w:p>
        </w:tc>
        <w:tc>
          <w:tcPr>
            <w:tcW w:w="1134"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221E1F"/>
              </w:rPr>
            </w:pPr>
            <w:r w:rsidRPr="008515A5">
              <w:rPr>
                <w:rFonts w:ascii="SimHei" w:eastAsia="黑体" w:hAnsi="SimHei" w:cs="Verdana"/>
                <w:color w:val="221E1F"/>
              </w:rPr>
              <w:t xml:space="preserve">15% </w:t>
            </w:r>
          </w:p>
        </w:tc>
        <w:tc>
          <w:tcPr>
            <w:tcW w:w="946"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销售收入</w:t>
            </w:r>
          </w:p>
        </w:tc>
        <w:tc>
          <w:tcPr>
            <w:tcW w:w="4683" w:type="dxa"/>
            <w:gridSpan w:val="2"/>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衡量公司的销售收入</w:t>
            </w:r>
          </w:p>
        </w:tc>
      </w:tr>
      <w:tr w:rsidR="00EE3E1E" w:rsidRPr="008515A5" w:rsidTr="008515A5">
        <w:trPr>
          <w:trHeight w:val="565"/>
          <w:jc w:val="center"/>
        </w:trPr>
        <w:tc>
          <w:tcPr>
            <w:tcW w:w="1242" w:type="dxa"/>
            <w:tcBorders>
              <w:left w:val="single" w:sz="8" w:space="0" w:color="000000"/>
              <w:right w:val="single" w:sz="5" w:space="0" w:color="000000"/>
            </w:tcBorders>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财务</w:t>
            </w:r>
          </w:p>
        </w:tc>
        <w:tc>
          <w:tcPr>
            <w:tcW w:w="1134"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221E1F"/>
              </w:rPr>
            </w:pPr>
            <w:r w:rsidRPr="008515A5">
              <w:rPr>
                <w:rFonts w:ascii="SimHei" w:eastAsia="黑体" w:hAnsi="SimHei" w:cs="Verdana"/>
                <w:color w:val="221E1F"/>
              </w:rPr>
              <w:t xml:space="preserve">10% </w:t>
            </w:r>
          </w:p>
        </w:tc>
        <w:tc>
          <w:tcPr>
            <w:tcW w:w="946"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221E1F"/>
              </w:rPr>
            </w:pPr>
            <w:r w:rsidRPr="008515A5">
              <w:rPr>
                <w:rFonts w:ascii="SimHei" w:eastAsia="黑体" w:hAnsi="SimHei" w:cs="Verdana" w:hint="eastAsia"/>
                <w:color w:val="221E1F"/>
              </w:rPr>
              <w:t>股价</w:t>
            </w:r>
            <w:r w:rsidRPr="008515A5">
              <w:rPr>
                <w:rFonts w:ascii="SimHei" w:eastAsia="黑体" w:hAnsi="SimHei" w:cs="Verdana"/>
                <w:color w:val="221E1F"/>
              </w:rPr>
              <w:t>(</w:t>
            </w:r>
            <w:r w:rsidRPr="008515A5">
              <w:rPr>
                <w:rFonts w:ascii="SimHei" w:eastAsia="黑体" w:hAnsi="SimHei" w:cs="Verdana" w:hint="eastAsia"/>
                <w:color w:val="221E1F"/>
              </w:rPr>
              <w:t>上市公司</w:t>
            </w:r>
            <w:r w:rsidRPr="008515A5">
              <w:rPr>
                <w:rFonts w:ascii="SimHei" w:eastAsia="黑体" w:hAnsi="SimHei" w:cs="Verdana"/>
                <w:color w:val="221E1F"/>
              </w:rPr>
              <w:t xml:space="preserve">) </w:t>
            </w:r>
          </w:p>
        </w:tc>
        <w:tc>
          <w:tcPr>
            <w:tcW w:w="4683" w:type="dxa"/>
            <w:gridSpan w:val="2"/>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是否通过合理的经营结果及长远策略使股价持续增长，为股东带来回报</w:t>
            </w:r>
          </w:p>
        </w:tc>
      </w:tr>
      <w:tr w:rsidR="00EE3E1E" w:rsidRPr="008515A5" w:rsidTr="008515A5">
        <w:trPr>
          <w:trHeight w:val="338"/>
          <w:jc w:val="center"/>
        </w:trPr>
        <w:tc>
          <w:tcPr>
            <w:tcW w:w="1242" w:type="dxa"/>
            <w:tcBorders>
              <w:left w:val="single" w:sz="8" w:space="0" w:color="000000"/>
              <w:right w:val="single" w:sz="5" w:space="0" w:color="000000"/>
            </w:tcBorders>
          </w:tcPr>
          <w:p w:rsidR="003C2C9F" w:rsidRPr="008515A5" w:rsidRDefault="003C2C9F" w:rsidP="008515A5">
            <w:pPr>
              <w:pStyle w:val="Default"/>
              <w:spacing w:line="360" w:lineRule="auto"/>
              <w:jc w:val="both"/>
              <w:rPr>
                <w:rFonts w:ascii="楷体" w:eastAsia="楷体" w:hAnsi="楷体" w:cs="Times New Roman"/>
                <w:color w:val="auto"/>
              </w:rPr>
            </w:pPr>
          </w:p>
        </w:tc>
        <w:tc>
          <w:tcPr>
            <w:tcW w:w="1134"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221E1F"/>
              </w:rPr>
            </w:pPr>
            <w:r w:rsidRPr="008515A5">
              <w:rPr>
                <w:rFonts w:ascii="SimHei" w:eastAsia="黑体" w:hAnsi="SimHei" w:cs="Verdana"/>
                <w:color w:val="221E1F"/>
              </w:rPr>
              <w:t xml:space="preserve">5% </w:t>
            </w:r>
          </w:p>
        </w:tc>
        <w:tc>
          <w:tcPr>
            <w:tcW w:w="946"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总资产周转率</w:t>
            </w:r>
          </w:p>
        </w:tc>
        <w:tc>
          <w:tcPr>
            <w:tcW w:w="4683" w:type="dxa"/>
            <w:gridSpan w:val="2"/>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提高资产的利用效率</w:t>
            </w:r>
          </w:p>
        </w:tc>
      </w:tr>
      <w:tr w:rsidR="00EE3E1E" w:rsidRPr="008515A5" w:rsidTr="008515A5">
        <w:trPr>
          <w:trHeight w:val="340"/>
          <w:jc w:val="center"/>
        </w:trPr>
        <w:tc>
          <w:tcPr>
            <w:tcW w:w="1242" w:type="dxa"/>
            <w:tcBorders>
              <w:left w:val="single" w:sz="8" w:space="0" w:color="000000"/>
              <w:bottom w:val="single" w:sz="5" w:space="0" w:color="000000"/>
              <w:right w:val="single" w:sz="5" w:space="0" w:color="000000"/>
            </w:tcBorders>
          </w:tcPr>
          <w:p w:rsidR="003C2C9F" w:rsidRPr="008515A5" w:rsidRDefault="003C2C9F" w:rsidP="008515A5">
            <w:pPr>
              <w:pStyle w:val="Default"/>
              <w:spacing w:line="360" w:lineRule="auto"/>
              <w:jc w:val="both"/>
              <w:rPr>
                <w:rFonts w:ascii="楷体" w:eastAsia="楷体" w:hAnsi="楷体" w:cs="Times New Roman"/>
                <w:color w:val="auto"/>
              </w:rPr>
            </w:pPr>
          </w:p>
        </w:tc>
        <w:tc>
          <w:tcPr>
            <w:tcW w:w="1134"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221E1F"/>
              </w:rPr>
            </w:pPr>
            <w:r w:rsidRPr="008515A5">
              <w:rPr>
                <w:rFonts w:ascii="SimHei" w:eastAsia="黑体" w:hAnsi="SimHei" w:cs="Verdana"/>
                <w:color w:val="221E1F"/>
              </w:rPr>
              <w:t xml:space="preserve">5% </w:t>
            </w:r>
          </w:p>
        </w:tc>
        <w:tc>
          <w:tcPr>
            <w:tcW w:w="946"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成本费用利润率</w:t>
            </w:r>
          </w:p>
        </w:tc>
        <w:tc>
          <w:tcPr>
            <w:tcW w:w="4683" w:type="dxa"/>
            <w:gridSpan w:val="2"/>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提高当期经营投入的盈利能力</w:t>
            </w:r>
          </w:p>
        </w:tc>
      </w:tr>
      <w:tr w:rsidR="00EE3E1E" w:rsidRPr="008515A5" w:rsidTr="008515A5">
        <w:trPr>
          <w:trHeight w:val="340"/>
          <w:jc w:val="center"/>
        </w:trPr>
        <w:tc>
          <w:tcPr>
            <w:tcW w:w="1242" w:type="dxa"/>
            <w:tcBorders>
              <w:top w:val="single" w:sz="5" w:space="0" w:color="000000"/>
              <w:left w:val="single" w:sz="8"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内部运营</w:t>
            </w:r>
          </w:p>
        </w:tc>
        <w:tc>
          <w:tcPr>
            <w:tcW w:w="1134"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221E1F"/>
              </w:rPr>
            </w:pPr>
            <w:r w:rsidRPr="008515A5">
              <w:rPr>
                <w:rFonts w:ascii="SimHei" w:eastAsia="黑体" w:hAnsi="SimHei" w:cs="Verdana"/>
                <w:color w:val="221E1F"/>
              </w:rPr>
              <w:t xml:space="preserve">20% </w:t>
            </w:r>
          </w:p>
        </w:tc>
        <w:tc>
          <w:tcPr>
            <w:tcW w:w="946"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公司战略目标完成率</w:t>
            </w:r>
          </w:p>
        </w:tc>
        <w:tc>
          <w:tcPr>
            <w:tcW w:w="4683" w:type="dxa"/>
            <w:gridSpan w:val="2"/>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公司战略发展计划的完成情况，确保战略执行能力和一致性</w:t>
            </w:r>
          </w:p>
        </w:tc>
      </w:tr>
      <w:tr w:rsidR="00EE3E1E" w:rsidRPr="008515A5" w:rsidTr="008515A5">
        <w:trPr>
          <w:trHeight w:val="340"/>
          <w:jc w:val="center"/>
        </w:trPr>
        <w:tc>
          <w:tcPr>
            <w:tcW w:w="1242" w:type="dxa"/>
            <w:vMerge w:val="restart"/>
            <w:tcBorders>
              <w:top w:val="single" w:sz="5" w:space="0" w:color="000000"/>
              <w:left w:val="single" w:sz="8"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客户</w:t>
            </w:r>
          </w:p>
        </w:tc>
        <w:tc>
          <w:tcPr>
            <w:tcW w:w="1134"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221E1F"/>
              </w:rPr>
            </w:pPr>
            <w:r w:rsidRPr="008515A5">
              <w:rPr>
                <w:rFonts w:ascii="SimHei" w:eastAsia="黑体" w:hAnsi="SimHei" w:cs="Verdana"/>
                <w:color w:val="221E1F"/>
              </w:rPr>
              <w:t xml:space="preserve">5% </w:t>
            </w:r>
          </w:p>
        </w:tc>
        <w:tc>
          <w:tcPr>
            <w:tcW w:w="946"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市场占有率</w:t>
            </w:r>
          </w:p>
        </w:tc>
        <w:tc>
          <w:tcPr>
            <w:tcW w:w="4683" w:type="dxa"/>
            <w:gridSpan w:val="2"/>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确保公司在行业内的市场领导地位</w:t>
            </w:r>
          </w:p>
        </w:tc>
      </w:tr>
      <w:tr w:rsidR="00EE3E1E" w:rsidRPr="008515A5" w:rsidTr="008515A5">
        <w:trPr>
          <w:trHeight w:val="338"/>
          <w:jc w:val="center"/>
        </w:trPr>
        <w:tc>
          <w:tcPr>
            <w:tcW w:w="1242" w:type="dxa"/>
            <w:vMerge/>
            <w:tcBorders>
              <w:top w:val="single" w:sz="5" w:space="0" w:color="000000"/>
              <w:left w:val="single" w:sz="8"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auto"/>
              </w:rPr>
            </w:pPr>
          </w:p>
        </w:tc>
        <w:tc>
          <w:tcPr>
            <w:tcW w:w="1134"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221E1F"/>
              </w:rPr>
            </w:pPr>
            <w:r w:rsidRPr="008515A5">
              <w:rPr>
                <w:rFonts w:ascii="SimHei" w:eastAsia="黑体" w:hAnsi="SimHei" w:cs="Verdana"/>
                <w:color w:val="221E1F"/>
              </w:rPr>
              <w:t xml:space="preserve">5% </w:t>
            </w:r>
          </w:p>
        </w:tc>
        <w:tc>
          <w:tcPr>
            <w:tcW w:w="946"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品牌价值增长率</w:t>
            </w:r>
          </w:p>
        </w:tc>
        <w:tc>
          <w:tcPr>
            <w:tcW w:w="4683" w:type="dxa"/>
            <w:gridSpan w:val="2"/>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建立良好的企业和品牌形象</w:t>
            </w:r>
          </w:p>
        </w:tc>
      </w:tr>
      <w:tr w:rsidR="00EE3E1E" w:rsidRPr="008515A5" w:rsidTr="008515A5">
        <w:trPr>
          <w:trHeight w:val="340"/>
          <w:jc w:val="center"/>
        </w:trPr>
        <w:tc>
          <w:tcPr>
            <w:tcW w:w="1242" w:type="dxa"/>
            <w:vMerge w:val="restart"/>
            <w:tcBorders>
              <w:top w:val="single" w:sz="5" w:space="0" w:color="000000"/>
              <w:left w:val="single" w:sz="8" w:space="0" w:color="000000"/>
              <w:bottom w:val="single" w:sz="8"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学习与发展</w:t>
            </w:r>
          </w:p>
        </w:tc>
        <w:tc>
          <w:tcPr>
            <w:tcW w:w="1134"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221E1F"/>
              </w:rPr>
            </w:pPr>
            <w:r w:rsidRPr="008515A5">
              <w:rPr>
                <w:rFonts w:ascii="SimHei" w:eastAsia="黑体" w:hAnsi="SimHei" w:cs="Verdana"/>
                <w:color w:val="221E1F"/>
              </w:rPr>
              <w:t xml:space="preserve">5% </w:t>
            </w:r>
          </w:p>
        </w:tc>
        <w:tc>
          <w:tcPr>
            <w:tcW w:w="946"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核心员工保留率</w:t>
            </w:r>
          </w:p>
        </w:tc>
        <w:tc>
          <w:tcPr>
            <w:tcW w:w="4683" w:type="dxa"/>
            <w:gridSpan w:val="2"/>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增强企业对于关键人才的吸引和保留能力</w:t>
            </w:r>
          </w:p>
        </w:tc>
      </w:tr>
      <w:tr w:rsidR="00EE3E1E" w:rsidRPr="008515A5" w:rsidTr="008515A5">
        <w:trPr>
          <w:trHeight w:val="345"/>
          <w:jc w:val="center"/>
        </w:trPr>
        <w:tc>
          <w:tcPr>
            <w:tcW w:w="1242" w:type="dxa"/>
            <w:vMerge/>
            <w:tcBorders>
              <w:top w:val="single" w:sz="5" w:space="0" w:color="000000"/>
              <w:left w:val="single" w:sz="8"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auto"/>
              </w:rPr>
            </w:pPr>
          </w:p>
        </w:tc>
        <w:tc>
          <w:tcPr>
            <w:tcW w:w="1134"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221E1F"/>
              </w:rPr>
            </w:pPr>
            <w:r w:rsidRPr="008515A5">
              <w:rPr>
                <w:rFonts w:ascii="SimHei" w:eastAsia="黑体" w:hAnsi="SimHei" w:cs="Verdana"/>
                <w:color w:val="221E1F"/>
              </w:rPr>
              <w:t xml:space="preserve">5% </w:t>
            </w:r>
          </w:p>
        </w:tc>
        <w:tc>
          <w:tcPr>
            <w:tcW w:w="946" w:type="dxa"/>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员工流失率</w:t>
            </w:r>
          </w:p>
        </w:tc>
        <w:tc>
          <w:tcPr>
            <w:tcW w:w="4683" w:type="dxa"/>
            <w:gridSpan w:val="2"/>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确保有序的人员流动，防止员工流动给经营带来风险</w:t>
            </w:r>
          </w:p>
        </w:tc>
      </w:tr>
      <w:tr w:rsidR="00EE3E1E" w:rsidRPr="008515A5" w:rsidTr="008515A5">
        <w:trPr>
          <w:trHeight w:val="345"/>
          <w:jc w:val="center"/>
        </w:trPr>
        <w:tc>
          <w:tcPr>
            <w:tcW w:w="1242" w:type="dxa"/>
            <w:tcBorders>
              <w:top w:val="single" w:sz="5" w:space="0" w:color="000000"/>
              <w:left w:val="single" w:sz="8" w:space="0" w:color="000000"/>
              <w:bottom w:val="single" w:sz="8"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hint="eastAsia"/>
                <w:color w:val="auto"/>
              </w:rPr>
            </w:pPr>
          </w:p>
        </w:tc>
        <w:tc>
          <w:tcPr>
            <w:tcW w:w="1134" w:type="dxa"/>
            <w:tcBorders>
              <w:top w:val="single" w:sz="5" w:space="0" w:color="000000"/>
              <w:left w:val="single" w:sz="5" w:space="0" w:color="000000"/>
              <w:bottom w:val="single" w:sz="8"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221E1F"/>
              </w:rPr>
            </w:pPr>
          </w:p>
        </w:tc>
        <w:tc>
          <w:tcPr>
            <w:tcW w:w="946" w:type="dxa"/>
            <w:tcBorders>
              <w:top w:val="single" w:sz="5" w:space="0" w:color="000000"/>
              <w:left w:val="single" w:sz="5" w:space="0" w:color="000000"/>
              <w:bottom w:val="single" w:sz="8"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hint="eastAsia"/>
                <w:color w:val="221E1F"/>
              </w:rPr>
            </w:pPr>
          </w:p>
        </w:tc>
        <w:tc>
          <w:tcPr>
            <w:tcW w:w="4683" w:type="dxa"/>
            <w:gridSpan w:val="2"/>
            <w:tcBorders>
              <w:top w:val="single" w:sz="5" w:space="0" w:color="000000"/>
              <w:left w:val="single" w:sz="5" w:space="0" w:color="000000"/>
              <w:bottom w:val="single" w:sz="8"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hint="eastAsia"/>
                <w:color w:val="221E1F"/>
              </w:rPr>
            </w:pPr>
          </w:p>
        </w:tc>
      </w:tr>
    </w:tbl>
    <w:p w:rsidR="008515A5" w:rsidRDefault="008515A5" w:rsidP="008515A5">
      <w:pPr>
        <w:spacing w:line="360" w:lineRule="auto"/>
        <w:ind w:firstLineChars="1296" w:firstLine="3123"/>
        <w:rPr>
          <w:rFonts w:ascii="楷体" w:eastAsia="楷体" w:hAnsi="楷体" w:cs="Verdana" w:hint="eastAsia"/>
          <w:b/>
          <w:color w:val="221E1F"/>
          <w:sz w:val="24"/>
        </w:rPr>
      </w:pPr>
    </w:p>
    <w:p w:rsidR="003C2C9F" w:rsidRPr="008515A5" w:rsidRDefault="008515A5" w:rsidP="008515A5">
      <w:pPr>
        <w:spacing w:line="360" w:lineRule="auto"/>
        <w:ind w:firstLineChars="1296" w:firstLine="3123"/>
        <w:rPr>
          <w:rFonts w:ascii="楷体" w:eastAsia="楷体" w:hAnsi="楷体" w:hint="eastAsia"/>
          <w:sz w:val="24"/>
        </w:rPr>
      </w:pPr>
      <w:r w:rsidRPr="008515A5">
        <w:rPr>
          <w:rFonts w:ascii="SimHei" w:eastAsia="黑体" w:hAnsi="SimHei" w:cs="Verdana" w:hint="eastAsia"/>
          <w:b/>
          <w:color w:val="221E1F"/>
          <w:sz w:val="24"/>
        </w:rPr>
        <w:t>董事会考核表</w:t>
      </w:r>
    </w:p>
    <w:tbl>
      <w:tblPr>
        <w:tblpPr w:leftFromText="180" w:rightFromText="180" w:horzAnchor="margin" w:tblpXSpec="center" w:tblpY="1536"/>
        <w:tblW w:w="5000" w:type="pct"/>
        <w:tblBorders>
          <w:top w:val="nil"/>
          <w:left w:val="nil"/>
          <w:bottom w:val="nil"/>
          <w:right w:val="nil"/>
        </w:tblBorders>
        <w:tblLook w:val="0000" w:firstRow="0" w:lastRow="0" w:firstColumn="0" w:lastColumn="0" w:noHBand="0" w:noVBand="0"/>
      </w:tblPr>
      <w:tblGrid>
        <w:gridCol w:w="1095"/>
        <w:gridCol w:w="581"/>
        <w:gridCol w:w="1779"/>
        <w:gridCol w:w="5067"/>
      </w:tblGrid>
      <w:tr w:rsidR="00EE3E1E" w:rsidRPr="008515A5" w:rsidTr="008515A5">
        <w:trPr>
          <w:trHeight w:val="310"/>
        </w:trPr>
        <w:tc>
          <w:tcPr>
            <w:tcW w:w="642" w:type="pct"/>
            <w:tcBorders>
              <w:top w:val="single" w:sz="8" w:space="0" w:color="000000"/>
              <w:left w:val="single" w:sz="8" w:space="0" w:color="000000"/>
              <w:bottom w:val="single" w:sz="5" w:space="0" w:color="000000"/>
              <w:right w:val="single" w:sz="5" w:space="0" w:color="000000"/>
            </w:tcBorders>
            <w:shd w:val="clear" w:color="auto" w:fill="E1E1E1"/>
            <w:vAlign w:val="center"/>
          </w:tcPr>
          <w:p w:rsidR="003C2C9F" w:rsidRPr="008515A5" w:rsidRDefault="003C2C9F" w:rsidP="008515A5">
            <w:pPr>
              <w:pStyle w:val="Default"/>
              <w:spacing w:line="360" w:lineRule="auto"/>
              <w:jc w:val="both"/>
              <w:rPr>
                <w:rFonts w:ascii="楷体" w:eastAsia="楷体" w:hAnsi="楷体" w:cs="黑体e眠副浡渀."/>
                <w:color w:val="221E1F"/>
              </w:rPr>
            </w:pPr>
            <w:r w:rsidRPr="008515A5">
              <w:rPr>
                <w:rFonts w:ascii="SimHei" w:eastAsia="黑体" w:hAnsi="SimHei" w:cs="Verdana" w:hint="eastAsia"/>
                <w:color w:val="221E1F"/>
              </w:rPr>
              <w:t>考核项目</w:t>
            </w:r>
          </w:p>
        </w:tc>
        <w:tc>
          <w:tcPr>
            <w:tcW w:w="341" w:type="pct"/>
            <w:tcBorders>
              <w:top w:val="single" w:sz="8" w:space="0" w:color="000000"/>
              <w:left w:val="single" w:sz="5" w:space="0" w:color="000000"/>
              <w:bottom w:val="single" w:sz="5" w:space="0" w:color="000000"/>
              <w:right w:val="single" w:sz="5" w:space="0" w:color="000000"/>
            </w:tcBorders>
            <w:shd w:val="clear" w:color="auto" w:fill="E1E1E1"/>
            <w:vAlign w:val="center"/>
          </w:tcPr>
          <w:p w:rsidR="003C2C9F" w:rsidRPr="008515A5" w:rsidRDefault="003C2C9F" w:rsidP="008515A5">
            <w:pPr>
              <w:pStyle w:val="Default"/>
              <w:spacing w:line="360" w:lineRule="auto"/>
              <w:jc w:val="both"/>
              <w:rPr>
                <w:rFonts w:ascii="楷体" w:eastAsia="楷体" w:hAnsi="楷体" w:cs="黑体e眠副浡渀."/>
                <w:color w:val="221E1F"/>
              </w:rPr>
            </w:pPr>
            <w:r w:rsidRPr="008515A5">
              <w:rPr>
                <w:rFonts w:ascii="SimHei" w:eastAsia="黑体" w:hAnsi="SimHei" w:cs="Verdana" w:hint="eastAsia"/>
                <w:color w:val="221E1F"/>
              </w:rPr>
              <w:t>权重</w:t>
            </w:r>
          </w:p>
        </w:tc>
        <w:tc>
          <w:tcPr>
            <w:tcW w:w="1044" w:type="pct"/>
            <w:tcBorders>
              <w:top w:val="single" w:sz="8" w:space="0" w:color="000000"/>
              <w:left w:val="single" w:sz="5" w:space="0" w:color="000000"/>
              <w:bottom w:val="single" w:sz="5" w:space="0" w:color="000000"/>
              <w:right w:val="single" w:sz="5" w:space="0" w:color="000000"/>
            </w:tcBorders>
            <w:shd w:val="clear" w:color="auto" w:fill="E1E1E1"/>
            <w:vAlign w:val="center"/>
          </w:tcPr>
          <w:p w:rsidR="003C2C9F" w:rsidRPr="008515A5" w:rsidRDefault="003C2C9F" w:rsidP="008515A5">
            <w:pPr>
              <w:pStyle w:val="Default"/>
              <w:spacing w:line="360" w:lineRule="auto"/>
              <w:jc w:val="both"/>
              <w:rPr>
                <w:rFonts w:ascii="楷体" w:eastAsia="楷体" w:hAnsi="楷体" w:cs="黑体e眠副浡渀."/>
                <w:color w:val="221E1F"/>
              </w:rPr>
            </w:pPr>
            <w:r w:rsidRPr="008515A5">
              <w:rPr>
                <w:rFonts w:ascii="SimHei" w:eastAsia="黑体" w:hAnsi="SimHei" w:cs="Verdana" w:hint="eastAsia"/>
                <w:color w:val="221E1F"/>
              </w:rPr>
              <w:t>指标</w:t>
            </w:r>
          </w:p>
        </w:tc>
        <w:tc>
          <w:tcPr>
            <w:tcW w:w="2973" w:type="pct"/>
            <w:tcBorders>
              <w:top w:val="single" w:sz="8" w:space="0" w:color="000000"/>
              <w:left w:val="single" w:sz="5" w:space="0" w:color="000000"/>
              <w:bottom w:val="single" w:sz="5" w:space="0" w:color="000000"/>
              <w:right w:val="single" w:sz="8" w:space="0" w:color="000000"/>
            </w:tcBorders>
            <w:shd w:val="clear" w:color="auto" w:fill="E1E1E1"/>
            <w:vAlign w:val="center"/>
          </w:tcPr>
          <w:p w:rsidR="003C2C9F" w:rsidRPr="008515A5" w:rsidRDefault="003C2C9F" w:rsidP="008515A5">
            <w:pPr>
              <w:pStyle w:val="Default"/>
              <w:spacing w:line="360" w:lineRule="auto"/>
              <w:jc w:val="both"/>
              <w:rPr>
                <w:rFonts w:ascii="楷体" w:eastAsia="楷体" w:hAnsi="楷体" w:cs="黑体e眠副浡渀."/>
                <w:color w:val="221E1F"/>
              </w:rPr>
            </w:pPr>
            <w:r w:rsidRPr="008515A5">
              <w:rPr>
                <w:rFonts w:ascii="SimHei" w:eastAsia="黑体" w:hAnsi="SimHei" w:cs="Verdana" w:hint="eastAsia"/>
                <w:color w:val="221E1F"/>
              </w:rPr>
              <w:t>指标描述</w:t>
            </w:r>
          </w:p>
        </w:tc>
      </w:tr>
      <w:tr w:rsidR="00EE3E1E" w:rsidRPr="008515A5" w:rsidTr="008515A5">
        <w:trPr>
          <w:trHeight w:val="293"/>
        </w:trPr>
        <w:tc>
          <w:tcPr>
            <w:tcW w:w="642" w:type="pct"/>
            <w:tcBorders>
              <w:top w:val="single" w:sz="5" w:space="0" w:color="000000"/>
              <w:left w:val="single" w:sz="8" w:space="0" w:color="000000"/>
              <w:right w:val="single" w:sz="5" w:space="0" w:color="000000"/>
            </w:tcBorders>
          </w:tcPr>
          <w:p w:rsidR="003C2C9F" w:rsidRPr="008515A5" w:rsidRDefault="003C2C9F" w:rsidP="008515A5">
            <w:pPr>
              <w:pStyle w:val="Default"/>
              <w:spacing w:line="360" w:lineRule="auto"/>
              <w:jc w:val="both"/>
              <w:rPr>
                <w:rFonts w:ascii="楷体" w:eastAsia="楷体" w:hAnsi="楷体" w:cs="Times New Roman"/>
                <w:color w:val="auto"/>
              </w:rPr>
            </w:pPr>
          </w:p>
        </w:tc>
        <w:tc>
          <w:tcPr>
            <w:tcW w:w="341" w:type="pct"/>
            <w:tcBorders>
              <w:top w:val="single" w:sz="5" w:space="0" w:color="000000"/>
              <w:left w:val="single" w:sz="5" w:space="0" w:color="000000"/>
              <w:right w:val="single" w:sz="5" w:space="0" w:color="000000"/>
            </w:tcBorders>
          </w:tcPr>
          <w:p w:rsidR="003C2C9F" w:rsidRPr="008515A5" w:rsidRDefault="003C2C9F" w:rsidP="008515A5">
            <w:pPr>
              <w:pStyle w:val="Default"/>
              <w:spacing w:line="360" w:lineRule="auto"/>
              <w:jc w:val="both"/>
              <w:rPr>
                <w:rFonts w:ascii="楷体" w:eastAsia="楷体" w:hAnsi="楷体" w:cs="Times New Roman"/>
                <w:color w:val="auto"/>
              </w:rPr>
            </w:pPr>
          </w:p>
        </w:tc>
        <w:tc>
          <w:tcPr>
            <w:tcW w:w="1044" w:type="pct"/>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年度利润总额</w:t>
            </w:r>
          </w:p>
        </w:tc>
        <w:tc>
          <w:tcPr>
            <w:tcW w:w="2973" w:type="pct"/>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经核定后的企业合并报表利润总额</w:t>
            </w:r>
          </w:p>
        </w:tc>
      </w:tr>
      <w:tr w:rsidR="00EE3E1E" w:rsidRPr="008515A5" w:rsidTr="008515A5">
        <w:trPr>
          <w:trHeight w:val="293"/>
        </w:trPr>
        <w:tc>
          <w:tcPr>
            <w:tcW w:w="642" w:type="pct"/>
            <w:tcBorders>
              <w:left w:val="single" w:sz="8"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经营业绩</w:t>
            </w:r>
          </w:p>
        </w:tc>
        <w:tc>
          <w:tcPr>
            <w:tcW w:w="341" w:type="pct"/>
            <w:tcBorders>
              <w:left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221E1F"/>
              </w:rPr>
            </w:pPr>
            <w:r w:rsidRPr="008515A5">
              <w:rPr>
                <w:rFonts w:ascii="SimHei" w:eastAsia="黑体" w:hAnsi="SimHei" w:cs="Verdana"/>
                <w:color w:val="221E1F"/>
              </w:rPr>
              <w:t xml:space="preserve">30% </w:t>
            </w:r>
          </w:p>
        </w:tc>
        <w:tc>
          <w:tcPr>
            <w:tcW w:w="1044" w:type="pct"/>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主营业务收入</w:t>
            </w:r>
          </w:p>
        </w:tc>
        <w:tc>
          <w:tcPr>
            <w:tcW w:w="2973" w:type="pct"/>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经核定后的企业合并报表主营业务收入</w:t>
            </w:r>
          </w:p>
        </w:tc>
      </w:tr>
      <w:tr w:rsidR="00EE3E1E" w:rsidRPr="008515A5" w:rsidTr="008515A5">
        <w:trPr>
          <w:trHeight w:val="293"/>
        </w:trPr>
        <w:tc>
          <w:tcPr>
            <w:tcW w:w="642" w:type="pct"/>
            <w:tcBorders>
              <w:left w:val="single" w:sz="8" w:space="0" w:color="000000"/>
              <w:bottom w:val="single" w:sz="5" w:space="0" w:color="000000"/>
              <w:right w:val="single" w:sz="5" w:space="0" w:color="000000"/>
            </w:tcBorders>
          </w:tcPr>
          <w:p w:rsidR="003C2C9F" w:rsidRPr="008515A5" w:rsidRDefault="003C2C9F" w:rsidP="008515A5">
            <w:pPr>
              <w:pStyle w:val="Default"/>
              <w:spacing w:line="360" w:lineRule="auto"/>
              <w:jc w:val="both"/>
              <w:rPr>
                <w:rFonts w:ascii="楷体" w:eastAsia="楷体" w:hAnsi="楷体" w:cs="Times New Roman"/>
                <w:color w:val="auto"/>
              </w:rPr>
            </w:pPr>
          </w:p>
        </w:tc>
        <w:tc>
          <w:tcPr>
            <w:tcW w:w="341" w:type="pct"/>
            <w:tcBorders>
              <w:left w:val="single" w:sz="5" w:space="0" w:color="000000"/>
              <w:bottom w:val="single" w:sz="5" w:space="0" w:color="000000"/>
              <w:right w:val="single" w:sz="5" w:space="0" w:color="000000"/>
            </w:tcBorders>
          </w:tcPr>
          <w:p w:rsidR="003C2C9F" w:rsidRPr="008515A5" w:rsidRDefault="003C2C9F" w:rsidP="008515A5">
            <w:pPr>
              <w:pStyle w:val="Default"/>
              <w:spacing w:line="360" w:lineRule="auto"/>
              <w:jc w:val="both"/>
              <w:rPr>
                <w:rFonts w:ascii="楷体" w:eastAsia="楷体" w:hAnsi="楷体" w:cs="Times New Roman"/>
                <w:color w:val="auto"/>
              </w:rPr>
            </w:pPr>
          </w:p>
        </w:tc>
        <w:tc>
          <w:tcPr>
            <w:tcW w:w="1044" w:type="pct"/>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净资产收益率</w:t>
            </w:r>
          </w:p>
        </w:tc>
        <w:tc>
          <w:tcPr>
            <w:tcW w:w="2973" w:type="pct"/>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衡量净资产的盈利能力</w:t>
            </w:r>
          </w:p>
        </w:tc>
      </w:tr>
      <w:tr w:rsidR="00EE3E1E" w:rsidRPr="008515A5" w:rsidTr="008515A5">
        <w:trPr>
          <w:trHeight w:val="295"/>
        </w:trPr>
        <w:tc>
          <w:tcPr>
            <w:tcW w:w="642" w:type="pct"/>
            <w:vMerge w:val="restart"/>
            <w:tcBorders>
              <w:top w:val="single" w:sz="5" w:space="0" w:color="000000"/>
              <w:left w:val="single" w:sz="8"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董事会结构的科学、合理性</w:t>
            </w:r>
          </w:p>
        </w:tc>
        <w:tc>
          <w:tcPr>
            <w:tcW w:w="341" w:type="pct"/>
            <w:vMerge w:val="restart"/>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221E1F"/>
              </w:rPr>
            </w:pPr>
            <w:r w:rsidRPr="008515A5">
              <w:rPr>
                <w:rFonts w:ascii="SimHei" w:eastAsia="黑体" w:hAnsi="SimHei" w:cs="Verdana"/>
                <w:color w:val="221E1F"/>
              </w:rPr>
              <w:t xml:space="preserve">15% </w:t>
            </w:r>
          </w:p>
        </w:tc>
        <w:tc>
          <w:tcPr>
            <w:tcW w:w="1044" w:type="pct"/>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机构合理性</w:t>
            </w:r>
          </w:p>
        </w:tc>
        <w:tc>
          <w:tcPr>
            <w:tcW w:w="2973" w:type="pct"/>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衡量董事会工作机构设置是否符合公司发展需要</w:t>
            </w:r>
          </w:p>
        </w:tc>
      </w:tr>
      <w:tr w:rsidR="00EE3E1E" w:rsidRPr="008515A5" w:rsidTr="008515A5">
        <w:trPr>
          <w:trHeight w:val="293"/>
        </w:trPr>
        <w:tc>
          <w:tcPr>
            <w:tcW w:w="642" w:type="pct"/>
            <w:vMerge/>
            <w:tcBorders>
              <w:top w:val="single" w:sz="5" w:space="0" w:color="000000"/>
              <w:left w:val="single" w:sz="8"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auto"/>
              </w:rPr>
            </w:pPr>
          </w:p>
        </w:tc>
        <w:tc>
          <w:tcPr>
            <w:tcW w:w="341" w:type="pct"/>
            <w:vMerge/>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auto"/>
              </w:rPr>
            </w:pPr>
          </w:p>
        </w:tc>
        <w:tc>
          <w:tcPr>
            <w:tcW w:w="1044" w:type="pct"/>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职责明确性</w:t>
            </w:r>
          </w:p>
        </w:tc>
        <w:tc>
          <w:tcPr>
            <w:tcW w:w="2973" w:type="pct"/>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衡量董事会与经营层职责划分清晰、董事间分工是否清晰</w:t>
            </w:r>
          </w:p>
        </w:tc>
      </w:tr>
      <w:tr w:rsidR="00EE3E1E" w:rsidRPr="008515A5" w:rsidTr="008515A5">
        <w:trPr>
          <w:trHeight w:val="565"/>
        </w:trPr>
        <w:tc>
          <w:tcPr>
            <w:tcW w:w="642" w:type="pct"/>
            <w:vMerge/>
            <w:tcBorders>
              <w:top w:val="single" w:sz="5" w:space="0" w:color="000000"/>
              <w:left w:val="single" w:sz="8"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auto"/>
              </w:rPr>
            </w:pPr>
          </w:p>
        </w:tc>
        <w:tc>
          <w:tcPr>
            <w:tcW w:w="341" w:type="pct"/>
            <w:vMerge/>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auto"/>
              </w:rPr>
            </w:pPr>
          </w:p>
        </w:tc>
        <w:tc>
          <w:tcPr>
            <w:tcW w:w="1044" w:type="pct"/>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制度健全性</w:t>
            </w:r>
          </w:p>
        </w:tc>
        <w:tc>
          <w:tcPr>
            <w:tcW w:w="2973" w:type="pct"/>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衡量董事会及专门委员会工作制度、议事规则、公司各项基本管理制度是否健全</w:t>
            </w:r>
          </w:p>
        </w:tc>
      </w:tr>
      <w:tr w:rsidR="00EE3E1E" w:rsidRPr="008515A5" w:rsidTr="008515A5">
        <w:trPr>
          <w:trHeight w:val="293"/>
        </w:trPr>
        <w:tc>
          <w:tcPr>
            <w:tcW w:w="642" w:type="pct"/>
            <w:vMerge w:val="restart"/>
            <w:tcBorders>
              <w:top w:val="single" w:sz="5" w:space="0" w:color="000000"/>
              <w:left w:val="single" w:sz="8"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董事任职能力</w:t>
            </w:r>
          </w:p>
        </w:tc>
        <w:tc>
          <w:tcPr>
            <w:tcW w:w="341" w:type="pct"/>
            <w:vMerge w:val="restart"/>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221E1F"/>
              </w:rPr>
            </w:pPr>
            <w:r w:rsidRPr="008515A5">
              <w:rPr>
                <w:rFonts w:ascii="SimHei" w:eastAsia="黑体" w:hAnsi="SimHei" w:cs="Verdana"/>
                <w:color w:val="221E1F"/>
              </w:rPr>
              <w:t xml:space="preserve">10% </w:t>
            </w:r>
          </w:p>
        </w:tc>
        <w:tc>
          <w:tcPr>
            <w:tcW w:w="1044" w:type="pct"/>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董事会结构合理性</w:t>
            </w:r>
          </w:p>
        </w:tc>
        <w:tc>
          <w:tcPr>
            <w:tcW w:w="2973" w:type="pct"/>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独立董事比例的合理性及董事会规模的合理性</w:t>
            </w:r>
          </w:p>
        </w:tc>
      </w:tr>
      <w:tr w:rsidR="00EE3E1E" w:rsidRPr="008515A5" w:rsidTr="008515A5">
        <w:trPr>
          <w:trHeight w:val="293"/>
        </w:trPr>
        <w:tc>
          <w:tcPr>
            <w:tcW w:w="642" w:type="pct"/>
            <w:vMerge/>
            <w:tcBorders>
              <w:top w:val="single" w:sz="5" w:space="0" w:color="000000"/>
              <w:left w:val="single" w:sz="8"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auto"/>
              </w:rPr>
            </w:pPr>
          </w:p>
        </w:tc>
        <w:tc>
          <w:tcPr>
            <w:tcW w:w="341" w:type="pct"/>
            <w:vMerge/>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auto"/>
              </w:rPr>
            </w:pPr>
          </w:p>
        </w:tc>
        <w:tc>
          <w:tcPr>
            <w:tcW w:w="1044" w:type="pct"/>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董事资格符合度</w:t>
            </w:r>
          </w:p>
        </w:tc>
        <w:tc>
          <w:tcPr>
            <w:tcW w:w="2973" w:type="pct"/>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董事是否具有行业背景资格，是否具有高管工作经验</w:t>
            </w:r>
          </w:p>
        </w:tc>
      </w:tr>
      <w:tr w:rsidR="00EE3E1E" w:rsidRPr="008515A5" w:rsidTr="008515A5">
        <w:trPr>
          <w:trHeight w:val="293"/>
        </w:trPr>
        <w:tc>
          <w:tcPr>
            <w:tcW w:w="642" w:type="pct"/>
            <w:vMerge/>
            <w:tcBorders>
              <w:top w:val="single" w:sz="5" w:space="0" w:color="000000"/>
              <w:left w:val="single" w:sz="8"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auto"/>
              </w:rPr>
            </w:pPr>
          </w:p>
        </w:tc>
        <w:tc>
          <w:tcPr>
            <w:tcW w:w="341" w:type="pct"/>
            <w:vMerge/>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auto"/>
              </w:rPr>
            </w:pPr>
          </w:p>
        </w:tc>
        <w:tc>
          <w:tcPr>
            <w:tcW w:w="1044" w:type="pct"/>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独立董事资格符合度</w:t>
            </w:r>
          </w:p>
        </w:tc>
        <w:tc>
          <w:tcPr>
            <w:tcW w:w="2973" w:type="pct"/>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独立董事是否具有独立董事资格</w:t>
            </w:r>
          </w:p>
        </w:tc>
      </w:tr>
      <w:tr w:rsidR="00EE3E1E" w:rsidRPr="008515A5" w:rsidTr="008515A5">
        <w:trPr>
          <w:trHeight w:val="565"/>
        </w:trPr>
        <w:tc>
          <w:tcPr>
            <w:tcW w:w="642" w:type="pct"/>
            <w:vMerge w:val="restart"/>
            <w:tcBorders>
              <w:top w:val="single" w:sz="5" w:space="0" w:color="000000"/>
              <w:left w:val="single" w:sz="8"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董事会运作的科学、合理性</w:t>
            </w:r>
          </w:p>
        </w:tc>
        <w:tc>
          <w:tcPr>
            <w:tcW w:w="341" w:type="pct"/>
            <w:vMerge w:val="restart"/>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221E1F"/>
              </w:rPr>
            </w:pPr>
            <w:r w:rsidRPr="008515A5">
              <w:rPr>
                <w:rFonts w:ascii="SimHei" w:eastAsia="黑体" w:hAnsi="SimHei" w:cs="Verdana"/>
                <w:color w:val="221E1F"/>
              </w:rPr>
              <w:t xml:space="preserve">10% </w:t>
            </w:r>
          </w:p>
        </w:tc>
        <w:tc>
          <w:tcPr>
            <w:tcW w:w="1044" w:type="pct"/>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依法依章履责</w:t>
            </w:r>
          </w:p>
        </w:tc>
        <w:tc>
          <w:tcPr>
            <w:tcW w:w="2973" w:type="pct"/>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董事会按照规定程序决策；董事会与经营层各司其职，各负其责，协调运转</w:t>
            </w:r>
          </w:p>
        </w:tc>
      </w:tr>
      <w:tr w:rsidR="00EE3E1E" w:rsidRPr="008515A5" w:rsidTr="008515A5">
        <w:trPr>
          <w:trHeight w:val="565"/>
        </w:trPr>
        <w:tc>
          <w:tcPr>
            <w:tcW w:w="642" w:type="pct"/>
            <w:vMerge/>
            <w:tcBorders>
              <w:top w:val="single" w:sz="5" w:space="0" w:color="000000"/>
              <w:left w:val="single" w:sz="8"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auto"/>
              </w:rPr>
            </w:pPr>
          </w:p>
        </w:tc>
        <w:tc>
          <w:tcPr>
            <w:tcW w:w="341" w:type="pct"/>
            <w:vMerge/>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auto"/>
              </w:rPr>
            </w:pPr>
          </w:p>
        </w:tc>
        <w:tc>
          <w:tcPr>
            <w:tcW w:w="1044" w:type="pct"/>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信息沟通有效性</w:t>
            </w:r>
          </w:p>
        </w:tc>
        <w:tc>
          <w:tcPr>
            <w:tcW w:w="2973" w:type="pct"/>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董事会同股东代表、监事会、经营层等利益相关方进行及时、有效沟通，为独立董事提供充分有效的决策所需信息</w:t>
            </w:r>
          </w:p>
        </w:tc>
      </w:tr>
      <w:tr w:rsidR="00EE3E1E" w:rsidRPr="008515A5" w:rsidTr="008515A5">
        <w:trPr>
          <w:trHeight w:val="293"/>
        </w:trPr>
        <w:tc>
          <w:tcPr>
            <w:tcW w:w="642" w:type="pct"/>
            <w:tcBorders>
              <w:top w:val="single" w:sz="5" w:space="0" w:color="000000"/>
              <w:left w:val="single" w:sz="8"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审计报告</w:t>
            </w:r>
          </w:p>
        </w:tc>
        <w:tc>
          <w:tcPr>
            <w:tcW w:w="341" w:type="pct"/>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221E1F"/>
              </w:rPr>
            </w:pPr>
            <w:r w:rsidRPr="008515A5">
              <w:rPr>
                <w:rFonts w:ascii="SimHei" w:eastAsia="黑体" w:hAnsi="SimHei" w:cs="Verdana"/>
                <w:color w:val="221E1F"/>
              </w:rPr>
              <w:t xml:space="preserve">15% </w:t>
            </w:r>
          </w:p>
        </w:tc>
        <w:tc>
          <w:tcPr>
            <w:tcW w:w="1044" w:type="pct"/>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审计报告意见</w:t>
            </w:r>
          </w:p>
        </w:tc>
        <w:tc>
          <w:tcPr>
            <w:tcW w:w="2973" w:type="pct"/>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根据外部审计机构的独立审计意见进行衡量</w:t>
            </w:r>
          </w:p>
        </w:tc>
      </w:tr>
      <w:tr w:rsidR="00EE3E1E" w:rsidRPr="008515A5" w:rsidTr="008515A5">
        <w:trPr>
          <w:trHeight w:val="293"/>
        </w:trPr>
        <w:tc>
          <w:tcPr>
            <w:tcW w:w="642" w:type="pct"/>
            <w:tcBorders>
              <w:top w:val="single" w:sz="5" w:space="0" w:color="000000"/>
              <w:left w:val="single" w:sz="8" w:space="0" w:color="000000"/>
              <w:right w:val="single" w:sz="5" w:space="0" w:color="000000"/>
            </w:tcBorders>
          </w:tcPr>
          <w:p w:rsidR="003C2C9F" w:rsidRPr="008515A5" w:rsidRDefault="003C2C9F" w:rsidP="008515A5">
            <w:pPr>
              <w:pStyle w:val="Default"/>
              <w:spacing w:line="360" w:lineRule="auto"/>
              <w:jc w:val="both"/>
              <w:rPr>
                <w:rFonts w:ascii="楷体" w:eastAsia="楷体" w:hAnsi="楷体" w:cs="Times New Roman"/>
                <w:color w:val="auto"/>
              </w:rPr>
            </w:pPr>
          </w:p>
        </w:tc>
        <w:tc>
          <w:tcPr>
            <w:tcW w:w="341" w:type="pct"/>
            <w:tcBorders>
              <w:top w:val="single" w:sz="5" w:space="0" w:color="000000"/>
              <w:left w:val="single" w:sz="5" w:space="0" w:color="000000"/>
              <w:right w:val="single" w:sz="5" w:space="0" w:color="000000"/>
            </w:tcBorders>
          </w:tcPr>
          <w:p w:rsidR="003C2C9F" w:rsidRPr="008515A5" w:rsidRDefault="003C2C9F" w:rsidP="008515A5">
            <w:pPr>
              <w:pStyle w:val="Default"/>
              <w:spacing w:line="360" w:lineRule="auto"/>
              <w:jc w:val="both"/>
              <w:rPr>
                <w:rFonts w:ascii="楷体" w:eastAsia="楷体" w:hAnsi="楷体" w:cs="Times New Roman"/>
                <w:color w:val="auto"/>
              </w:rPr>
            </w:pPr>
          </w:p>
        </w:tc>
        <w:tc>
          <w:tcPr>
            <w:tcW w:w="1044" w:type="pct"/>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董事会报告通过率</w:t>
            </w:r>
          </w:p>
        </w:tc>
        <w:tc>
          <w:tcPr>
            <w:tcW w:w="2973" w:type="pct"/>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股东大会审议通过的董事会报告率</w:t>
            </w:r>
          </w:p>
        </w:tc>
      </w:tr>
      <w:tr w:rsidR="00EE3E1E" w:rsidRPr="008515A5" w:rsidTr="008515A5">
        <w:trPr>
          <w:trHeight w:val="565"/>
        </w:trPr>
        <w:tc>
          <w:tcPr>
            <w:tcW w:w="642" w:type="pct"/>
            <w:vMerge w:val="restart"/>
            <w:tcBorders>
              <w:left w:val="single" w:sz="8" w:space="0" w:color="000000"/>
              <w:bottom w:val="single" w:sz="8"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决策效果</w:t>
            </w:r>
          </w:p>
        </w:tc>
        <w:tc>
          <w:tcPr>
            <w:tcW w:w="341" w:type="pct"/>
            <w:vMerge w:val="restart"/>
            <w:tcBorders>
              <w:left w:val="single" w:sz="5" w:space="0" w:color="000000"/>
              <w:bottom w:val="single" w:sz="8"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221E1F"/>
              </w:rPr>
            </w:pPr>
            <w:r w:rsidRPr="008515A5">
              <w:rPr>
                <w:rFonts w:ascii="SimHei" w:eastAsia="黑体" w:hAnsi="SimHei" w:cs="Verdana"/>
                <w:color w:val="221E1F"/>
              </w:rPr>
              <w:t xml:space="preserve">20% </w:t>
            </w:r>
          </w:p>
        </w:tc>
        <w:tc>
          <w:tcPr>
            <w:tcW w:w="1044" w:type="pct"/>
            <w:tcBorders>
              <w:top w:val="single" w:sz="5" w:space="0" w:color="000000"/>
              <w:left w:val="single" w:sz="5" w:space="0" w:color="000000"/>
              <w:bottom w:val="single" w:sz="5"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公司发展战略促进</w:t>
            </w:r>
          </w:p>
        </w:tc>
        <w:tc>
          <w:tcPr>
            <w:tcW w:w="2973" w:type="pct"/>
            <w:tcBorders>
              <w:top w:val="single" w:sz="5" w:space="0" w:color="000000"/>
              <w:left w:val="single" w:sz="5" w:space="0" w:color="000000"/>
              <w:bottom w:val="single" w:sz="5"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决议符合公司改革发展的要求，企业价值创造能力、主营业务增长和公司核心竞争力得到有效提升</w:t>
            </w:r>
          </w:p>
        </w:tc>
      </w:tr>
      <w:tr w:rsidR="00EE3E1E" w:rsidRPr="008515A5" w:rsidTr="008515A5">
        <w:trPr>
          <w:trHeight w:val="570"/>
        </w:trPr>
        <w:tc>
          <w:tcPr>
            <w:tcW w:w="642" w:type="pct"/>
            <w:vMerge/>
            <w:tcBorders>
              <w:left w:val="single" w:sz="8" w:space="0" w:color="000000"/>
              <w:bottom w:val="single" w:sz="8"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auto"/>
              </w:rPr>
            </w:pPr>
          </w:p>
        </w:tc>
        <w:tc>
          <w:tcPr>
            <w:tcW w:w="341" w:type="pct"/>
            <w:vMerge/>
            <w:tcBorders>
              <w:left w:val="single" w:sz="5" w:space="0" w:color="000000"/>
              <w:bottom w:val="single" w:sz="8"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s="Times New Roman"/>
                <w:color w:val="auto"/>
              </w:rPr>
            </w:pPr>
          </w:p>
        </w:tc>
        <w:tc>
          <w:tcPr>
            <w:tcW w:w="1044" w:type="pct"/>
            <w:tcBorders>
              <w:top w:val="single" w:sz="5" w:space="0" w:color="000000"/>
              <w:left w:val="single" w:sz="5" w:space="0" w:color="000000"/>
              <w:bottom w:val="single" w:sz="8" w:space="0" w:color="000000"/>
              <w:right w:val="single" w:sz="5"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风险管理</w:t>
            </w:r>
          </w:p>
        </w:tc>
        <w:tc>
          <w:tcPr>
            <w:tcW w:w="2973" w:type="pct"/>
            <w:tcBorders>
              <w:top w:val="single" w:sz="5" w:space="0" w:color="000000"/>
              <w:left w:val="single" w:sz="5" w:space="0" w:color="000000"/>
              <w:bottom w:val="single" w:sz="8" w:space="0" w:color="000000"/>
              <w:right w:val="single" w:sz="8" w:space="0" w:color="000000"/>
            </w:tcBorders>
            <w:vAlign w:val="center"/>
          </w:tcPr>
          <w:p w:rsidR="003C2C9F" w:rsidRPr="008515A5" w:rsidRDefault="003C2C9F" w:rsidP="008515A5">
            <w:pPr>
              <w:pStyle w:val="Default"/>
              <w:spacing w:line="360" w:lineRule="auto"/>
              <w:jc w:val="both"/>
              <w:rPr>
                <w:rFonts w:ascii="楷体" w:eastAsia="楷体" w:hAnsi="楷体"/>
                <w:color w:val="221E1F"/>
              </w:rPr>
            </w:pPr>
            <w:r w:rsidRPr="008515A5">
              <w:rPr>
                <w:rFonts w:ascii="SimHei" w:eastAsia="黑体" w:hAnsi="SimHei" w:cs="Verdana" w:hint="eastAsia"/>
                <w:color w:val="221E1F"/>
              </w:rPr>
              <w:t>对经营、管理的重大事项进行正确审核与评估，避免重大决策失误，强化风险管理</w:t>
            </w:r>
          </w:p>
        </w:tc>
      </w:tr>
    </w:tbl>
    <w:p w:rsidR="003C2C9F" w:rsidRPr="008515A5" w:rsidRDefault="003C2C9F" w:rsidP="008515A5">
      <w:pPr>
        <w:spacing w:line="360" w:lineRule="auto"/>
        <w:ind w:firstLineChars="200" w:firstLine="480"/>
        <w:rPr>
          <w:rFonts w:ascii="楷体" w:eastAsia="楷体" w:hAnsi="楷体" w:hint="eastAsia"/>
          <w:sz w:val="24"/>
        </w:rPr>
      </w:pPr>
    </w:p>
    <w:p w:rsidR="0027740B" w:rsidRPr="008515A5" w:rsidRDefault="003C2C9F" w:rsidP="008515A5">
      <w:pPr>
        <w:tabs>
          <w:tab w:val="left" w:pos="2535"/>
        </w:tabs>
        <w:spacing w:line="360" w:lineRule="auto"/>
        <w:ind w:firstLineChars="200" w:firstLine="482"/>
        <w:rPr>
          <w:rFonts w:ascii="楷体" w:eastAsia="楷体" w:hAnsi="楷体"/>
          <w:sz w:val="24"/>
        </w:rPr>
      </w:pPr>
      <w:r w:rsidRPr="008515A5">
        <w:rPr>
          <w:rFonts w:ascii="SimHei" w:eastAsia="黑体" w:hAnsi="SimHei" w:cs="Verdana" w:hint="eastAsia"/>
          <w:b/>
          <w:color w:val="221E1F"/>
          <w:sz w:val="24"/>
        </w:rPr>
        <w:t xml:space="preserve"> </w:t>
      </w:r>
      <w:r w:rsidR="00EE3E1E" w:rsidRPr="008515A5">
        <w:rPr>
          <w:rFonts w:ascii="SimHei" w:eastAsia="黑体" w:hAnsi="SimHei"/>
          <w:sz w:val="24"/>
        </w:rPr>
        <w:t xml:space="preserve">                                 </w:t>
      </w:r>
    </w:p>
    <w:p w:rsidR="0027740B" w:rsidRPr="008515A5" w:rsidRDefault="00EE3E1E" w:rsidP="008515A5">
      <w:pPr>
        <w:tabs>
          <w:tab w:val="left" w:pos="2535"/>
        </w:tabs>
        <w:spacing w:line="360" w:lineRule="auto"/>
        <w:ind w:firstLineChars="200" w:firstLine="480"/>
        <w:rPr>
          <w:rFonts w:ascii="楷体" w:eastAsia="楷体" w:hAnsi="楷体"/>
          <w:sz w:val="24"/>
        </w:rPr>
      </w:pPr>
      <w:r w:rsidRPr="008515A5">
        <w:rPr>
          <w:rFonts w:ascii="SimHei" w:eastAsia="黑体" w:hAnsi="SimHei"/>
          <w:sz w:val="24"/>
        </w:rPr>
        <w:t xml:space="preserve">                      </w:t>
      </w:r>
    </w:p>
    <w:p w:rsidR="0059318B" w:rsidRPr="008515A5" w:rsidRDefault="00EE3E1E" w:rsidP="008515A5">
      <w:pPr>
        <w:tabs>
          <w:tab w:val="left" w:pos="2535"/>
        </w:tabs>
        <w:spacing w:line="360" w:lineRule="auto"/>
        <w:ind w:firstLineChars="200" w:firstLine="480"/>
        <w:rPr>
          <w:rFonts w:ascii="楷体" w:eastAsia="楷体" w:hAnsi="楷体"/>
          <w:sz w:val="24"/>
        </w:rPr>
      </w:pPr>
      <w:r w:rsidRPr="008515A5">
        <w:rPr>
          <w:rFonts w:ascii="SimHei" w:eastAsia="黑体" w:hAnsi="SimHei"/>
          <w:sz w:val="24"/>
        </w:rPr>
        <w:t xml:space="preserve">             </w:t>
      </w:r>
      <w:r w:rsidR="0059318B" w:rsidRPr="008515A5">
        <w:rPr>
          <w:rFonts w:ascii="SimHei" w:eastAsia="黑体" w:hAnsi="SimHei"/>
          <w:sz w:val="24"/>
        </w:rPr>
        <w:t xml:space="preserve"> </w:t>
      </w:r>
    </w:p>
    <w:p w:rsidR="003C2C9F" w:rsidRPr="008515A5" w:rsidRDefault="003C2C9F" w:rsidP="008515A5">
      <w:pPr>
        <w:spacing w:line="360" w:lineRule="auto"/>
        <w:ind w:firstLineChars="200" w:firstLine="480"/>
        <w:rPr>
          <w:rFonts w:ascii="楷体" w:eastAsia="楷体" w:hAnsi="楷体" w:hint="eastAsia"/>
          <w:sz w:val="24"/>
        </w:rPr>
      </w:pPr>
    </w:p>
    <w:sectPr w:rsidR="003C2C9F" w:rsidRPr="008515A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81A" w:rsidRDefault="00A0281A">
      <w:r>
        <w:separator/>
      </w:r>
    </w:p>
  </w:endnote>
  <w:endnote w:type="continuationSeparator" w:id="0">
    <w:p w:rsidR="00A0281A" w:rsidRDefault="00A0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楷体简体">
    <w:altName w:val="宋体"/>
    <w:panose1 w:val="00000000000000000000"/>
    <w:charset w:val="86"/>
    <w:family w:val="roman"/>
    <w:notTrueType/>
    <w:pitch w:val="default"/>
    <w:sig w:usb0="00000001" w:usb1="080E0000" w:usb2="00000010" w:usb3="00000000" w:csb0="00040000" w:csb1="00000000"/>
  </w:font>
  <w:font w:name="黑体.体简体">
    <w:altName w:val="微软雅黑"/>
    <w:panose1 w:val="00000000000000000000"/>
    <w:charset w:val="86"/>
    <w:family w:val="swiss"/>
    <w:notTrueType/>
    <w:pitch w:val="default"/>
    <w:sig w:usb0="00000001" w:usb1="080E0000" w:usb2="00000010" w:usb3="00000000" w:csb0="00040000" w:csb1="00000000"/>
  </w:font>
  <w:font w:name="黑体e眠副浡渀.">
    <w:altName w:val="微软雅黑"/>
    <w:panose1 w:val="00000000000000000000"/>
    <w:charset w:val="86"/>
    <w:family w:val="swiss"/>
    <w:notTrueType/>
    <w:pitch w:val="default"/>
    <w:sig w:usb0="00000001" w:usb1="080E0000" w:usb2="00000010" w:usb3="00000000" w:csb0="00040000" w:csb1="00000000"/>
  </w:font>
  <w:font w:name="Lucida Sans Typewriter">
    <w:panose1 w:val="020B0509030504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1E" w:rsidRDefault="00EE3E1E">
    <w:pPr>
      <w:spacing w:line="400" w:lineRule="auto"/>
      <w:jc w:val="center"/>
    </w:pPr>
    <w:r>
      <w:rPr>
        <w:rFonts w:ascii="Verdana" w:eastAsia="Verdana" w:hAnsi="Verdana" w:cs="Verdana"/>
        <w:b/>
        <w:i/>
        <w:strike/>
        <w:sz w:val="14"/>
      </w:rPr>
      <w:t>页脚内容</w:t>
    </w:r>
    <w:r>
      <w:fldChar w:fldCharType="begin"/>
    </w:r>
    <w:r>
      <w:rPr>
        <w:rFonts w:ascii="Verdana" w:eastAsia="Verdana" w:hAnsi="Verdana" w:cs="Verdana"/>
      </w:rPr>
      <w:instrText xml:space="preserve"> PAGE </w:instrText>
    </w:r>
    <w:r>
      <w:fldChar w:fldCharType="separate"/>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1E" w:rsidRPr="008515A5" w:rsidRDefault="00EE3E1E">
    <w:pPr>
      <w:spacing w:line="400" w:lineRule="auto"/>
      <w:jc w:val="center"/>
      <w:rPr>
        <w:rFonts w:ascii="楷体" w:eastAsia="楷体" w:hAnsi="楷体"/>
        <w:sz w:val="18"/>
      </w:rPr>
    </w:pPr>
    <w:r w:rsidRPr="008515A5">
      <w:rPr>
        <w:rFonts w:ascii="楷体" w:eastAsia="楷体" w:hAnsi="楷体"/>
        <w:sz w:val="18"/>
      </w:rPr>
      <w:fldChar w:fldCharType="begin"/>
    </w:r>
    <w:r w:rsidRPr="008515A5">
      <w:rPr>
        <w:rFonts w:ascii="楷体" w:eastAsia="楷体" w:hAnsi="楷体" w:cs="Verdana"/>
        <w:sz w:val="18"/>
      </w:rPr>
      <w:instrText xml:space="preserve"> PAGE </w:instrText>
    </w:r>
    <w:r w:rsidRPr="008515A5">
      <w:rPr>
        <w:rFonts w:ascii="楷体" w:eastAsia="楷体" w:hAnsi="楷体"/>
        <w:sz w:val="18"/>
      </w:rPr>
      <w:fldChar w:fldCharType="separate"/>
    </w:r>
    <w:r w:rsidR="00A0281A">
      <w:rPr>
        <w:rFonts w:ascii="楷体" w:eastAsia="楷体" w:hAnsi="楷体" w:cs="Verdana"/>
        <w:noProof/>
        <w:sz w:val="18"/>
      </w:rPr>
      <w:t>1</w:t>
    </w:r>
    <w:r w:rsidRPr="008515A5">
      <w:rPr>
        <w:rFonts w:ascii="楷体" w:eastAsia="楷体" w:hAnsi="楷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1E" w:rsidRDefault="00EE3E1E">
    <w:pPr>
      <w:spacing w:line="400" w:lineRule="auto"/>
      <w:jc w:val="center"/>
    </w:pPr>
    <w:r>
      <w:rPr>
        <w:rFonts w:ascii="Verdana" w:eastAsia="Verdana" w:hAnsi="Verdana" w:cs="Verdana"/>
        <w:b/>
        <w:i/>
        <w:strike/>
        <w:color w:val="00FFFF"/>
        <w:sz w:val="14"/>
      </w:rPr>
      <w:t>页脚内容</w:t>
    </w:r>
    <w:r>
      <w:fldChar w:fldCharType="begin"/>
    </w:r>
    <w:r>
      <w:rPr>
        <w:rFonts w:ascii="Verdana" w:eastAsia="Verdana" w:hAnsi="Verdana" w:cs="Verdana"/>
      </w:rPr>
      <w:instrText xml:space="preserve"> PAGE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81A" w:rsidRDefault="00A0281A">
      <w:r>
        <w:separator/>
      </w:r>
    </w:p>
  </w:footnote>
  <w:footnote w:type="continuationSeparator" w:id="0">
    <w:p w:rsidR="00A0281A" w:rsidRDefault="00A02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1E" w:rsidRDefault="00EE3E1E">
    <w:pPr>
      <w:pBdr>
        <w:bottom w:val="single" w:sz="2" w:space="0" w:color="000000"/>
      </w:pBdr>
      <w:spacing w:line="400" w:lineRule="auto"/>
      <w:jc w:val="center"/>
      <w:rPr>
        <w:rFonts w:ascii="Lucida Sans Typewriter" w:eastAsia="Lucida Sans Typewriter" w:hAnsi="Lucida Sans Typewriter" w:cs="Lucida Sans Typewriter"/>
        <w:b/>
        <w:i/>
        <w:strike/>
        <w:sz w:val="14"/>
      </w:rPr>
    </w:pPr>
    <w:r>
      <w:rPr>
        <w:rFonts w:ascii="Verdana" w:eastAsia="Verdana" w:hAnsi="Verdana" w:cs="Verdana"/>
        <w:b/>
        <w:i/>
        <w:strike/>
        <w:sz w:val="14"/>
      </w:rPr>
      <w:t>MATCH公司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1E" w:rsidRPr="008515A5" w:rsidRDefault="00EE3E1E" w:rsidP="008515A5">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1E" w:rsidRDefault="00EE3E1E">
    <w:pPr>
      <w:pBdr>
        <w:bottom w:val="single" w:sz="2" w:space="0" w:color="000000"/>
      </w:pBdr>
      <w:spacing w:line="400" w:lineRule="auto"/>
      <w:jc w:val="center"/>
      <w:rPr>
        <w:rFonts w:ascii="Lucida Sans Typewriter" w:eastAsia="Lucida Sans Typewriter" w:hAnsi="Lucida Sans Typewriter" w:cs="Lucida Sans Typewriter"/>
        <w:b/>
        <w:i/>
        <w:strike/>
        <w:color w:val="00FFFF"/>
        <w:sz w:val="14"/>
      </w:rPr>
    </w:pPr>
    <w:r>
      <w:rPr>
        <w:rFonts w:ascii="Verdana" w:eastAsia="Verdana" w:hAnsi="Verdana" w:cs="Verdana"/>
        <w:b/>
        <w:i/>
        <w:strike/>
        <w:color w:val="00FFFF"/>
        <w:sz w:val="14"/>
      </w:rPr>
      <w:t>MATCH公司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BF03A8"/>
    <w:multiLevelType w:val="hybridMultilevel"/>
    <w:tmpl w:val="A0B349FB"/>
    <w:lvl w:ilvl="0">
      <w:start w:val="1"/>
      <w:numFmt w:val="decimal"/>
      <w:lvlText w:val="%1"/>
      <w:lvlJc w:val="left"/>
      <w:rPr>
        <w:rFonts w:ascii="Verdana" w:eastAsia="Verdana" w:hAnsi="Verdana" w:cs="Verdan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F50F18EF"/>
    <w:multiLevelType w:val="multilevel"/>
    <w:tmpl w:val="28CEE514"/>
    <w:lvl w:ilvl="0">
      <w:start w:val="1"/>
      <w:numFmt w:val="decimal"/>
      <w:lvlText w:val="%1"/>
      <w:lvlJc w:val="left"/>
    </w:lvl>
    <w:lvl w:ilvl="1">
      <w:start w:val="1"/>
      <w:numFmt w:val="decimal"/>
      <w:lvlText w:val="%1"/>
      <w:lvlJc w:val="left"/>
      <w:rPr>
        <w:rFonts w:ascii="Verdana" w:eastAsia="Verdana" w:hAnsi="Verdana" w:cs="Verdana"/>
      </w:rPr>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BEDDFE"/>
    <w:multiLevelType w:val="multilevel"/>
    <w:tmpl w:val="EB547AB6"/>
    <w:lvl w:ilvl="0">
      <w:start w:val="1"/>
      <w:numFmt w:val="decimal"/>
      <w:lvlText w:val="%1"/>
      <w:lvlJc w:val="left"/>
    </w:lvl>
    <w:lvl w:ilvl="1">
      <w:start w:val="1"/>
      <w:numFmt w:val="decimal"/>
      <w:lvlText w:val="%1"/>
      <w:lvlJc w:val="left"/>
      <w:rPr>
        <w:rFonts w:ascii="Verdana" w:eastAsia="Verdana" w:hAnsi="Verdana" w:cs="Verdana"/>
      </w:rPr>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E673FB"/>
    <w:multiLevelType w:val="hybridMultilevel"/>
    <w:tmpl w:val="39E6C18B"/>
    <w:lvl w:ilvl="0">
      <w:start w:val="1"/>
      <w:numFmt w:val="decimal"/>
      <w:lvlText w:val="%1"/>
      <w:lvlJc w:val="left"/>
    </w:lvl>
    <w:lvl w:ilvl="1">
      <w:numFmt w:val="decimal"/>
      <w:lvlText w:val=""/>
      <w:lvlJc w:val="left"/>
      <w:rPr>
        <w:rFonts w:ascii="Verdana" w:eastAsia="Verdana" w:hAnsi="Verdana" w:cs="Verdan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C9F"/>
    <w:rsid w:val="001C2C57"/>
    <w:rsid w:val="0027740B"/>
    <w:rsid w:val="0030424E"/>
    <w:rsid w:val="00397064"/>
    <w:rsid w:val="003C2C9F"/>
    <w:rsid w:val="00474015"/>
    <w:rsid w:val="00483BCE"/>
    <w:rsid w:val="00520A0B"/>
    <w:rsid w:val="0059318B"/>
    <w:rsid w:val="007D0CE4"/>
    <w:rsid w:val="008515A5"/>
    <w:rsid w:val="00A0281A"/>
    <w:rsid w:val="00B94AFD"/>
    <w:rsid w:val="00BD70C6"/>
    <w:rsid w:val="00C06174"/>
    <w:rsid w:val="00EE3E1E"/>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2C9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3C2C9F"/>
    <w:pPr>
      <w:widowControl w:val="0"/>
      <w:autoSpaceDE w:val="0"/>
      <w:autoSpaceDN w:val="0"/>
      <w:adjustRightInd w:val="0"/>
    </w:pPr>
    <w:rPr>
      <w:rFonts w:ascii="方正大标宋简体" w:eastAsia="方正大标宋简体" w:hAnsi="Calibri" w:cs="方正大标宋简体"/>
      <w:color w:val="000000"/>
      <w:sz w:val="24"/>
      <w:szCs w:val="24"/>
    </w:rPr>
  </w:style>
  <w:style w:type="paragraph" w:customStyle="1" w:styleId="CM1">
    <w:name w:val="CM1"/>
    <w:basedOn w:val="Default"/>
    <w:next w:val="Default"/>
    <w:rsid w:val="003C2C9F"/>
    <w:rPr>
      <w:rFonts w:cs="Times New Roman"/>
      <w:color w:val="auto"/>
    </w:rPr>
  </w:style>
  <w:style w:type="paragraph" w:customStyle="1" w:styleId="CM3">
    <w:name w:val="CM3"/>
    <w:basedOn w:val="Default"/>
    <w:next w:val="Default"/>
    <w:rsid w:val="003C2C9F"/>
    <w:pPr>
      <w:spacing w:line="366" w:lineRule="atLeast"/>
    </w:pPr>
    <w:rPr>
      <w:rFonts w:cs="Times New Roman"/>
      <w:color w:val="auto"/>
    </w:rPr>
  </w:style>
  <w:style w:type="paragraph" w:customStyle="1" w:styleId="CM9">
    <w:name w:val="CM9"/>
    <w:basedOn w:val="Default"/>
    <w:next w:val="Default"/>
    <w:rsid w:val="003C2C9F"/>
    <w:pPr>
      <w:spacing w:line="378" w:lineRule="atLeast"/>
    </w:pPr>
    <w:rPr>
      <w:rFonts w:cs="Times New Roman"/>
      <w:color w:val="auto"/>
    </w:rPr>
  </w:style>
  <w:style w:type="paragraph" w:customStyle="1" w:styleId="CM11">
    <w:name w:val="CM11"/>
    <w:basedOn w:val="Default"/>
    <w:next w:val="Default"/>
    <w:rsid w:val="003C2C9F"/>
    <w:pPr>
      <w:spacing w:line="378" w:lineRule="atLeast"/>
    </w:pPr>
    <w:rPr>
      <w:rFonts w:cs="Times New Roman"/>
      <w:color w:val="auto"/>
    </w:rPr>
  </w:style>
  <w:style w:type="paragraph" w:customStyle="1" w:styleId="CM16">
    <w:name w:val="CM16"/>
    <w:basedOn w:val="Default"/>
    <w:next w:val="Default"/>
    <w:rsid w:val="003C2C9F"/>
    <w:pPr>
      <w:spacing w:line="420" w:lineRule="atLeast"/>
    </w:pPr>
    <w:rPr>
      <w:rFonts w:cs="Times New Roman"/>
      <w:color w:val="auto"/>
    </w:rPr>
  </w:style>
  <w:style w:type="paragraph" w:customStyle="1" w:styleId="CM25">
    <w:name w:val="CM25"/>
    <w:basedOn w:val="Default"/>
    <w:next w:val="Default"/>
    <w:rsid w:val="003C2C9F"/>
    <w:rPr>
      <w:rFonts w:cs="Times New Roman"/>
      <w:color w:val="auto"/>
    </w:rPr>
  </w:style>
  <w:style w:type="paragraph" w:customStyle="1" w:styleId="CM15">
    <w:name w:val="CM15"/>
    <w:basedOn w:val="Default"/>
    <w:next w:val="Default"/>
    <w:rsid w:val="003C2C9F"/>
    <w:rPr>
      <w:rFonts w:ascii="宋体" w:eastAsia="宋体" w:cs="Times New Roman"/>
      <w:color w:val="auto"/>
    </w:rPr>
  </w:style>
  <w:style w:type="paragraph" w:styleId="a3">
    <w:name w:val="header"/>
    <w:basedOn w:val="a"/>
    <w:link w:val="Char"/>
    <w:rsid w:val="008515A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8515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659</Words>
  <Characters>3762</Characters>
  <Application>Microsoft Office Word</Application>
  <DocSecurity>0</DocSecurity>
  <Lines>31</Lines>
  <Paragraphs>8</Paragraphs>
  <ScaleCrop>false</ScaleCrop>
  <Company>微软中国</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zhisuo qi</cp:lastModifiedBy>
  <cp:revision>2</cp:revision>
  <cp:lastPrinted>1601-01-01T00:00:00Z</cp:lastPrinted>
  <dcterms:created xsi:type="dcterms:W3CDTF">2021-08-10T01:15:00Z</dcterms:created>
  <dcterms:modified xsi:type="dcterms:W3CDTF">2021-08-10T01:15:00Z</dcterms:modified>
</cp:coreProperties>
</file>