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2"/>
        <w:textAlignment w:val="baseline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宋体" w:eastAsia="黑体"/>
          <w:color w:val="000000"/>
          <w:sz w:val="36"/>
        </w:rPr>
        <w:t>员工工资管理规程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一、总则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第一条  本规则所谓的工资，是指每月定期依据人事管理规章的规定，制定员工的工资及津贴。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第二条  本规则适用于一般正式员工。有关派外及驻外员工的工资则另行制定。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第三条  本规则所谓的工资，是指每月定期发放的基准工资及每年分两次发放的定期奖金而言。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第四条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．公司以员工劳动强度、责任大小、专业性等标准，作为支付酬劳的依据。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．未执行任务的工资，则依第十九条及第二十条的规定办理。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．未遵照公司指派任务执行者，不予支付工资。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第五条  工资结构如下图所示：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第六条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．工资经扣除第八条所规定的内容扣除额后，须直接以现金支付给员工。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．支付工资时，要详细列出各项津贴及扣除额。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第七条  工资计算时总额如有未达到元的尾数产生，一律将其四舍五入。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第八条  下列各项规定，从工资中直接扣除：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．个人工资所得税。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．劳保费及团体意外保险费。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．员工宿舍、伙食费、工作服个人负担部分。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．公司内部定期优惠存款。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5</w:t>
      </w:r>
      <w:r>
        <w:rPr>
          <w:rFonts w:ascii="SimHei" w:hAnsi="SimHei" w:cs="楷体" w:eastAsia="黑体"/>
          <w:color w:val="000000"/>
          <w:sz w:val="24"/>
          <w:szCs w:val="21"/>
        </w:rPr>
        <w:t>．工会会费。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6</w:t>
      </w:r>
      <w:r>
        <w:rPr>
          <w:rFonts w:ascii="SimHei" w:hAnsi="SimHei" w:cs="楷体" w:eastAsia="黑体"/>
          <w:color w:val="000000"/>
          <w:sz w:val="24"/>
          <w:szCs w:val="21"/>
        </w:rPr>
        <w:t>．员工向公司贷款及利息。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7</w:t>
      </w:r>
      <w:r>
        <w:rPr>
          <w:rFonts w:ascii="SimHei" w:hAnsi="SimHei" w:cs="楷体" w:eastAsia="黑体"/>
          <w:color w:val="000000"/>
          <w:sz w:val="24"/>
          <w:szCs w:val="21"/>
        </w:rPr>
        <w:t>．其他按法令定期优惠存款。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第九条  除法令规定的扣除额外，劳工组织协定规定下的特别扣除额。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第十条  领取工资时，必须依照规定的手续，在支薪簿上盖章以便核查。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第十一条  因计算错误或业务过失造成工资超领时，应立即归还超出额；否则，可以在下月发放工资时直接扣除该超出部分。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第十二条  员工对工资产生疑义时，可以提出书面申请，行使工资请求权，但自发生日起两年未行使时，则视为弃权。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二、工资的计算及支付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第十三条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．工资计算期间为前一个月的日到该月的日；并于该月的日支付。如遇支付工资日为休假日时，则提早于前一个工作日发放。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．公司因不可抗拒事件不得不延缓工资支付时，应提早于前一日通知员工，并确定延缓支付的日期。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第十四条   员工或领先员工收入维持生计的抚养家属，遇到下列非常情况时，可以向公司申请预支工资，但以已出勤时间应得工资为限。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．生育、受伤、疾病，或意外灾害。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．结婚或死亡等。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第十五条  员工死亡、离职或解雇时，本人或其抚养者可以向公司提出申请给予工资事宜，从请求日起日内，公司应支付该员工已出勤工作日数的工资。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第十六条  计时工资通常作为计算勤务津贴的依据。计时工资的基准额（即小时工资额）等于每月基准内工资的总和除每日勤务时数。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每月勤务时数的计算方法为：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每月勤务时数</w:t>
      </w:r>
      <w:r>
        <w:rPr>
          <w:rFonts w:eastAsia="黑体" w:cs="楷体" w:ascii="SimHei" w:hAnsi="SimHei"/>
          <w:color w:val="000000"/>
          <w:sz w:val="24"/>
          <w:szCs w:val="21"/>
        </w:rPr>
        <w:t>=[1</w:t>
      </w:r>
      <w:r>
        <w:rPr>
          <w:rFonts w:ascii="SimHei" w:hAnsi="SimHei" w:cs="楷体" w:eastAsia="黑体"/>
          <w:color w:val="000000"/>
          <w:sz w:val="24"/>
          <w:szCs w:val="21"/>
        </w:rPr>
        <w:t>年（</w:t>
      </w:r>
      <w:r>
        <w:rPr>
          <w:rFonts w:eastAsia="黑体" w:cs="楷体" w:ascii="SimHei" w:hAnsi="SimHei"/>
          <w:color w:val="000000"/>
          <w:sz w:val="24"/>
          <w:szCs w:val="21"/>
        </w:rPr>
        <w:t>365</w:t>
      </w:r>
      <w:r>
        <w:rPr>
          <w:rFonts w:ascii="SimHei" w:hAnsi="SimHei" w:cs="楷体" w:eastAsia="黑体"/>
          <w:color w:val="000000"/>
          <w:sz w:val="24"/>
          <w:szCs w:val="21"/>
        </w:rPr>
        <w:t>日）一休假日（</w:t>
      </w:r>
      <w:r>
        <w:rPr>
          <w:rFonts w:eastAsia="黑体" w:cs="楷体" w:ascii="SimHei" w:hAnsi="SimHei"/>
          <w:color w:val="000000"/>
          <w:sz w:val="24"/>
          <w:szCs w:val="21"/>
        </w:rPr>
        <w:t>101</w:t>
      </w:r>
      <w:r>
        <w:rPr>
          <w:rFonts w:ascii="SimHei" w:hAnsi="SimHei" w:cs="楷体" w:eastAsia="黑体"/>
          <w:color w:val="000000"/>
          <w:sz w:val="24"/>
          <w:szCs w:val="21"/>
        </w:rPr>
        <w:t>日）</w:t>
      </w:r>
      <w:r>
        <w:rPr>
          <w:rFonts w:eastAsia="黑体" w:cs="楷体" w:ascii="SimHei" w:hAnsi="SimHei"/>
          <w:color w:val="000000"/>
          <w:sz w:val="24"/>
          <w:szCs w:val="21"/>
        </w:rPr>
        <w:t>]X8</w:t>
      </w:r>
      <w:r>
        <w:rPr>
          <w:rFonts w:ascii="SimHei" w:hAnsi="SimHei" w:cs="楷体" w:eastAsia="黑体"/>
          <w:color w:val="000000"/>
          <w:sz w:val="24"/>
          <w:szCs w:val="21"/>
        </w:rPr>
        <w:t>小时</w:t>
      </w:r>
      <w:r>
        <w:rPr>
          <w:rFonts w:eastAsia="黑体" w:cs="楷体" w:ascii="SimHei" w:hAnsi="SimHei"/>
          <w:color w:val="000000"/>
          <w:sz w:val="24"/>
          <w:szCs w:val="21"/>
        </w:rPr>
        <w:t>÷12</w:t>
      </w:r>
      <w:r>
        <w:rPr>
          <w:rFonts w:ascii="SimHei" w:hAnsi="SimHei" w:cs="楷体" w:eastAsia="黑体"/>
          <w:color w:val="000000"/>
          <w:sz w:val="24"/>
          <w:szCs w:val="21"/>
        </w:rPr>
        <w:t>月</w:t>
      </w:r>
      <w:r>
        <w:rPr>
          <w:rFonts w:eastAsia="黑体" w:cs="楷体" w:ascii="SimHei" w:hAnsi="SimHei"/>
          <w:color w:val="000000"/>
          <w:sz w:val="24"/>
          <w:szCs w:val="21"/>
        </w:rPr>
        <w:t>=176</w:t>
      </w:r>
      <w:r>
        <w:rPr>
          <w:rFonts w:ascii="SimHei" w:hAnsi="SimHei" w:cs="楷体" w:eastAsia="黑体"/>
          <w:color w:val="000000"/>
          <w:sz w:val="24"/>
          <w:szCs w:val="21"/>
        </w:rPr>
        <w:t>小时／月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第十七条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．凡符合下列规定的员工工资，按日计算：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）新聘者；（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）离职或遭解雇者；（</w:t>
      </w: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）停职而复职者；（</w:t>
      </w: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）其他。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．按日计算工资方法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l</w:t>
      </w:r>
      <w:r>
        <w:rPr>
          <w:rFonts w:ascii="SimHei" w:hAnsi="SimHei" w:cs="楷体" w:eastAsia="黑体"/>
          <w:color w:val="000000"/>
          <w:sz w:val="24"/>
          <w:szCs w:val="21"/>
        </w:rPr>
        <w:t>）符合上述（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）、（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）、（</w:t>
      </w: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）、（</w:t>
      </w: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）项规定的员工工资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=</w:t>
      </w:r>
      <w:r>
        <w:rPr>
          <w:rFonts w:ascii="SimHei" w:hAnsi="SimHei" w:cs="楷体" w:eastAsia="黑体"/>
          <w:color w:val="000000"/>
          <w:sz w:val="24"/>
          <w:szCs w:val="21"/>
        </w:rPr>
        <w:t>基准内工资</w:t>
      </w:r>
      <w:r>
        <w:rPr>
          <w:rFonts w:eastAsia="黑体" w:cs="楷体" w:ascii="SimHei" w:hAnsi="SimHei"/>
          <w:color w:val="000000"/>
          <w:sz w:val="24"/>
          <w:szCs w:val="21"/>
        </w:rPr>
        <w:t>×[</w:t>
      </w:r>
      <w:r>
        <w:rPr>
          <w:rFonts w:ascii="SimHei" w:hAnsi="SimHei" w:cs="楷体" w:eastAsia="黑体"/>
          <w:color w:val="000000"/>
          <w:sz w:val="24"/>
          <w:szCs w:val="21"/>
        </w:rPr>
        <w:t>该月应出勤日数－停职日数</w:t>
      </w:r>
      <w:r>
        <w:rPr>
          <w:rFonts w:eastAsia="黑体" w:cs="楷体" w:ascii="SimHei" w:hAnsi="SimHei"/>
          <w:color w:val="000000"/>
          <w:sz w:val="24"/>
          <w:szCs w:val="21"/>
        </w:rPr>
        <w:t>/</w:t>
      </w:r>
      <w:r>
        <w:rPr>
          <w:rFonts w:ascii="SimHei" w:hAnsi="SimHei" w:cs="楷体" w:eastAsia="黑体"/>
          <w:color w:val="000000"/>
          <w:sz w:val="24"/>
          <w:szCs w:val="21"/>
        </w:rPr>
        <w:t>该月应出勤日数</w:t>
      </w:r>
      <w:r>
        <w:rPr>
          <w:rFonts w:eastAsia="黑体" w:cs="楷体" w:ascii="SimHei" w:hAnsi="SimHei"/>
          <w:color w:val="000000"/>
          <w:sz w:val="24"/>
          <w:szCs w:val="21"/>
        </w:rPr>
        <w:t>]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第十八条  该月津贴领取的资格有所变更时，则按下列规定办理：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．房屋津贴、抚养津贴、交通津贴等发生变更时，根据该月月底前领取的资格给付。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．特殊作业津贴、工作津贴、特殊勤务津贴及调职津贴等发生变更时，则根据该员工出勤日数依下列基准给付。但年度带薪休假均视为出勤。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第十九条  依据人事管理规章的规定，休假时的工资规定如下：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．因年度带薪休假而缺勤时，应按平常勤务时的工资给付。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．员工申请特别休假（如婚姻或丧假）时的工资，可按平常勤务时的工资给付。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．因生产而休假时，公司依据劳动法所规定的产假天数，按平常出勤时的工资给付。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第二十条  员工请假时的工资规定如下：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．因业务上的负伤疾病而缺勤时，对于缺勤未满一个月的，应予以支付基准内工资。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．因业务外负伤疾病而缺勤持续达一个月以上的，该部门主管对于该停职的员工，除代为申请劳保医疗给付及团体意外险给付外，还要向人事部门申请留职停薪。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．因私人事由向公司请假时，其工资按下列方式扣除：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缺勤工资扣除额</w:t>
      </w:r>
      <w:r>
        <w:rPr>
          <w:rFonts w:eastAsia="黑体" w:cs="楷体" w:ascii="SimHei" w:hAnsi="SimHei"/>
          <w:color w:val="000000"/>
          <w:sz w:val="24"/>
          <w:szCs w:val="21"/>
        </w:rPr>
        <w:t>=</w:t>
      </w:r>
      <w:r>
        <w:rPr>
          <w:rFonts w:ascii="SimHei" w:hAnsi="SimHei" w:cs="楷体" w:eastAsia="黑体"/>
          <w:color w:val="000000"/>
          <w:sz w:val="24"/>
          <w:szCs w:val="21"/>
        </w:rPr>
        <w:t>基准工资</w:t>
      </w:r>
      <w:r>
        <w:rPr>
          <w:rFonts w:eastAsia="黑体" w:cs="楷体" w:ascii="SimHei" w:hAnsi="SimHei"/>
          <w:color w:val="000000"/>
          <w:sz w:val="24"/>
          <w:szCs w:val="21"/>
        </w:rPr>
        <w:t>×[</w:t>
      </w:r>
      <w:r>
        <w:rPr>
          <w:rFonts w:ascii="SimHei" w:hAnsi="SimHei" w:cs="楷体" w:eastAsia="黑体"/>
          <w:color w:val="000000"/>
          <w:sz w:val="24"/>
          <w:szCs w:val="21"/>
        </w:rPr>
        <w:t>缺勤日数</w:t>
      </w:r>
      <w:r>
        <w:rPr>
          <w:rFonts w:eastAsia="黑体" w:cs="楷体" w:ascii="SimHei" w:hAnsi="SimHei"/>
          <w:color w:val="000000"/>
          <w:sz w:val="24"/>
          <w:szCs w:val="21"/>
        </w:rPr>
        <w:t>/30]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．迟到、早退及私自外出缺勤时，以分钟为单位，当缺勤次数达次以上时，则扣除一日的工资。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第二十一条  试用时期的员工工资，按基准内工资的％给付。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三、基准内工资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第二十二条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．公司综合评估员工的职务、能力、技术、经验以及学历等的因素，以决定其基本工资标准。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．凡年满岁以上的员工则按岁时基本工资的％给付。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第二十三条  对于从事特殊作业者，以及必须在休息时间内执行紧急工作时，按下列规定给付津贴：</w:t>
      </w:r>
    </w:p>
    <w:tbl>
      <w:tblPr>
        <w:tblW w:w="75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65"/>
        <w:gridCol w:w="1995"/>
      </w:tblGrid>
      <w:tr>
        <w:trPr/>
        <w:tc>
          <w:tcPr>
            <w:tcW w:w="5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职务区分</w:t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特殊作业津贴</w:t>
            </w:r>
          </w:p>
        </w:tc>
      </w:tr>
      <w:tr>
        <w:trPr/>
        <w:tc>
          <w:tcPr>
            <w:tcW w:w="5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</w:tr>
    </w:tbl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第二十四  条分公司及营业所的员工，依下列标准给付责任津贴：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．自总公司调派者，每月津贴元。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．当地应聘者，每月津贴元。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第二十五  条公司对无自用住宅的员工，依下列标准给付用屋津贴：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．有抚养亲属者，每月津贴元。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．单身者，每月津贴元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．其他，居住亲属家庭者，每月津贴元。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第二十六条   公司对于须抚养亲属的员工，依下列规定给付亲属抚养津贴：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．抚养家属的范围：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）公司对于须负担家计，并提供家属最低生活保障的员工给予津贴，下述亲属为给予抚养津贴的对象：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①</w:t>
      </w:r>
      <w:r>
        <w:rPr>
          <w:rFonts w:ascii="SimHei" w:hAnsi="SimHei" w:cs="楷体" w:eastAsia="黑体"/>
          <w:color w:val="000000"/>
          <w:sz w:val="24"/>
          <w:szCs w:val="21"/>
        </w:rPr>
        <w:t>配偶；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②</w:t>
      </w:r>
      <w:r>
        <w:rPr>
          <w:rFonts w:ascii="SimHei" w:hAnsi="SimHei" w:cs="楷体" w:eastAsia="黑体"/>
          <w:color w:val="000000"/>
          <w:sz w:val="24"/>
          <w:szCs w:val="21"/>
        </w:rPr>
        <w:t>满岁以上的亲生父母（养父母）及祖父母；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③</w:t>
      </w:r>
      <w:r>
        <w:rPr>
          <w:rFonts w:ascii="SimHei" w:hAnsi="SimHei" w:cs="楷体" w:eastAsia="黑体"/>
          <w:color w:val="000000"/>
          <w:sz w:val="24"/>
          <w:szCs w:val="21"/>
        </w:rPr>
        <w:t>未满岁弟妹及子女，但年满岁仍在全日制高中就读时，则随其学业结束而停止；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④</w:t>
      </w:r>
      <w:r>
        <w:rPr>
          <w:rFonts w:ascii="SimHei" w:hAnsi="SimHei" w:cs="楷体" w:eastAsia="黑体"/>
          <w:color w:val="000000"/>
          <w:sz w:val="24"/>
          <w:szCs w:val="21"/>
        </w:rPr>
        <w:t>抚养亲属为身体残障者，则不受年龄限制。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）以父母或祖父母为抚养人时，须提出书面材料证明其抚养人并未受他人抚养或救济金补助。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）对于同一抚养对象，公司中有两人以上具备抚养资格时，则择其中一适当者给付。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）抚养亲属最多以三人为限。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．抚养津贴给予标准：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）配偶为元。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）抚养亲属增加至第二人时，每月增加津贴额元。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）抚养亲属增加至第三人时，每月增加津贴额元。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第二十七条  员工自住宅到公司上班的单程距离达公里以上时，按下列规定给付交通津贴：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．支付标准。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）由公司认定最适当的交通工具，并依定期月票的相等金额作为给予的标准。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①</w:t>
      </w:r>
      <w:r>
        <w:rPr>
          <w:rFonts w:ascii="SimHei" w:hAnsi="SimHei" w:cs="楷体" w:eastAsia="黑体"/>
          <w:color w:val="000000"/>
          <w:sz w:val="24"/>
          <w:szCs w:val="21"/>
        </w:rPr>
        <w:t>上班路线及交通工具，以经济合理的路线为原则。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②</w:t>
      </w:r>
      <w:r>
        <w:rPr>
          <w:rFonts w:ascii="SimHei" w:hAnsi="SimHei" w:cs="楷体" w:eastAsia="黑体"/>
          <w:color w:val="000000"/>
          <w:sz w:val="24"/>
          <w:szCs w:val="21"/>
        </w:rPr>
        <w:t>个人以学生月票、次数票、员工折扣票等方式购人时，则依实际购票费用给予％的津贴。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③</w:t>
      </w:r>
      <w:r>
        <w:rPr>
          <w:rFonts w:ascii="SimHei" w:hAnsi="SimHei" w:cs="楷体" w:eastAsia="黑体"/>
          <w:color w:val="000000"/>
          <w:sz w:val="24"/>
          <w:szCs w:val="21"/>
        </w:rPr>
        <w:t>基于社会残障福利政策获得免费定期月票时，则不支付交通津贴。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④</w:t>
      </w:r>
      <w:r>
        <w:rPr>
          <w:rFonts w:ascii="SimHei" w:hAnsi="SimHei" w:cs="楷体" w:eastAsia="黑体"/>
          <w:color w:val="000000"/>
          <w:sz w:val="24"/>
          <w:szCs w:val="21"/>
        </w:rPr>
        <w:t>公共交通工具之津贴给付标准如下：</w:t>
      </w:r>
    </w:p>
    <w:tbl>
      <w:tblPr>
        <w:tblW w:w="75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5"/>
        <w:gridCol w:w="4305"/>
      </w:tblGrid>
      <w:tr>
        <w:trPr/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直线距离</w:t>
            </w:r>
          </w:p>
        </w:tc>
        <w:tc>
          <w:tcPr>
            <w:tcW w:w="4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每月给付的交通津贴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40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40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45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45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公里以上</w:t>
            </w:r>
          </w:p>
        </w:tc>
        <w:tc>
          <w:tcPr>
            <w:tcW w:w="4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</w:tr>
    </w:tbl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）员工自行利用交通工具者，则依据上表所列给付标准</w:t>
      </w:r>
      <w:r>
        <w:rPr>
          <w:rFonts w:eastAsia="黑体" w:cs="楷体" w:ascii="SimHei" w:hAnsi="SimHei"/>
          <w:color w:val="000000"/>
          <w:sz w:val="24"/>
          <w:szCs w:val="21"/>
        </w:rPr>
        <w:t>×1.2</w:t>
      </w:r>
      <w:r>
        <w:rPr>
          <w:rFonts w:ascii="SimHei" w:hAnsi="SimHei" w:cs="楷体" w:eastAsia="黑体"/>
          <w:color w:val="000000"/>
          <w:sz w:val="24"/>
          <w:szCs w:val="21"/>
        </w:rPr>
        <w:t>支付。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．支付限额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每个月的最高支付限额为元。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．员工委托公司代购定期月票时，即不再给付津贴；但若超过最高支付限额时，则从工资中直接扣除。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四、基准外工资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第二十八条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．因公司业务需要，必须在勤务时间以外继续工作时，则依据计时工资额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％作为时间外勤务津贴。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．因灾害或其他无法抗拒之理由造成业务上的停顿时，经四周平均下来每周勤务时间不超过小时，则该月时间外勤务原则上不予补助津贴。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第二十九条  从晚上时到翌日清晨时止从事深夜勤务者，依计时工资额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％作为深夜勤务津贴。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第三十条  因不定时勤务、必须在勤务时间外执行时，依计时工资额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％作为不定时勤务津贴。但已支付深夜勤务津贴者，则不再支付不定时勤务津贴。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第三十一条  从事特殊勤务的员工，依据其职务等，按下列方式支付津贴：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．以天为一周期勤务者，每月付津贴元，但非专职员工，每次仅付给津贴元。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．以</w:t>
      </w:r>
      <w:r>
        <w:rPr>
          <w:rFonts w:eastAsia="黑体" w:cs="楷体" w:ascii="SimHei" w:hAnsi="SimHei"/>
          <w:color w:val="000000"/>
          <w:sz w:val="24"/>
          <w:szCs w:val="21"/>
        </w:rPr>
        <w:t>10</w:t>
      </w:r>
      <w:r>
        <w:rPr>
          <w:rFonts w:ascii="SimHei" w:hAnsi="SimHei" w:cs="楷体" w:eastAsia="黑体"/>
          <w:color w:val="000000"/>
          <w:sz w:val="24"/>
          <w:szCs w:val="21"/>
        </w:rPr>
        <w:t>天为一周期勤务者，每月津贴元。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．临时勤务者，依据每次勤务时间乘以计时工资的％为津贴。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．单身宿舍勤务。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）宿舍事务员；每月津贴元。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）宿舍事务员、厨师，每月津贴元。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）宿舍事务员、伙食采购，每月津贴元。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5</w:t>
      </w:r>
      <w:r>
        <w:rPr>
          <w:rFonts w:ascii="SimHei" w:hAnsi="SimHei" w:cs="楷体" w:eastAsia="黑体"/>
          <w:color w:val="000000"/>
          <w:sz w:val="24"/>
          <w:szCs w:val="21"/>
        </w:rPr>
        <w:t>．警卫勤务者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）基本工资未满元者：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每昼夜间勤务元；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每次仅白天勤务元；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每次仅夜间勤务元。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）基本工资超过元，未满元者：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每昼夜间勤务元；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每次仅白天勤务元；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每次仅夜间勤务元。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）基本工资超过元以上者：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每昼夜间勤务元；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每次仅白天勤务元；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每次仅夜间勤务元。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第三十二条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．在休假日时，因业务需要必须到公司加班者，则每小时工资以计时工资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％作为休假日勤务津贴。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．前项勤务时间，因业务上需要而超过小时／天时，其超时工资以计时工资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％作为延长勤务的津贴。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第三十三条   奉命于休假日执行务者，若在翌日挪给补休时，给予计时工资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％的补休津贴。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第三十四条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．总公司、分公司、营业所、工厂间的调职，使通勤时间较原来通勤时间来回超过两小时以上者，每月应补助元津贴。但利用公司通勤汽车者，每月仅补助元津贴。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．居住地距最近的车站达公里以上的调职员工；须自备交通工具并寄放至车站搭车时，每月补助元的保管费。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五、加薪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第三十五条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．公司根据营业成长状况，每年在月日实施加薪。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．加新原则上以基本工资调薪为依据。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第三十六条  凡去年年底前进人公司的员工，在今年月日前仍在公司服务者，则从月日起实施调薪。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第三十七条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．公司根据和工会协议后订出的基准额，原则上依各人的能力、职务、考绩、勤怠等来决定加薪的标准。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．年度缺勤日数达日以上者，其加薪金额应按下列比例核算。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</w:r>
    </w:p>
    <w:tbl>
      <w:tblPr>
        <w:tblW w:w="819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30"/>
        <w:gridCol w:w="2730"/>
        <w:gridCol w:w="2730"/>
      </w:tblGrid>
      <w:tr>
        <w:trPr>
          <w:trHeight w:val="413" w:hRule="atLeast"/>
          <w:cantSplit w:val="true"/>
        </w:trPr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缺勤日数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生病缺勤率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一般缺勤率</w:t>
            </w:r>
          </w:p>
        </w:tc>
      </w:tr>
      <w:tr>
        <w:trPr>
          <w:trHeight w:val="412" w:hRule="atLeast"/>
          <w:cantSplit w:val="true"/>
        </w:trPr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12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日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16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日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21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日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26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日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31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日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36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～</w:t>
            </w: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40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日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41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日以上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</w:tr>
    </w:tbl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．员工缺勤的计算除依第二十条的规定办理外，对于业务上的负伤疾病及女性员工因生产缺勤时，则不予扣除。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．年满岁以上的员工、则以岁平均加薪额的％作为个人加薪的标准。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5</w:t>
      </w:r>
      <w:r>
        <w:rPr>
          <w:rFonts w:ascii="SimHei" w:hAnsi="SimHei" w:cs="楷体" w:eastAsia="黑体"/>
          <w:color w:val="000000"/>
          <w:sz w:val="24"/>
          <w:szCs w:val="21"/>
        </w:rPr>
        <w:t>．除上列各项外，其余详细加薪基准，则视每年营业成长比例另行制定。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六、奖金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第三十八条  根据公司业务发展状况及各人贡献的大小，奖金原则上每半年发放一次。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第三十九条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．上半年的奖金计算期间为该年度的月日至月日，原则上在月支付。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二．下半年的奖金计算期间为该年度的月日至月日，原则上在次年的月支付。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第四十条  上半年度奖金的给付对象是在月日以前仍在公司服务的员工；下半年度奖金的给付对象是在次年月日前仍在公司服务的员工。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第四十一条  奖金给付的标准是根据与工会协议后所定出的基准额，结合员工的考绩和勤怠程度等考核结果，以下列标准给付：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．奖金支付额按下列方式计算：（基本工资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资格乘数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修正率</w:t>
      </w:r>
      <w:r>
        <w:rPr>
          <w:rFonts w:eastAsia="黑体" w:cs="楷体" w:ascii="SimHei" w:hAnsi="SimHei"/>
          <w:color w:val="000000"/>
          <w:sz w:val="24"/>
          <w:szCs w:val="21"/>
        </w:rPr>
        <w:t>+</w:t>
      </w:r>
      <w:r>
        <w:rPr>
          <w:rFonts w:ascii="SimHei" w:hAnsi="SimHei" w:cs="楷体" w:eastAsia="黑体"/>
          <w:color w:val="000000"/>
          <w:sz w:val="24"/>
          <w:szCs w:val="21"/>
        </w:rPr>
        <w:t>家属抚养津贴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支付月数）</w:t>
      </w:r>
      <w:r>
        <w:rPr>
          <w:rFonts w:eastAsia="黑体" w:cs="楷体" w:ascii="SimHei" w:hAnsi="SimHei"/>
          <w:color w:val="000000"/>
          <w:sz w:val="24"/>
          <w:szCs w:val="21"/>
        </w:rPr>
        <w:t>×</w:t>
      </w:r>
      <w:r>
        <w:rPr>
          <w:rFonts w:ascii="SimHei" w:hAnsi="SimHei" w:cs="楷体" w:eastAsia="黑体"/>
          <w:color w:val="000000"/>
          <w:sz w:val="24"/>
          <w:szCs w:val="21"/>
        </w:rPr>
        <w:t>出勤率</w:t>
      </w:r>
      <w:r>
        <w:rPr>
          <w:rFonts w:eastAsia="黑体" w:cs="楷体" w:ascii="SimHei" w:hAnsi="SimHei"/>
          <w:color w:val="000000"/>
          <w:sz w:val="24"/>
          <w:szCs w:val="21"/>
        </w:rPr>
        <w:t>+</w:t>
      </w:r>
      <w:r>
        <w:rPr>
          <w:rFonts w:ascii="SimHei" w:hAnsi="SimHei" w:cs="楷体" w:eastAsia="黑体"/>
          <w:color w:val="000000"/>
          <w:sz w:val="24"/>
          <w:szCs w:val="21"/>
        </w:rPr>
        <w:t>核定额。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．资格乘数按下列方式计算：</w:t>
      </w:r>
    </w:p>
    <w:tbl>
      <w:tblPr>
        <w:tblW w:w="85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4"/>
        <w:gridCol w:w="679"/>
        <w:gridCol w:w="831"/>
        <w:gridCol w:w="831"/>
        <w:gridCol w:w="830"/>
        <w:gridCol w:w="831"/>
        <w:gridCol w:w="831"/>
        <w:gridCol w:w="830"/>
        <w:gridCol w:w="831"/>
        <w:gridCol w:w="831"/>
      </w:tblGrid>
      <w:tr>
        <w:trPr>
          <w:cantSplit w:val="true"/>
        </w:trPr>
        <w:tc>
          <w:tcPr>
            <w:tcW w:w="12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职务津贴</w:t>
            </w:r>
          </w:p>
        </w:tc>
        <w:tc>
          <w:tcPr>
            <w:tcW w:w="56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一般管理人员和员工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高级管理人员</w:t>
            </w:r>
          </w:p>
        </w:tc>
      </w:tr>
      <w:tr>
        <w:trPr>
          <w:cantSplit w:val="true"/>
        </w:trPr>
        <w:tc>
          <w:tcPr>
            <w:tcW w:w="12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4"/>
                <w:szCs w:val="21"/>
              </w:rPr>
            </w:r>
          </w:p>
        </w:tc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7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6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5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4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3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2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  <w:t>1</w:t>
            </w: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等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1"/>
              </w:rPr>
              <w:t>资格乘数</w:t>
            </w:r>
          </w:p>
        </w:tc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  <w:szCs w:val="21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1"/>
              </w:rPr>
            </w:r>
          </w:p>
        </w:tc>
      </w:tr>
    </w:tbl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．修正率即每年营业成长比例，另行制定。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．出勤率。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）出勤率按下列方式计算：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出勤率</w:t>
      </w:r>
      <w:r>
        <w:rPr>
          <w:rFonts w:eastAsia="黑体" w:cs="楷体" w:ascii="SimHei" w:hAnsi="SimHei"/>
          <w:color w:val="000000"/>
          <w:sz w:val="24"/>
          <w:szCs w:val="21"/>
        </w:rPr>
        <w:t>=1</w:t>
      </w:r>
      <w:r>
        <w:rPr>
          <w:rFonts w:eastAsia="黑体" w:cs="楷体" w:ascii="SimHei" w:hAnsi="SimHei"/>
          <w:color w:val="000000"/>
          <w:sz w:val="24"/>
          <w:szCs w:val="21"/>
        </w:rPr>
        <w:t>–</w:t>
      </w:r>
      <w:r>
        <w:rPr>
          <w:rFonts w:ascii="SimHei" w:hAnsi="SimHei" w:cs="楷体" w:eastAsia="黑体"/>
          <w:color w:val="000000"/>
          <w:sz w:val="24"/>
          <w:szCs w:val="21"/>
        </w:rPr>
        <w:t>生病缺勤日数</w:t>
      </w:r>
      <w:r>
        <w:rPr>
          <w:rFonts w:eastAsia="黑体" w:cs="楷体" w:ascii="SimHei" w:hAnsi="SimHei"/>
          <w:color w:val="000000"/>
          <w:sz w:val="24"/>
          <w:szCs w:val="21"/>
        </w:rPr>
        <w:t>/</w:t>
      </w:r>
      <w:r>
        <w:rPr>
          <w:rFonts w:ascii="SimHei" w:hAnsi="SimHei" w:cs="楷体" w:eastAsia="黑体"/>
          <w:color w:val="000000"/>
          <w:sz w:val="24"/>
          <w:szCs w:val="21"/>
        </w:rPr>
        <w:t>该年度所定的工作日数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生病缺勤日数</w:t>
      </w:r>
      <w:r>
        <w:rPr>
          <w:rFonts w:eastAsia="黑体" w:cs="楷体" w:ascii="SimHei" w:hAnsi="SimHei"/>
          <w:color w:val="000000"/>
          <w:sz w:val="24"/>
          <w:szCs w:val="21"/>
        </w:rPr>
        <w:t>=</w:t>
      </w:r>
      <w:r>
        <w:rPr>
          <w:rFonts w:ascii="SimHei" w:hAnsi="SimHei" w:cs="楷体" w:eastAsia="黑体"/>
          <w:color w:val="000000"/>
          <w:sz w:val="24"/>
          <w:szCs w:val="21"/>
        </w:rPr>
        <w:t>一般缺勤日数</w:t>
      </w:r>
      <w:r>
        <w:rPr>
          <w:rFonts w:eastAsia="黑体" w:cs="楷体" w:ascii="SimHei" w:hAnsi="SimHei"/>
          <w:color w:val="000000"/>
          <w:sz w:val="24"/>
          <w:szCs w:val="21"/>
        </w:rPr>
        <w:t>×%+</w:t>
      </w:r>
      <w:r>
        <w:rPr>
          <w:rFonts w:ascii="SimHei" w:hAnsi="SimHei" w:cs="楷体" w:eastAsia="黑体"/>
          <w:color w:val="000000"/>
          <w:sz w:val="24"/>
          <w:szCs w:val="21"/>
        </w:rPr>
        <w:t>迟到、早退和私自外出缺勤</w:t>
      </w:r>
      <w:r>
        <w:rPr>
          <w:rFonts w:eastAsia="黑体" w:cs="楷体" w:ascii="SimHei" w:hAnsi="SimHei"/>
          <w:color w:val="000000"/>
          <w:sz w:val="24"/>
          <w:szCs w:val="21"/>
        </w:rPr>
        <w:t>×%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）出勤率未达％者，以％计算。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3</w:t>
      </w:r>
      <w:r>
        <w:rPr>
          <w:rFonts w:ascii="SimHei" w:hAnsi="SimHei" w:cs="楷体" w:eastAsia="黑体"/>
          <w:color w:val="000000"/>
          <w:sz w:val="24"/>
          <w:szCs w:val="21"/>
        </w:rPr>
        <w:t>）缺勤日数的计算时间是从月日（或月日）开始到月日（或月日）止。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4</w:t>
      </w:r>
      <w:r>
        <w:rPr>
          <w:rFonts w:ascii="SimHei" w:hAnsi="SimHei" w:cs="楷体" w:eastAsia="黑体"/>
          <w:color w:val="000000"/>
          <w:sz w:val="24"/>
          <w:szCs w:val="21"/>
        </w:rPr>
        <w:t>）退休及中途任用后成为正式员工者，依据其出勤月数及前项的出勤率计算出应给付的奖金。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（</w:t>
      </w:r>
      <w:r>
        <w:rPr>
          <w:rFonts w:eastAsia="黑体" w:cs="楷体" w:ascii="SimHei" w:hAnsi="SimHei"/>
          <w:color w:val="000000"/>
          <w:sz w:val="24"/>
          <w:szCs w:val="21"/>
        </w:rPr>
        <w:t>5</w:t>
      </w:r>
      <w:r>
        <w:rPr>
          <w:rFonts w:ascii="SimHei" w:hAnsi="SimHei" w:cs="楷体" w:eastAsia="黑体"/>
          <w:color w:val="000000"/>
          <w:sz w:val="24"/>
          <w:szCs w:val="21"/>
        </w:rPr>
        <w:t>）因公殉职员工，其奖金依前项计算方式计算并发放到死亡后第一年末。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七、歇业律出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第四十三条  公司因经营权的变更或经营不佳而被命令歇业时，须支付平均工资的</w:t>
      </w:r>
      <w:r>
        <w:rPr>
          <w:rFonts w:eastAsia="黑体" w:cs="楷体" w:ascii="SimHei" w:hAnsi="SimHei"/>
          <w:color w:val="000000"/>
          <w:sz w:val="24"/>
          <w:szCs w:val="21"/>
        </w:rPr>
        <w:t>60</w:t>
      </w:r>
      <w:r>
        <w:rPr>
          <w:rFonts w:ascii="SimHei" w:hAnsi="SimHei" w:cs="楷体" w:eastAsia="黑体"/>
          <w:color w:val="000000"/>
          <w:sz w:val="24"/>
          <w:szCs w:val="21"/>
        </w:rPr>
        <w:t>％作为员工的歇业津贴。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第四十四条  因天灾等不可抗拒意外灾害歇业时，歇业津贴由公司和工会协议确定。</w:t>
      </w:r>
    </w:p>
    <w:p>
      <w:pPr>
        <w:pStyle w:val="Heading1"/>
        <w:spacing w:lineRule="auto" w:line="360" w:before="0" w:after="0"/>
        <w:ind w:firstLine="424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8"/>
          <w:szCs w:val="21"/>
        </w:rPr>
        <w:t>八、附则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第四十五条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1</w:t>
      </w:r>
      <w:r>
        <w:rPr>
          <w:rFonts w:ascii="SimHei" w:hAnsi="SimHei" w:cs="楷体" w:eastAsia="黑体"/>
          <w:color w:val="000000"/>
          <w:sz w:val="24"/>
          <w:szCs w:val="21"/>
        </w:rPr>
        <w:t>．对于本规则所未规定的事项，则依人事管理规章的规定实施。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eastAsia="黑体" w:cs="楷体" w:ascii="SimHei" w:hAnsi="SimHei"/>
          <w:color w:val="000000"/>
          <w:sz w:val="24"/>
          <w:szCs w:val="21"/>
        </w:rPr>
        <w:t>2</w:t>
      </w:r>
      <w:r>
        <w:rPr>
          <w:rFonts w:ascii="SimHei" w:hAnsi="SimHei" w:cs="楷体" w:eastAsia="黑体"/>
          <w:color w:val="000000"/>
          <w:sz w:val="24"/>
          <w:szCs w:val="21"/>
        </w:rPr>
        <w:t>．对于本规则的规定产生疑义时，由人事部门作出书面说明。</w:t>
      </w:r>
    </w:p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  <w:szCs w:val="21"/>
        </w:rPr>
      </w:pPr>
      <w:r>
        <w:rPr>
          <w:rFonts w:ascii="SimHei" w:hAnsi="SimHei" w:cs="楷体" w:eastAsia="黑体"/>
          <w:color w:val="000000"/>
          <w:sz w:val="24"/>
          <w:szCs w:val="21"/>
        </w:rPr>
        <w:t>第四十六条  本规则自</w:t>
      </w:r>
      <w:r>
        <w:rPr>
          <w:rFonts w:eastAsia="黑体" w:cs="楷体" w:ascii="SimHei" w:hAnsi="SimHei"/>
          <w:color w:val="000000"/>
          <w:sz w:val="24"/>
          <w:szCs w:val="21"/>
        </w:rPr>
        <w:t>X</w:t>
      </w:r>
      <w:r>
        <w:rPr>
          <w:rFonts w:ascii="SimHei" w:hAnsi="SimHei" w:cs="楷体" w:eastAsia="黑体"/>
          <w:color w:val="000000"/>
          <w:sz w:val="24"/>
          <w:szCs w:val="21"/>
        </w:rPr>
        <w:t>年</w:t>
      </w:r>
      <w:r>
        <w:rPr>
          <w:rFonts w:eastAsia="黑体" w:cs="楷体" w:ascii="SimHei" w:hAnsi="SimHei"/>
          <w:color w:val="000000"/>
          <w:sz w:val="24"/>
          <w:szCs w:val="21"/>
        </w:rPr>
        <w:t>X</w:t>
      </w:r>
      <w:r>
        <w:rPr>
          <w:rFonts w:ascii="SimHei" w:hAnsi="SimHei" w:cs="楷体" w:eastAsia="黑体"/>
          <w:color w:val="000000"/>
          <w:sz w:val="24"/>
          <w:szCs w:val="21"/>
        </w:rPr>
        <w:t>月</w:t>
      </w:r>
      <w:r>
        <w:rPr>
          <w:rFonts w:eastAsia="黑体" w:cs="楷体" w:ascii="SimHei" w:hAnsi="SimHei"/>
          <w:color w:val="000000"/>
          <w:sz w:val="24"/>
          <w:szCs w:val="21"/>
        </w:rPr>
        <w:t>X</w:t>
      </w:r>
      <w:r>
        <w:rPr>
          <w:rFonts w:ascii="SimHei" w:hAnsi="SimHei" w:cs="楷体" w:eastAsia="黑体"/>
          <w:color w:val="000000"/>
          <w:sz w:val="24"/>
          <w:szCs w:val="21"/>
        </w:rPr>
        <w:t>日起开始执行。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Cambria">
    <w:charset w:val="00" w:characterSet="windows-1252"/>
    <w:family w:val="roman"/>
    <w:pitch w:val="default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楷体">
    <w:charset w:val="86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TextBody"/>
    <w:qFormat/>
    <w:pPr>
      <w:widowControl/>
      <w:numPr>
        <w:ilvl w:val="3"/>
        <w:numId w:val="1"/>
      </w:numPr>
      <w:spacing w:before="280" w:after="280"/>
      <w:jc w:val="start"/>
      <w:outlineLvl w:val="3"/>
    </w:pPr>
    <w:rPr>
      <w:rFonts w:ascii="宋体" w:hAnsi="宋体" w:cs="宋体"/>
      <w:b/>
      <w:bCs/>
      <w:kern w:val="0"/>
      <w:sz w:val="24"/>
    </w:rPr>
  </w:style>
  <w:style w:type="character" w:styleId="Style11">
    <w:name w:val="默认段落字体"/>
    <w:qFormat/>
    <w:rPr/>
  </w:style>
  <w:style w:type="character" w:styleId="StrongEmphasis">
    <w:name w:val="Strong Emphasis"/>
    <w:basedOn w:val="Style11"/>
    <w:qFormat/>
    <w:rPr>
      <w:b/>
      <w:bCs/>
    </w:rPr>
  </w:style>
  <w:style w:type="character" w:styleId="PageNumber">
    <w:name w:val="Page Number"/>
    <w:basedOn w:val="Style11"/>
    <w:rPr/>
  </w:style>
  <w:style w:type="character" w:styleId="InternetLink">
    <w:name w:val="Hyperlink"/>
    <w:basedOn w:val="Style11"/>
    <w:rPr>
      <w:color w:val="0000FF"/>
      <w:u w:val="single"/>
    </w:rPr>
  </w:style>
  <w:style w:type="character" w:styleId="VisitedInternetLink">
    <w:name w:val="FollowedHyperlink"/>
    <w:basedOn w:val="Style11"/>
    <w:rPr>
      <w:color w:val="800080"/>
      <w:u w:val="single"/>
    </w:rPr>
  </w:style>
  <w:style w:type="character" w:styleId="Char">
    <w:name w:val="标题 Char"/>
    <w:basedOn w:val="Style11"/>
    <w:qFormat/>
    <w:rPr>
      <w:rFonts w:ascii="Cambria" w:hAnsi="Cambria" w:cs="Cambria"/>
      <w:b/>
      <w:bCs/>
      <w:sz w:val="32"/>
      <w:szCs w:val="32"/>
    </w:rPr>
  </w:style>
  <w:style w:type="character" w:styleId="14p1">
    <w:name w:val="14p1"/>
    <w:basedOn w:val="Style11"/>
    <w:qFormat/>
    <w:rPr>
      <w:sz w:val="21"/>
      <w:szCs w:val="21"/>
    </w:rPr>
  </w:style>
  <w:style w:type="character" w:styleId="1Char">
    <w:name w:val="标题 1 Char"/>
    <w:basedOn w:val="Style11"/>
    <w:qFormat/>
    <w:rPr>
      <w:b/>
      <w:bCs/>
      <w:kern w:val="2"/>
      <w:sz w:val="44"/>
      <w:szCs w:val="44"/>
    </w:rPr>
  </w:style>
  <w:style w:type="paragraph" w:styleId="Heading">
    <w:name w:val="Heading"/>
    <w:basedOn w:val="Normal"/>
    <w:next w:val="Normal"/>
    <w:qFormat/>
    <w:pPr>
      <w:spacing w:lineRule="atLeast" w:line="312" w:before="240" w:after="60"/>
      <w:jc w:val="center"/>
      <w:textAlignment w:val="baseline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nt9">
    <w:name w:val="font9"/>
    <w:basedOn w:val="Normal"/>
    <w:qFormat/>
    <w:pPr>
      <w:widowControl/>
      <w:spacing w:before="280" w:after="280"/>
      <w:jc w:val="start"/>
    </w:pPr>
    <w:rPr>
      <w:rFonts w:ascii="宋体" w:hAnsi="宋体" w:cs="宋体"/>
      <w:b/>
      <w:bCs/>
      <w:kern w:val="0"/>
      <w:szCs w:val="21"/>
    </w:rPr>
  </w:style>
  <w:style w:type="paragraph" w:styleId="Font5">
    <w:name w:val="font5"/>
    <w:basedOn w:val="Normal"/>
    <w:qFormat/>
    <w:pPr>
      <w:widowControl/>
      <w:spacing w:before="280" w:after="280"/>
      <w:jc w:val="start"/>
    </w:pPr>
    <w:rPr>
      <w:rFonts w:ascii="宋体" w:hAnsi="宋体" w:cs="宋体"/>
      <w:b/>
      <w:bCs/>
      <w:kern w:val="0"/>
      <w:sz w:val="32"/>
      <w:szCs w:val="32"/>
    </w:rPr>
  </w:style>
  <w:style w:type="paragraph" w:styleId="Font12">
    <w:name w:val="font12"/>
    <w:basedOn w:val="Normal"/>
    <w:qFormat/>
    <w:pPr>
      <w:widowControl/>
      <w:spacing w:before="280" w:after="280"/>
      <w:jc w:val="start"/>
    </w:pPr>
    <w:rPr>
      <w:rFonts w:ascii="宋体" w:hAnsi="宋体" w:cs="宋体"/>
      <w:b/>
      <w:bCs/>
      <w:kern w:val="0"/>
      <w:szCs w:val="21"/>
      <w:u w:val="single"/>
    </w:rPr>
  </w:style>
  <w:style w:type="paragraph" w:styleId="Font8">
    <w:name w:val="font8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Cs w:val="21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2">
    <w:name w:val="日期"/>
    <w:basedOn w:val="Normal"/>
    <w:next w:val="Normal"/>
    <w:qFormat/>
    <w:pPr>
      <w:ind w:start="100" w:hanging="0"/>
    </w:pPr>
    <w:rPr/>
  </w:style>
  <w:style w:type="paragraph" w:styleId="TextBodyIndent">
    <w:name w:val="Body Text Indent"/>
    <w:basedOn w:val="Normal"/>
    <w:pPr>
      <w:ind w:start="416" w:hanging="0"/>
    </w:pPr>
    <w:rPr>
      <w:rFonts w:ascii="宋体" w:hAnsi="宋体" w:cs="宋体"/>
      <w:szCs w:val="20"/>
    </w:rPr>
  </w:style>
  <w:style w:type="paragraph" w:styleId="Style13">
    <w:name w:val="正文缩进"/>
    <w:basedOn w:val="Normal"/>
    <w:qFormat/>
    <w:pPr>
      <w:ind w:firstLine="420"/>
    </w:pPr>
    <w:rPr>
      <w:szCs w:val="20"/>
    </w:rPr>
  </w:style>
  <w:style w:type="paragraph" w:styleId="Xl24">
    <w:name w:val="xl24"/>
    <w:basedOn w:val="Normal"/>
    <w:qFormat/>
    <w:pPr>
      <w:widowControl/>
      <w:spacing w:before="280" w:after="280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styleId="Font11">
    <w:name w:val="font11"/>
    <w:basedOn w:val="Normal"/>
    <w:qFormat/>
    <w:pPr>
      <w:widowControl/>
      <w:spacing w:before="280" w:after="280"/>
      <w:jc w:val="start"/>
    </w:pPr>
    <w:rPr>
      <w:b/>
      <w:bCs/>
      <w:kern w:val="0"/>
      <w:szCs w:val="21"/>
    </w:rPr>
  </w:style>
  <w:style w:type="paragraph" w:styleId="Font7">
    <w:name w:val="font7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18"/>
      <w:szCs w:val="18"/>
    </w:rPr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Xl63">
    <w:name w:val="xl63"/>
    <w:basedOn w:val="Normal"/>
    <w:qFormat/>
    <w:pPr>
      <w:widowControl/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28">
    <w:name w:val="xl28"/>
    <w:basedOn w:val="Normal"/>
    <w:qFormat/>
    <w:pPr>
      <w:widowControl/>
      <w:pBdr>
        <w:top w:val="double" w:sz="6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42">
    <w:name w:val="xl42"/>
    <w:basedOn w:val="Normal"/>
    <w:qFormat/>
    <w:pPr>
      <w:widowControl/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39">
    <w:name w:val="xl3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76">
    <w:name w:val="xl7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kern w:val="0"/>
      <w:szCs w:val="21"/>
    </w:rPr>
  </w:style>
  <w:style w:type="paragraph" w:styleId="Xl35">
    <w:name w:val="xl35"/>
    <w:basedOn w:val="Normal"/>
    <w:qFormat/>
    <w:pPr>
      <w:widowControl/>
      <w:pBdr>
        <w:left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14p">
    <w:name w:val="14p"/>
    <w:basedOn w:val="Normal"/>
    <w:qFormat/>
    <w:pPr>
      <w:widowControl/>
      <w:spacing w:lineRule="atLeast" w:line="300" w:before="280" w:after="280"/>
      <w:jc w:val="start"/>
    </w:pPr>
    <w:rPr>
      <w:rFonts w:ascii="宋体" w:hAnsi="宋体" w:cs="宋体"/>
      <w:kern w:val="0"/>
      <w:szCs w:val="21"/>
    </w:rPr>
  </w:style>
  <w:style w:type="paragraph" w:styleId="Xl33">
    <w:name w:val="xl33"/>
    <w:basedOn w:val="Normal"/>
    <w:qFormat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27">
    <w:name w:val="xl27"/>
    <w:basedOn w:val="Normal"/>
    <w:qFormat/>
    <w:pPr>
      <w:widowControl/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61">
    <w:name w:val="xl61"/>
    <w:basedOn w:val="Normal"/>
    <w:qFormat/>
    <w:pPr>
      <w:widowControl/>
      <w:pBdr>
        <w:top w:val="double" w:sz="6" w:space="0" w:color="000000"/>
        <w:bottom w:val="single" w:sz="4" w:space="0" w:color="000000"/>
        <w:right w:val="double" w:sz="6" w:space="0" w:color="000000"/>
      </w:pBdr>
      <w:spacing w:before="280" w:after="280"/>
      <w:jc w:val="start"/>
      <w:textAlignment w:val="center"/>
    </w:pPr>
    <w:rPr>
      <w:b/>
      <w:bCs/>
      <w:kern w:val="0"/>
      <w:szCs w:val="21"/>
    </w:rPr>
  </w:style>
  <w:style w:type="paragraph" w:styleId="Xl55">
    <w:name w:val="xl55"/>
    <w:basedOn w:val="Normal"/>
    <w:qFormat/>
    <w:pPr>
      <w:widowControl/>
      <w:pBdr>
        <w:top w:val="single" w:sz="4" w:space="0" w:color="000000"/>
        <w:left w:val="double" w:sz="6" w:space="0" w:color="000000"/>
        <w:bottom w:val="double" w:sz="6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32">
    <w:name w:val="xl3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53">
    <w:name w:val="xl53"/>
    <w:basedOn w:val="Normal"/>
    <w:qFormat/>
    <w:pPr>
      <w:widowControl/>
      <w:pBdr>
        <w:top w:val="double" w:sz="6" w:space="0" w:color="000000"/>
        <w:bottom w:val="single" w:sz="4" w:space="0" w:color="000000"/>
      </w:pBdr>
      <w:spacing w:before="280" w:after="280"/>
      <w:jc w:val="start"/>
      <w:textAlignment w:val="center"/>
    </w:pPr>
    <w:rPr>
      <w:rFonts w:ascii="宋体" w:hAnsi="宋体" w:cs="宋体"/>
      <w:b/>
      <w:bCs/>
      <w:kern w:val="0"/>
      <w:szCs w:val="21"/>
      <w:u w:val="single"/>
    </w:rPr>
  </w:style>
  <w:style w:type="paragraph" w:styleId="Xl51">
    <w:name w:val="xl51"/>
    <w:basedOn w:val="Normal"/>
    <w:qFormat/>
    <w:pPr>
      <w:widowControl/>
      <w:pBdr>
        <w:top w:val="double" w:sz="6" w:space="0" w:color="000000"/>
        <w:left w:val="double" w:sz="6" w:space="0" w:color="000000"/>
        <w:bottom w:val="single" w:sz="4" w:space="0" w:color="000000"/>
      </w:pBdr>
      <w:spacing w:before="280" w:after="280"/>
      <w:jc w:val="start"/>
      <w:textAlignment w:val="center"/>
    </w:pPr>
    <w:rPr>
      <w:b/>
      <w:bCs/>
      <w:kern w:val="0"/>
      <w:szCs w:val="21"/>
    </w:rPr>
  </w:style>
  <w:style w:type="paragraph" w:styleId="Xl31">
    <w:name w:val="xl3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46">
    <w:name w:val="xl46"/>
    <w:basedOn w:val="Normal"/>
    <w:qFormat/>
    <w:pPr>
      <w:widowControl/>
      <w:pBdr>
        <w:left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54">
    <w:name w:val="xl54"/>
    <w:basedOn w:val="Normal"/>
    <w:qFormat/>
    <w:pPr>
      <w:widowControl/>
      <w:pBdr>
        <w:top w:val="double" w:sz="6" w:space="0" w:color="000000"/>
        <w:bottom w:val="single" w:sz="4" w:space="0" w:color="000000"/>
        <w:right w:val="double" w:sz="6" w:space="0" w:color="000000"/>
      </w:pBdr>
      <w:spacing w:before="280" w:after="280"/>
      <w:jc w:val="start"/>
      <w:textAlignment w:val="center"/>
    </w:pPr>
    <w:rPr>
      <w:rFonts w:ascii="宋体" w:hAnsi="宋体" w:cs="宋体"/>
      <w:b/>
      <w:bCs/>
      <w:kern w:val="0"/>
      <w:szCs w:val="21"/>
      <w:u w:val="single"/>
    </w:rPr>
  </w:style>
  <w:style w:type="paragraph" w:styleId="Xl45">
    <w:name w:val="xl45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double" w:sz="6" w:space="0" w:color="000000"/>
      </w:pBdr>
      <w:spacing w:before="280" w:after="280"/>
      <w:jc w:val="center"/>
      <w:textAlignment w:val="center"/>
    </w:pPr>
    <w:rPr>
      <w:kern w:val="0"/>
      <w:szCs w:val="21"/>
    </w:rPr>
  </w:style>
  <w:style w:type="paragraph" w:styleId="Xl82">
    <w:name w:val="xl82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280" w:after="280"/>
      <w:jc w:val="start"/>
      <w:textAlignment w:val="top"/>
    </w:pPr>
    <w:rPr>
      <w:rFonts w:ascii="宋体" w:hAnsi="宋体" w:cs="宋体"/>
      <w:kern w:val="0"/>
      <w:szCs w:val="21"/>
    </w:rPr>
  </w:style>
  <w:style w:type="paragraph" w:styleId="Xl37">
    <w:name w:val="xl3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77">
    <w:name w:val="xl7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start"/>
      <w:textAlignment w:val="top"/>
    </w:pPr>
    <w:rPr>
      <w:rFonts w:ascii="宋体" w:hAnsi="宋体" w:cs="宋体"/>
      <w:kern w:val="0"/>
      <w:szCs w:val="21"/>
    </w:rPr>
  </w:style>
  <w:style w:type="paragraph" w:styleId="Xl36">
    <w:name w:val="xl36"/>
    <w:basedOn w:val="Normal"/>
    <w:qFormat/>
    <w:pPr>
      <w:widowControl/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26">
    <w:name w:val="xl26"/>
    <w:basedOn w:val="Normal"/>
    <w:qFormat/>
    <w:pPr>
      <w:widowControl/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29">
    <w:name w:val="xl29"/>
    <w:basedOn w:val="Normal"/>
    <w:qFormat/>
    <w:pPr>
      <w:widowControl/>
      <w:pBdr>
        <w:top w:val="single" w:sz="4" w:space="0" w:color="000000"/>
        <w:left w:val="double" w:sz="6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59">
    <w:name w:val="xl59"/>
    <w:basedOn w:val="Normal"/>
    <w:qFormat/>
    <w:pPr>
      <w:widowControl/>
      <w:pBdr>
        <w:top w:val="double" w:sz="6" w:space="0" w:color="000000"/>
        <w:left w:val="double" w:sz="6" w:space="0" w:color="000000"/>
        <w:bottom w:val="single" w:sz="4" w:space="0" w:color="000000"/>
      </w:pBdr>
      <w:spacing w:before="280" w:after="280"/>
      <w:jc w:val="start"/>
      <w:textAlignment w:val="center"/>
    </w:pPr>
    <w:rPr>
      <w:b/>
      <w:bCs/>
      <w:kern w:val="0"/>
      <w:szCs w:val="21"/>
    </w:rPr>
  </w:style>
  <w:style w:type="paragraph" w:styleId="Xl41">
    <w:name w:val="xl4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kern w:val="0"/>
      <w:szCs w:val="21"/>
    </w:rPr>
  </w:style>
  <w:style w:type="paragraph" w:styleId="Font10">
    <w:name w:val="font10"/>
    <w:basedOn w:val="Normal"/>
    <w:qFormat/>
    <w:pPr>
      <w:widowControl/>
      <w:spacing w:before="280" w:after="280"/>
      <w:jc w:val="start"/>
    </w:pPr>
    <w:rPr>
      <w:kern w:val="0"/>
      <w:szCs w:val="21"/>
    </w:rPr>
  </w:style>
  <w:style w:type="paragraph" w:styleId="Font6">
    <w:name w:val="font6"/>
    <w:basedOn w:val="Normal"/>
    <w:qFormat/>
    <w:pPr>
      <w:widowControl/>
      <w:spacing w:before="280" w:after="280"/>
      <w:jc w:val="start"/>
    </w:pPr>
    <w:rPr>
      <w:b/>
      <w:bCs/>
      <w:kern w:val="0"/>
      <w:sz w:val="32"/>
      <w:szCs w:val="32"/>
    </w:rPr>
  </w:style>
  <w:style w:type="paragraph" w:styleId="Line18">
    <w:name w:val="line18"/>
    <w:basedOn w:val="Normal"/>
    <w:qFormat/>
    <w:pPr>
      <w:widowControl/>
      <w:spacing w:lineRule="atLeast" w:line="270" w:before="280" w:after="280"/>
      <w:jc w:val="start"/>
    </w:pPr>
    <w:rPr>
      <w:rFonts w:ascii="Times New Roman" w:hAnsi="Times New Roman" w:cs="Times New Roman"/>
      <w:color w:val="333333"/>
      <w:kern w:val="0"/>
      <w:sz w:val="18"/>
      <w:szCs w:val="18"/>
    </w:rPr>
  </w:style>
  <w:style w:type="paragraph" w:styleId="Xl58">
    <w:name w:val="xl58"/>
    <w:basedOn w:val="Normal"/>
    <w:qFormat/>
    <w:pPr>
      <w:widowControl/>
      <w:pBdr>
        <w:top w:val="double" w:sz="6" w:space="0" w:color="000000"/>
        <w:bottom w:val="double" w:sz="6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75">
    <w:name w:val="xl75"/>
    <w:basedOn w:val="Normal"/>
    <w:qFormat/>
    <w:pPr>
      <w:widowControl/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49">
    <w:name w:val="xl49"/>
    <w:basedOn w:val="Normal"/>
    <w:qFormat/>
    <w:pPr>
      <w:widowControl/>
      <w:spacing w:before="280" w:after="280"/>
      <w:jc w:val="center"/>
      <w:textAlignment w:val="center"/>
    </w:pPr>
    <w:rPr>
      <w:kern w:val="0"/>
      <w:szCs w:val="21"/>
    </w:rPr>
  </w:style>
  <w:style w:type="paragraph" w:styleId="Xl80">
    <w:name w:val="xl80"/>
    <w:basedOn w:val="Normal"/>
    <w:qFormat/>
    <w:pPr>
      <w:widowControl/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48">
    <w:name w:val="xl48"/>
    <w:basedOn w:val="Normal"/>
    <w:qFormat/>
    <w:pPr>
      <w:widowControl/>
      <w:spacing w:before="280" w:after="280"/>
      <w:jc w:val="center"/>
      <w:textAlignment w:val="center"/>
    </w:pPr>
    <w:rPr>
      <w:b/>
      <w:bCs/>
      <w:kern w:val="0"/>
      <w:szCs w:val="21"/>
    </w:rPr>
  </w:style>
  <w:style w:type="paragraph" w:styleId="Xl69">
    <w:name w:val="xl69"/>
    <w:basedOn w:val="Normal"/>
    <w:qFormat/>
    <w:pPr>
      <w:widowControl/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25">
    <w:name w:val="xl25"/>
    <w:basedOn w:val="Normal"/>
    <w:qFormat/>
    <w:pPr>
      <w:widowControl/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30">
    <w:name w:val="xl3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44">
    <w:name w:val="xl44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280" w:after="280"/>
      <w:jc w:val="center"/>
      <w:textAlignment w:val="center"/>
    </w:pPr>
    <w:rPr>
      <w:kern w:val="0"/>
      <w:szCs w:val="21"/>
    </w:rPr>
  </w:style>
  <w:style w:type="paragraph" w:styleId="Xl60">
    <w:name w:val="xl60"/>
    <w:basedOn w:val="Normal"/>
    <w:qFormat/>
    <w:pPr>
      <w:widowControl/>
      <w:pBdr>
        <w:top w:val="double" w:sz="6" w:space="0" w:color="000000"/>
        <w:bottom w:val="single" w:sz="4" w:space="0" w:color="000000"/>
      </w:pBdr>
      <w:spacing w:before="280" w:after="280"/>
      <w:jc w:val="start"/>
      <w:textAlignment w:val="center"/>
    </w:pPr>
    <w:rPr>
      <w:b/>
      <w:bCs/>
      <w:kern w:val="0"/>
      <w:szCs w:val="21"/>
    </w:rPr>
  </w:style>
  <w:style w:type="paragraph" w:styleId="Mail12p">
    <w:name w:val="mail12p"/>
    <w:basedOn w:val="Normal"/>
    <w:qFormat/>
    <w:pPr>
      <w:widowControl/>
      <w:spacing w:lineRule="atLeast" w:line="270" w:before="280" w:after="280"/>
      <w:jc w:val="start"/>
    </w:pPr>
    <w:rPr>
      <w:rFonts w:ascii="宋体" w:hAnsi="宋体" w:cs="宋体"/>
      <w:kern w:val="0"/>
      <w:sz w:val="18"/>
      <w:szCs w:val="18"/>
    </w:rPr>
  </w:style>
  <w:style w:type="paragraph" w:styleId="Xl56">
    <w:name w:val="xl56"/>
    <w:basedOn w:val="Normal"/>
    <w:qFormat/>
    <w:pPr>
      <w:widowControl/>
      <w:pBdr>
        <w:top w:val="single" w:sz="4" w:space="0" w:color="000000"/>
        <w:bottom w:val="double" w:sz="6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47">
    <w:name w:val="xl47"/>
    <w:basedOn w:val="Normal"/>
    <w:qFormat/>
    <w:pPr>
      <w:widowControl/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38">
    <w:name w:val="xl3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43">
    <w:name w:val="xl43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62">
    <w:name w:val="xl62"/>
    <w:basedOn w:val="Normal"/>
    <w:qFormat/>
    <w:pPr>
      <w:widowControl/>
      <w:pBdr>
        <w:top w:val="single" w:sz="4" w:space="0" w:color="000000"/>
        <w:left w:val="double" w:sz="6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57">
    <w:name w:val="xl57"/>
    <w:basedOn w:val="Normal"/>
    <w:qFormat/>
    <w:pPr>
      <w:widowControl/>
      <w:pBdr>
        <w:top w:val="single" w:sz="4" w:space="0" w:color="000000"/>
        <w:bottom w:val="double" w:sz="6" w:space="0" w:color="000000"/>
        <w:right w:val="double" w:sz="6" w:space="0" w:color="000000"/>
      </w:pBdr>
      <w:spacing w:before="280" w:after="280"/>
      <w:jc w:val="start"/>
      <w:textAlignment w:val="center"/>
    </w:pPr>
    <w:rPr>
      <w:rFonts w:ascii="宋体" w:hAnsi="宋体" w:cs="宋体"/>
      <w:kern w:val="0"/>
      <w:szCs w:val="21"/>
    </w:rPr>
  </w:style>
  <w:style w:type="paragraph" w:styleId="Xl50">
    <w:name w:val="xl50"/>
    <w:basedOn w:val="Normal"/>
    <w:qFormat/>
    <w:pPr>
      <w:widowControl/>
      <w:pBdr>
        <w:top w:val="double" w:sz="6" w:space="0" w:color="000000"/>
        <w:bottom w:val="double" w:sz="6" w:space="0" w:color="000000"/>
      </w:pBdr>
      <w:spacing w:before="280" w:after="280"/>
      <w:jc w:val="center"/>
      <w:textAlignment w:val="center"/>
    </w:pPr>
    <w:rPr>
      <w:kern w:val="0"/>
      <w:szCs w:val="21"/>
    </w:rPr>
  </w:style>
  <w:style w:type="paragraph" w:styleId="12p">
    <w:name w:val="12p"/>
    <w:basedOn w:val="Normal"/>
    <w:qFormat/>
    <w:pPr>
      <w:widowControl/>
      <w:spacing w:lineRule="atLeast" w:line="240" w:before="280" w:after="280"/>
      <w:jc w:val="start"/>
    </w:pPr>
    <w:rPr>
      <w:rFonts w:ascii="宋体" w:hAnsi="宋体" w:cs="宋体"/>
      <w:kern w:val="0"/>
      <w:sz w:val="18"/>
      <w:szCs w:val="18"/>
    </w:rPr>
  </w:style>
  <w:style w:type="paragraph" w:styleId="Xl68">
    <w:name w:val="xl68"/>
    <w:basedOn w:val="Normal"/>
    <w:qFormat/>
    <w:pPr>
      <w:widowControl/>
      <w:pBdr>
        <w:top w:val="single" w:sz="4" w:space="0" w:color="000000"/>
        <w:bottom w:val="double" w:sz="6" w:space="0" w:color="000000"/>
        <w:right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66">
    <w:name w:val="xl66"/>
    <w:basedOn w:val="Normal"/>
    <w:qFormat/>
    <w:pPr>
      <w:widowControl/>
      <w:pBdr>
        <w:left w:val="double" w:sz="6" w:space="0" w:color="000000"/>
        <w:bottom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40">
    <w:name w:val="xl40"/>
    <w:basedOn w:val="Normal"/>
    <w:qFormat/>
    <w:pPr>
      <w:widowControl/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79">
    <w:name w:val="xl79"/>
    <w:basedOn w:val="Normal"/>
    <w:qFormat/>
    <w:pPr>
      <w:widowControl/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styleId="Xl34">
    <w:name w:val="xl34"/>
    <w:basedOn w:val="Normal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52">
    <w:name w:val="xl52"/>
    <w:basedOn w:val="Normal"/>
    <w:qFormat/>
    <w:pPr>
      <w:widowControl/>
      <w:pBdr>
        <w:top w:val="double" w:sz="6" w:space="0" w:color="000000"/>
        <w:bottom w:val="single" w:sz="4" w:space="0" w:color="000000"/>
      </w:pBdr>
      <w:spacing w:before="280" w:after="280"/>
      <w:jc w:val="start"/>
      <w:textAlignment w:val="center"/>
    </w:pPr>
    <w:rPr>
      <w:b/>
      <w:bCs/>
      <w:kern w:val="0"/>
      <w:szCs w:val="21"/>
    </w:rPr>
  </w:style>
  <w:style w:type="paragraph" w:styleId="Xl83">
    <w:name w:val="xl83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double" w:sz="6" w:space="0" w:color="000000"/>
      </w:pBdr>
      <w:spacing w:before="280" w:after="280"/>
      <w:jc w:val="start"/>
      <w:textAlignment w:val="top"/>
    </w:pPr>
    <w:rPr>
      <w:rFonts w:ascii="宋体" w:hAnsi="宋体" w:cs="宋体"/>
      <w:kern w:val="0"/>
      <w:szCs w:val="21"/>
    </w:rPr>
  </w:style>
  <w:style w:type="paragraph" w:styleId="Xl64">
    <w:name w:val="xl64"/>
    <w:basedOn w:val="Normal"/>
    <w:qFormat/>
    <w:pPr>
      <w:widowControl/>
      <w:pBdr>
        <w:top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65">
    <w:name w:val="xl65"/>
    <w:basedOn w:val="Normal"/>
    <w:qFormat/>
    <w:pPr>
      <w:widowControl/>
      <w:pBdr>
        <w:left w:val="double" w:sz="6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67">
    <w:name w:val="xl67"/>
    <w:basedOn w:val="Normal"/>
    <w:qFormat/>
    <w:pPr>
      <w:widowControl/>
      <w:pBdr>
        <w:top w:val="single" w:sz="4" w:space="0" w:color="000000"/>
        <w:bottom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Xl70">
    <w:name w:val="xl70"/>
    <w:basedOn w:val="Normal"/>
    <w:qFormat/>
    <w:pPr>
      <w:widowControl/>
      <w:pBdr>
        <w:bottom w:val="double" w:sz="6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styleId="Xl71">
    <w:name w:val="xl71"/>
    <w:basedOn w:val="Normal"/>
    <w:qFormat/>
    <w:pPr>
      <w:widowControl/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72">
    <w:name w:val="xl72"/>
    <w:basedOn w:val="Normal"/>
    <w:qFormat/>
    <w:pPr>
      <w:widowControl/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styleId="Xl73">
    <w:name w:val="xl73"/>
    <w:basedOn w:val="Normal"/>
    <w:qFormat/>
    <w:pPr>
      <w:widowControl/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styleId="Xl74">
    <w:name w:val="xl74"/>
    <w:basedOn w:val="Normal"/>
    <w:qFormat/>
    <w:pPr>
      <w:widowControl/>
      <w:pBdr>
        <w:top w:val="double" w:sz="6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styleId="Xl78">
    <w:name w:val="xl7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start"/>
      <w:textAlignment w:val="top"/>
    </w:pPr>
    <w:rPr>
      <w:rFonts w:ascii="宋体" w:hAnsi="宋体" w:cs="宋体"/>
      <w:kern w:val="0"/>
      <w:szCs w:val="21"/>
    </w:rPr>
  </w:style>
  <w:style w:type="paragraph" w:styleId="Xl81">
    <w:name w:val="xl81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280" w:after="280"/>
      <w:jc w:val="center"/>
      <w:textAlignment w:val="center"/>
    </w:pPr>
    <w:rPr>
      <w:kern w:val="0"/>
      <w:szCs w:val="21"/>
    </w:rPr>
  </w:style>
  <w:style w:type="paragraph" w:styleId="Verteiler">
    <w:name w:val="Verteiler"/>
    <w:basedOn w:val="Normal"/>
    <w:qFormat/>
    <w:pPr>
      <w:widowControl/>
      <w:tabs>
        <w:tab w:val="clear" w:pos="420"/>
        <w:tab w:val="left" w:pos="1418" w:leader="none"/>
        <w:tab w:val="left" w:pos="4536" w:leader="none"/>
      </w:tabs>
      <w:spacing w:before="0" w:after="120"/>
      <w:jc w:val="start"/>
    </w:pPr>
    <w:rPr>
      <w:rFonts w:ascii="Arial" w:hAnsi="Arial" w:cs="Arial"/>
      <w:kern w:val="0"/>
      <w:sz w:val="24"/>
      <w:szCs w:val="20"/>
      <w:lang w:val="de-DE"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hr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2019-04-08T18:29:00Z</dcterms:created>
  <dc:creator>simon</dc:creator>
  <dc:description/>
  <dc:language>en-US</dc:language>
  <cp:lastModifiedBy>Administrator</cp:lastModifiedBy>
  <dcterms:modified xsi:type="dcterms:W3CDTF">2019-10-16T17:00:42Z</dcterms:modified>
  <cp:revision>5</cp:revision>
  <dc:subject/>
  <dc:title>关于中国人力资源网介绍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