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val="0"/>
        <w:snapToGrid/>
        <w:spacing w:before="313" w:beforeLines="100" w:after="312" w:afterLines="100" w:line="360" w:lineRule="auto"/>
        <w:textAlignment w:val="baseline"/>
        <w:rPr>
          <w:rFonts w:ascii="楷体" w:hAnsi="楷体" w:eastAsia="楷体"/>
          <w:color w:val="000000"/>
          <w:sz w:val="24"/>
          <w:szCs w:val="21"/>
        </w:rPr>
      </w:pPr>
      <w:bookmarkStart w:id="0" w:name="_GoBack"/>
      <w:r>
        <w:rPr>
          <w:rFonts w:ascii="SimHei" w:hAnsi="SimHei" w:eastAsia="黑体"/>
          <w:color w:val="000000"/>
          <w:sz w:val="36"/>
        </w:rPr>
        <w:t>公司职能工资管理制度</w:t>
      </w:r>
    </w:p>
    <w:bookmarkEnd w:id="0"/>
    <w:p>
      <w:pPr>
        <w:pStyle w:val="2"/>
        <w:spacing w:before="0" w:after="0" w:line="360" w:lineRule="auto"/>
        <w:ind w:firstLine="424" w:firstLineChars="151"/>
        <w:rPr>
          <w:rFonts w:ascii="楷体" w:hAnsi="楷体" w:eastAsia="楷体"/>
          <w:color w:val="000000"/>
          <w:sz w:val="24"/>
          <w:szCs w:val="21"/>
        </w:rPr>
      </w:pPr>
      <w:r>
        <w:rPr>
          <w:rFonts w:ascii="SimHei" w:hAnsi="SimHei" w:eastAsia="黑体"/>
          <w:color w:val="000000"/>
          <w:sz w:val="28"/>
          <w:szCs w:val="21"/>
        </w:rPr>
        <w:t>□总则</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第一条</w:t>
      </w:r>
      <w:r>
        <w:rPr>
          <w:rFonts w:hint="eastAsia" w:ascii="SimHei" w:hAnsi="SimHei" w:eastAsia="黑体"/>
          <w:color w:val="000000"/>
          <w:sz w:val="24"/>
          <w:szCs w:val="21"/>
        </w:rPr>
        <w:t xml:space="preserve">  </w:t>
      </w:r>
      <w:r>
        <w:rPr>
          <w:rFonts w:ascii="SimHei" w:hAnsi="SimHei" w:eastAsia="黑体"/>
          <w:color w:val="000000"/>
          <w:sz w:val="24"/>
          <w:szCs w:val="21"/>
        </w:rPr>
        <w:t>目的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本规则旨在依据人事管理规章的规定，制订员工工资的管理办法，包括工资计算期间、工资计算方法、工资支给时间和期限以及晋升、奖金给付等事宜。</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第二条</w:t>
      </w:r>
      <w:r>
        <w:rPr>
          <w:rFonts w:hint="eastAsia" w:ascii="SimHei" w:hAnsi="SimHei" w:eastAsia="黑体"/>
          <w:color w:val="000000"/>
          <w:sz w:val="24"/>
          <w:szCs w:val="21"/>
        </w:rPr>
        <w:t xml:space="preserve">  </w:t>
      </w:r>
      <w:r>
        <w:rPr>
          <w:rFonts w:ascii="SimHei" w:hAnsi="SimHei" w:eastAsia="黑体"/>
          <w:color w:val="000000"/>
          <w:sz w:val="24"/>
          <w:szCs w:val="21"/>
        </w:rPr>
        <w:t>工资决定原则</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员工工资是在综合考虑社会物价水平、公司支付能力以及员工年龄、年资、职能等级、责任大小等因素的基础上，进行工资计算的。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lang/>
        </w:rPr>
      </w:r>
      <w:r>
        <w:rPr>
          <w:rFonts w:ascii="SimHei" w:hAnsi="SimHei" w:eastAsia="黑体"/>
          <w:color w:val="000000"/>
          <w:sz w:val="24"/>
          <w:szCs w:val="21"/>
        </w:rPr>
        <w:t>工资包括基准内工资及基准外工资两大部分，其结构如下：</w:t>
      </w:r>
    </w:p>
    <w:p>
      <w:pPr>
        <w:pStyle w:val="10"/>
        <w:spacing w:line="360" w:lineRule="auto"/>
        <w:ind w:firstLine="480" w:firstLineChars="200"/>
        <w:jc w:val="both"/>
        <w:rPr>
          <w:rFonts w:hint="eastAsia" w:ascii="楷体" w:hAnsi="楷体" w:eastAsia="楷体"/>
          <w:color w:val="000000"/>
          <w:sz w:val="24"/>
          <w:szCs w:val="21"/>
        </w:rPr>
      </w:pPr>
    </w:p>
    <w:p>
      <w:pPr>
        <w:pStyle w:val="10"/>
        <w:spacing w:line="360" w:lineRule="auto"/>
        <w:ind w:firstLine="480" w:firstLineChars="200"/>
        <w:jc w:val="both"/>
        <w:rPr>
          <w:rFonts w:hint="eastAsia" w:ascii="楷体" w:hAnsi="楷体" w:eastAsia="楷体"/>
          <w:color w:val="000000"/>
          <w:sz w:val="24"/>
          <w:szCs w:val="21"/>
        </w:rPr>
      </w:pPr>
    </w:p>
    <w:p>
      <w:pPr>
        <w:pStyle w:val="10"/>
        <w:spacing w:line="360" w:lineRule="auto"/>
        <w:ind w:firstLine="480" w:firstLineChars="200"/>
        <w:jc w:val="both"/>
        <w:rPr>
          <w:rFonts w:hint="eastAsia" w:ascii="楷体" w:hAnsi="楷体" w:eastAsia="楷体"/>
          <w:color w:val="000000"/>
          <w:sz w:val="24"/>
          <w:szCs w:val="21"/>
        </w:rPr>
      </w:pPr>
    </w:p>
    <w:p>
      <w:pPr>
        <w:pStyle w:val="10"/>
        <w:spacing w:line="360" w:lineRule="auto"/>
        <w:ind w:firstLine="480" w:firstLineChars="200"/>
        <w:jc w:val="both"/>
        <w:rPr>
          <w:rFonts w:hint="eastAsia" w:ascii="楷体" w:hAnsi="楷体" w:eastAsia="楷体"/>
          <w:color w:val="000000"/>
          <w:sz w:val="24"/>
          <w:szCs w:val="21"/>
        </w:rPr>
      </w:pPr>
    </w:p>
    <w:p>
      <w:pPr>
        <w:pStyle w:val="10"/>
        <w:spacing w:line="360" w:lineRule="auto"/>
        <w:ind w:firstLine="480" w:firstLineChars="200"/>
        <w:jc w:val="both"/>
        <w:rPr>
          <w:rFonts w:hint="eastAsia" w:ascii="楷体" w:hAnsi="楷体" w:eastAsia="楷体"/>
          <w:color w:val="000000"/>
          <w:sz w:val="24"/>
          <w:szCs w:val="21"/>
        </w:rPr>
      </w:pPr>
    </w:p>
    <w:p>
      <w:pPr>
        <w:pStyle w:val="10"/>
        <w:spacing w:line="360" w:lineRule="auto"/>
        <w:ind w:firstLine="480" w:firstLineChars="200"/>
        <w:jc w:val="both"/>
        <w:rPr>
          <w:rFonts w:hint="eastAsia" w:ascii="楷体" w:hAnsi="楷体" w:eastAsia="楷体"/>
          <w:color w:val="000000"/>
          <w:sz w:val="24"/>
          <w:szCs w:val="21"/>
        </w:rPr>
      </w:pPr>
    </w:p>
    <w:p>
      <w:pPr>
        <w:pStyle w:val="10"/>
        <w:spacing w:line="360" w:lineRule="auto"/>
        <w:ind w:firstLine="480" w:firstLineChars="200"/>
        <w:jc w:val="both"/>
        <w:rPr>
          <w:rFonts w:hint="eastAsia" w:ascii="楷体" w:hAnsi="楷体" w:eastAsia="楷体"/>
          <w:color w:val="000000"/>
          <w:sz w:val="24"/>
          <w:szCs w:val="21"/>
        </w:rPr>
      </w:pPr>
    </w:p>
    <w:p>
      <w:pPr>
        <w:pStyle w:val="10"/>
        <w:spacing w:line="360" w:lineRule="auto"/>
        <w:ind w:firstLine="480" w:firstLineChars="200"/>
        <w:jc w:val="both"/>
        <w:rPr>
          <w:rFonts w:hint="eastAsia" w:ascii="楷体" w:hAnsi="楷体" w:eastAsia="楷体"/>
          <w:color w:val="000000"/>
          <w:sz w:val="24"/>
          <w:szCs w:val="21"/>
        </w:rPr>
      </w:pPr>
    </w:p>
    <w:p>
      <w:pPr>
        <w:pStyle w:val="10"/>
        <w:spacing w:line="360" w:lineRule="auto"/>
        <w:ind w:firstLine="480" w:firstLineChars="200"/>
        <w:jc w:val="both"/>
        <w:rPr>
          <w:rFonts w:hint="eastAsia" w:ascii="楷体" w:hAnsi="楷体" w:eastAsia="楷体"/>
          <w:color w:val="000000"/>
          <w:sz w:val="24"/>
          <w:szCs w:val="21"/>
        </w:rPr>
      </w:pP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第四条</w:t>
      </w:r>
      <w:r>
        <w:rPr>
          <w:rFonts w:hint="eastAsia" w:ascii="SimHei" w:hAnsi="SimHei" w:eastAsia="黑体"/>
          <w:color w:val="000000"/>
          <w:sz w:val="24"/>
          <w:szCs w:val="21"/>
        </w:rPr>
        <w:t xml:space="preserve">  </w:t>
      </w:r>
      <w:r>
        <w:rPr>
          <w:rFonts w:ascii="SimHei" w:hAnsi="SimHei" w:eastAsia="黑体"/>
          <w:color w:val="000000"/>
          <w:sz w:val="24"/>
          <w:szCs w:val="21"/>
        </w:rPr>
        <w:t>工资计算期间及工资支给日</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每一工资计算期间从上个月日起至当月日止，并于当月日支付工资。工资支给日若适逢节假时，则提早于前一日发放。</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第五条</w:t>
      </w:r>
      <w:r>
        <w:rPr>
          <w:rFonts w:hint="eastAsia" w:ascii="SimHei" w:hAnsi="SimHei" w:eastAsia="黑体"/>
          <w:color w:val="000000"/>
          <w:sz w:val="24"/>
          <w:szCs w:val="21"/>
        </w:rPr>
        <w:t xml:space="preserve">  </w:t>
      </w:r>
      <w:r>
        <w:rPr>
          <w:rFonts w:ascii="SimHei" w:hAnsi="SimHei" w:eastAsia="黑体"/>
          <w:color w:val="000000"/>
          <w:sz w:val="24"/>
          <w:szCs w:val="21"/>
        </w:rPr>
        <w:t>非常给付</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员工遇有下列情形时，可向公司申请提前领取已工作时间的工资。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(一)员工或依靠员工收入赖以维持生计者，遇有下列情况可向公司申请非常给付：①</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结婚；②死亡；③生产；④疾病或受意外灾害时。</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(二)员工被停职或被解雇时(包括惩戒解雇)。</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(三)其他获得公司同意的事情。</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上列规定除第二项外，在申请非常给付时，须由本人(本人死亡则由其家属)提出书面申请。</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第六条</w:t>
      </w:r>
      <w:r>
        <w:rPr>
          <w:rFonts w:hint="eastAsia" w:ascii="SimHei" w:hAnsi="SimHei" w:eastAsia="黑体"/>
          <w:color w:val="000000"/>
          <w:sz w:val="24"/>
          <w:szCs w:val="21"/>
        </w:rPr>
        <w:t xml:space="preserve">  </w:t>
      </w:r>
      <w:r>
        <w:rPr>
          <w:rFonts w:ascii="SimHei" w:hAnsi="SimHei" w:eastAsia="黑体"/>
          <w:color w:val="000000"/>
          <w:sz w:val="24"/>
          <w:szCs w:val="21"/>
        </w:rPr>
        <w:t>缺勤扣除</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(一)工资给付形态采用月工资制。</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(二)对于下列特别休假，原则上照常支付工资：①婚假、丧假；②年度带薪休假；③</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行使公民权时；④公司大会、教育召集时。</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(三)员工缺勤时，则依下列方式处理。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1.非公务原因负伤疾病时：</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基本工资平均每月应出勤日数×缺勤日数</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2.迟到、早退、私自外出时：</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基本工资平均每月应出勤日数×迟到、早退、私自外出的缺勤时数</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第七条</w:t>
      </w:r>
      <w:r>
        <w:rPr>
          <w:rFonts w:hint="eastAsia" w:ascii="SimHei" w:hAnsi="SimHei" w:eastAsia="黑体"/>
          <w:color w:val="000000"/>
          <w:sz w:val="24"/>
          <w:szCs w:val="21"/>
        </w:rPr>
        <w:t xml:space="preserve">  </w:t>
      </w:r>
      <w:r>
        <w:rPr>
          <w:rFonts w:ascii="SimHei" w:hAnsi="SimHei" w:eastAsia="黑体"/>
          <w:color w:val="000000"/>
          <w:sz w:val="24"/>
          <w:szCs w:val="21"/>
        </w:rPr>
        <w:t>中途任用、离职或退职的工资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在工资计算期间，中途任用、离职或退职时的工资，按当月员工实际出勤工作日数，按日计算；或以离职、退职前的出勤日数为计算的基准，其计算公式如下：</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［基准内工资(每月固定额)＋交通津贴］×出勤工作日数平均每月应出勤日数</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第八条</w:t>
      </w:r>
      <w:r>
        <w:rPr>
          <w:rFonts w:hint="eastAsia" w:ascii="SimHei" w:hAnsi="SimHei" w:eastAsia="黑体"/>
          <w:color w:val="000000"/>
          <w:sz w:val="24"/>
          <w:szCs w:val="21"/>
        </w:rPr>
        <w:t xml:space="preserve">  </w:t>
      </w:r>
      <w:r>
        <w:rPr>
          <w:rFonts w:ascii="SimHei" w:hAnsi="SimHei" w:eastAsia="黑体"/>
          <w:color w:val="000000"/>
          <w:sz w:val="24"/>
          <w:szCs w:val="21"/>
        </w:rPr>
        <w:t>工资给付及扣除额</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(一)下列规定的各项金额须从工资中直接扣除：</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1.个人工资所得税。</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2.劳工保险费(个人应负担部分)。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3.团体意外保险费。</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4.过半数员工开会同意的福利基金。</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(二)上述各项金额扣除后，员工所得应以现金形式直接交予本人。</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(三)工资所得亦可按照员工的要求，直接汇人指定的金融机构的该员工</w:t>
      </w:r>
      <w:r>
        <w:rPr>
          <w:rFonts w:hint="eastAsia" w:ascii="SimHei" w:hAnsi="SimHei" w:eastAsia="黑体"/>
          <w:color w:val="000000"/>
          <w:sz w:val="24"/>
          <w:szCs w:val="21"/>
        </w:rPr>
        <w:t>账</w:t>
      </w:r>
      <w:r>
        <w:rPr>
          <w:rFonts w:ascii="SimHei" w:hAnsi="SimHei" w:eastAsia="黑体"/>
          <w:color w:val="000000"/>
          <w:sz w:val="24"/>
          <w:szCs w:val="21"/>
        </w:rPr>
        <w:t>户内。</w:t>
      </w:r>
    </w:p>
    <w:p>
      <w:pPr>
        <w:pStyle w:val="2"/>
        <w:spacing w:before="0" w:after="0" w:line="360" w:lineRule="auto"/>
        <w:ind w:firstLine="424" w:firstLineChars="151"/>
        <w:rPr>
          <w:rFonts w:ascii="楷体" w:hAnsi="楷体" w:eastAsia="楷体"/>
          <w:color w:val="000000"/>
          <w:sz w:val="24"/>
          <w:szCs w:val="21"/>
        </w:rPr>
      </w:pPr>
      <w:r>
        <w:rPr>
          <w:rFonts w:ascii="SimHei" w:hAnsi="SimHei" w:eastAsia="黑体"/>
          <w:color w:val="000000"/>
          <w:sz w:val="28"/>
          <w:szCs w:val="21"/>
        </w:rPr>
        <w:t>□基准内工资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第九条</w:t>
      </w:r>
      <w:r>
        <w:rPr>
          <w:rFonts w:hint="eastAsia" w:ascii="SimHei" w:hAnsi="SimHei" w:eastAsia="黑体"/>
          <w:color w:val="000000"/>
          <w:sz w:val="24"/>
          <w:szCs w:val="21"/>
        </w:rPr>
        <w:t xml:space="preserve">  </w:t>
      </w:r>
      <w:r>
        <w:rPr>
          <w:rFonts w:ascii="SimHei" w:hAnsi="SimHei" w:eastAsia="黑体"/>
          <w:color w:val="000000"/>
          <w:sz w:val="24"/>
          <w:szCs w:val="21"/>
        </w:rPr>
        <w:t>基本工资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基本工资的构成包括下列三项：</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(一)年龄工资(包括初任员工的起点工资)。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(二)年资工资。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(三)职能工资。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第十条</w:t>
      </w:r>
      <w:r>
        <w:rPr>
          <w:rFonts w:hint="eastAsia" w:ascii="SimHei" w:hAnsi="SimHei" w:eastAsia="黑体"/>
          <w:color w:val="000000"/>
          <w:sz w:val="24"/>
          <w:szCs w:val="21"/>
        </w:rPr>
        <w:t xml:space="preserve">  </w:t>
      </w:r>
      <w:r>
        <w:rPr>
          <w:rFonts w:ascii="SimHei" w:hAnsi="SimHei" w:eastAsia="黑体"/>
          <w:color w:val="000000"/>
          <w:sz w:val="24"/>
          <w:szCs w:val="21"/>
        </w:rPr>
        <w:t>年龄工资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年龄工资给付的标准按下列方式处理：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w:t>
      </w:r>
      <w:r>
        <w:rPr>
          <w:rFonts w:hint="eastAsia" w:ascii="SimHei" w:hAnsi="SimHei" w:eastAsia="黑体"/>
          <w:color w:val="000000"/>
          <w:sz w:val="24"/>
          <w:szCs w:val="21"/>
        </w:rPr>
        <w:t xml:space="preserve">   </w:t>
      </w:r>
      <w:r>
        <w:rPr>
          <w:rFonts w:ascii="SimHei" w:hAnsi="SimHei" w:eastAsia="黑体"/>
          <w:color w:val="000000"/>
          <w:sz w:val="24"/>
          <w:szCs w:val="21"/>
        </w:rPr>
        <w:t>岁时，每月给付元。</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w:t>
      </w:r>
      <w:r>
        <w:rPr>
          <w:rFonts w:hint="eastAsia" w:ascii="SimHei" w:hAnsi="SimHei" w:eastAsia="黑体"/>
          <w:color w:val="000000"/>
          <w:sz w:val="24"/>
          <w:szCs w:val="21"/>
        </w:rPr>
        <w:t xml:space="preserve">   </w:t>
      </w:r>
      <w:r>
        <w:rPr>
          <w:rFonts w:ascii="SimHei" w:hAnsi="SimHei" w:eastAsia="黑体"/>
          <w:color w:val="000000"/>
          <w:sz w:val="24"/>
          <w:szCs w:val="21"/>
        </w:rPr>
        <w:t>岁时，每增加一岁则逐年增加工资元，作为给付年龄工资的标准额。</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w:t>
      </w:r>
      <w:r>
        <w:rPr>
          <w:rFonts w:hint="eastAsia" w:ascii="SimHei" w:hAnsi="SimHei" w:eastAsia="黑体"/>
          <w:color w:val="000000"/>
          <w:sz w:val="24"/>
          <w:szCs w:val="21"/>
        </w:rPr>
        <w:t xml:space="preserve">   </w:t>
      </w:r>
      <w:r>
        <w:rPr>
          <w:rFonts w:ascii="SimHei" w:hAnsi="SimHei" w:eastAsia="黑体"/>
          <w:color w:val="000000"/>
          <w:sz w:val="24"/>
          <w:szCs w:val="21"/>
        </w:rPr>
        <w:t>岁时，每增加一岁则逐年增加工资元，作为给付年龄工资的标准额。</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(四)</w:t>
      </w:r>
      <w:r>
        <w:rPr>
          <w:rFonts w:hint="eastAsia" w:ascii="SimHei" w:hAnsi="SimHei" w:eastAsia="黑体"/>
          <w:color w:val="000000"/>
          <w:sz w:val="24"/>
          <w:szCs w:val="21"/>
        </w:rPr>
        <w:t xml:space="preserve">   </w:t>
      </w:r>
      <w:r>
        <w:rPr>
          <w:rFonts w:ascii="SimHei" w:hAnsi="SimHei" w:eastAsia="黑体"/>
          <w:color w:val="000000"/>
          <w:sz w:val="24"/>
          <w:szCs w:val="21"/>
        </w:rPr>
        <w:t>岁时，每增加一岁则逐年增加工资元，作为给付年龄工资的标准额.</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(五)</w:t>
      </w:r>
      <w:r>
        <w:rPr>
          <w:rFonts w:hint="eastAsia" w:ascii="SimHei" w:hAnsi="SimHei" w:eastAsia="黑体"/>
          <w:color w:val="000000"/>
          <w:sz w:val="24"/>
          <w:szCs w:val="21"/>
        </w:rPr>
        <w:t xml:space="preserve">   </w:t>
      </w:r>
      <w:r>
        <w:rPr>
          <w:rFonts w:ascii="SimHei" w:hAnsi="SimHei" w:eastAsia="黑体"/>
          <w:color w:val="000000"/>
          <w:sz w:val="24"/>
          <w:szCs w:val="21"/>
        </w:rPr>
        <w:t>岁以上时，每年的年龄工资给付以元为上限。</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(六)上列年龄工资的施行细则依(表-1)“年龄工资表”的规定办理。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第十一条</w:t>
      </w:r>
      <w:r>
        <w:rPr>
          <w:rFonts w:hint="eastAsia" w:ascii="SimHei" w:hAnsi="SimHei" w:eastAsia="黑体"/>
          <w:color w:val="000000"/>
          <w:sz w:val="24"/>
          <w:szCs w:val="21"/>
        </w:rPr>
        <w:t xml:space="preserve">  </w:t>
      </w:r>
      <w:r>
        <w:rPr>
          <w:rFonts w:ascii="SimHei" w:hAnsi="SimHei" w:eastAsia="黑体"/>
          <w:color w:val="000000"/>
          <w:sz w:val="24"/>
          <w:szCs w:val="21"/>
        </w:rPr>
        <w:t>年资工资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(一)年资工资给付的原则是，服务满一年以上的员工方适用，并依(表-2)“年资工资简明表”的规定办理。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(二)岁以上的员工，依规定不再给付年资工资。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第十二条</w:t>
      </w:r>
      <w:r>
        <w:rPr>
          <w:rFonts w:hint="eastAsia" w:ascii="SimHei" w:hAnsi="SimHei" w:eastAsia="黑体"/>
          <w:color w:val="000000"/>
          <w:sz w:val="24"/>
          <w:szCs w:val="21"/>
        </w:rPr>
        <w:t xml:space="preserve">  </w:t>
      </w:r>
      <w:r>
        <w:rPr>
          <w:rFonts w:ascii="SimHei" w:hAnsi="SimHei" w:eastAsia="黑体"/>
          <w:color w:val="000000"/>
          <w:sz w:val="24"/>
          <w:szCs w:val="21"/>
        </w:rPr>
        <w:t>职能工资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(一)职能工资给付的原则是，依照各职层及职等的分类，根据(表-3)“职能资格表”的规定，共区分为五个职能等级，并依职等的高低决定职能工资的标准。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(二)每一职等都有最高及最低工资给付标准，公司应根据人事科所评定的员工考绩状况，依照(表-4)“职能等级运用表”的规定，办理有关职能等级、最低标准给付额、升级单价、考绩评定等事项。</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(三)各等级的职能工资，则依“职能工资表”的规定办理。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第十三条</w:t>
      </w:r>
      <w:r>
        <w:rPr>
          <w:rFonts w:hint="eastAsia" w:ascii="SimHei" w:hAnsi="SimHei" w:eastAsia="黑体"/>
          <w:color w:val="000000"/>
          <w:sz w:val="24"/>
          <w:szCs w:val="21"/>
        </w:rPr>
        <w:t xml:space="preserve">  </w:t>
      </w:r>
      <w:r>
        <w:rPr>
          <w:rFonts w:ascii="SimHei" w:hAnsi="SimHei" w:eastAsia="黑体"/>
          <w:color w:val="000000"/>
          <w:sz w:val="24"/>
          <w:szCs w:val="21"/>
        </w:rPr>
        <w:t>附加工资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从事特殊职务的专业人员，若因其职务难度高、责任重大或本身的基本工资偏低，则应以附加工资方式，给予部分或全部的调整。</w:t>
      </w:r>
    </w:p>
    <w:p>
      <w:pPr>
        <w:pStyle w:val="10"/>
        <w:spacing w:line="360" w:lineRule="auto"/>
        <w:ind w:firstLine="480" w:firstLineChars="200"/>
        <w:jc w:val="both"/>
        <w:rPr>
          <w:rFonts w:hint="eastAsia" w:ascii="楷体" w:hAnsi="楷体" w:eastAsia="楷体"/>
          <w:color w:val="000000"/>
          <w:sz w:val="24"/>
          <w:szCs w:val="21"/>
        </w:rPr>
      </w:pPr>
      <w:r>
        <w:rPr>
          <w:rFonts w:ascii="SimHei" w:hAnsi="SimHei" w:eastAsia="黑体"/>
          <w:color w:val="000000"/>
          <w:sz w:val="24"/>
          <w:szCs w:val="21"/>
        </w:rPr>
        <w:t>第十四条</w:t>
      </w:r>
      <w:r>
        <w:rPr>
          <w:rFonts w:hint="eastAsia" w:ascii="SimHei" w:hAnsi="SimHei" w:eastAsia="黑体"/>
          <w:color w:val="000000"/>
          <w:sz w:val="24"/>
          <w:szCs w:val="21"/>
        </w:rPr>
        <w:t xml:space="preserve">  </w:t>
      </w:r>
      <w:r>
        <w:rPr>
          <w:rFonts w:ascii="SimHei" w:hAnsi="SimHei" w:eastAsia="黑体"/>
          <w:color w:val="000000"/>
          <w:sz w:val="24"/>
          <w:szCs w:val="21"/>
        </w:rPr>
        <w:t>责任</w:t>
      </w:r>
      <w:r>
        <w:rPr>
          <w:rFonts w:hint="eastAsia" w:ascii="SimHei" w:hAnsi="SimHei" w:eastAsia="黑体"/>
          <w:color w:val="000000"/>
          <w:sz w:val="24"/>
          <w:szCs w:val="21"/>
        </w:rPr>
        <w:t>津贴</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责任</w:t>
      </w:r>
      <w:r>
        <w:rPr>
          <w:rFonts w:hint="eastAsia" w:ascii="SimHei" w:hAnsi="SimHei" w:eastAsia="黑体"/>
          <w:color w:val="000000"/>
          <w:sz w:val="24"/>
          <w:szCs w:val="21"/>
        </w:rPr>
        <w:t>津贴</w:t>
      </w:r>
      <w:r>
        <w:rPr>
          <w:rFonts w:ascii="SimHei" w:hAnsi="SimHei" w:eastAsia="黑体"/>
          <w:color w:val="000000"/>
          <w:sz w:val="24"/>
          <w:szCs w:val="21"/>
        </w:rPr>
        <w:t>是对具有监督管理职位者所做的支付，其具体金额依“管理职</w:t>
      </w:r>
      <w:r>
        <w:rPr>
          <w:rFonts w:hint="eastAsia" w:ascii="SimHei" w:hAnsi="SimHei" w:eastAsia="黑体"/>
          <w:color w:val="000000"/>
          <w:sz w:val="24"/>
          <w:szCs w:val="21"/>
        </w:rPr>
        <w:t>津贴</w:t>
      </w:r>
      <w:r>
        <w:rPr>
          <w:rFonts w:ascii="SimHei" w:hAnsi="SimHei" w:eastAsia="黑体"/>
          <w:color w:val="000000"/>
          <w:sz w:val="24"/>
          <w:szCs w:val="21"/>
        </w:rPr>
        <w:t>给付额表”的规定办理。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第十五条</w:t>
      </w:r>
      <w:r>
        <w:rPr>
          <w:rFonts w:hint="eastAsia" w:ascii="SimHei" w:hAnsi="SimHei" w:eastAsia="黑体"/>
          <w:color w:val="000000"/>
          <w:sz w:val="24"/>
          <w:szCs w:val="21"/>
        </w:rPr>
        <w:t xml:space="preserve">  </w:t>
      </w:r>
      <w:r>
        <w:rPr>
          <w:rFonts w:ascii="SimHei" w:hAnsi="SimHei" w:eastAsia="黑体"/>
          <w:color w:val="000000"/>
          <w:sz w:val="24"/>
          <w:szCs w:val="21"/>
        </w:rPr>
        <w:t>抚养津贴</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公司对于需负担家庭生计，并提供抚养眷属最低生活保障的员工，依下列方式办理抚养津贴的给付。</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(一)配偶，每月津贴额为</w:t>
      </w:r>
      <w:r>
        <w:rPr>
          <w:rFonts w:hint="eastAsia" w:ascii="SimHei" w:hAnsi="SimHei" w:eastAsia="黑体"/>
          <w:color w:val="000000"/>
          <w:sz w:val="24"/>
          <w:szCs w:val="21"/>
        </w:rPr>
        <w:t xml:space="preserve">  </w:t>
      </w:r>
      <w:r>
        <w:rPr>
          <w:rFonts w:ascii="SimHei" w:hAnsi="SimHei" w:eastAsia="黑体"/>
          <w:color w:val="000000"/>
          <w:sz w:val="24"/>
          <w:szCs w:val="21"/>
        </w:rPr>
        <w:t>元。</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(二)子女，每月津贴额为</w:t>
      </w:r>
      <w:r>
        <w:rPr>
          <w:rFonts w:hint="eastAsia" w:ascii="SimHei" w:hAnsi="SimHei" w:eastAsia="黑体"/>
          <w:color w:val="000000"/>
          <w:sz w:val="24"/>
          <w:szCs w:val="21"/>
        </w:rPr>
        <w:t xml:space="preserve">  </w:t>
      </w:r>
      <w:r>
        <w:rPr>
          <w:rFonts w:ascii="SimHei" w:hAnsi="SimHei" w:eastAsia="黑体"/>
          <w:color w:val="000000"/>
          <w:sz w:val="24"/>
          <w:szCs w:val="21"/>
        </w:rPr>
        <w:t>元。</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第十六条住宅津贴</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住宅津贴是为了补助员工因无自用住宅，而须租赁房屋时的津贴，其津贴标准依下列规定办理给付：</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(一)有配偶者或有抚养眷属者，每月津贴额为元。</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(二)单身者，每月津贴额为</w:t>
      </w:r>
      <w:r>
        <w:rPr>
          <w:rFonts w:hint="eastAsia" w:ascii="SimHei" w:hAnsi="SimHei" w:eastAsia="黑体"/>
          <w:color w:val="000000"/>
          <w:sz w:val="24"/>
          <w:szCs w:val="21"/>
        </w:rPr>
        <w:t xml:space="preserve">  </w:t>
      </w:r>
      <w:r>
        <w:rPr>
          <w:rFonts w:ascii="SimHei" w:hAnsi="SimHei" w:eastAsia="黑体"/>
          <w:color w:val="000000"/>
          <w:sz w:val="24"/>
          <w:szCs w:val="21"/>
        </w:rPr>
        <w:t>元。</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第十七条</w:t>
      </w:r>
      <w:r>
        <w:rPr>
          <w:rFonts w:hint="eastAsia" w:ascii="SimHei" w:hAnsi="SimHei" w:eastAsia="黑体"/>
          <w:color w:val="000000"/>
          <w:sz w:val="24"/>
          <w:szCs w:val="21"/>
        </w:rPr>
        <w:t xml:space="preserve">  </w:t>
      </w:r>
      <w:r>
        <w:rPr>
          <w:rFonts w:ascii="SimHei" w:hAnsi="SimHei" w:eastAsia="黑体"/>
          <w:color w:val="000000"/>
          <w:sz w:val="24"/>
          <w:szCs w:val="21"/>
        </w:rPr>
        <w:t>全勤及勤奋奖金</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全勤奖金是为奖励员工在每一工资计算期间内的全勤者或工作勤奋者而设立的奖励项目，其给付标准如下：</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(一)全勤者(无迟到、早退及请假者)，每月津贴额为元。</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(二)该月达成公司预定的工作目标时，每月津贴额为元。</w:t>
      </w:r>
    </w:p>
    <w:p>
      <w:pPr>
        <w:pStyle w:val="2"/>
        <w:spacing w:before="0" w:after="0" w:line="360" w:lineRule="auto"/>
        <w:ind w:firstLine="424" w:firstLineChars="151"/>
        <w:rPr>
          <w:rFonts w:ascii="楷体" w:hAnsi="楷体" w:eastAsia="楷体"/>
          <w:color w:val="000000"/>
          <w:sz w:val="24"/>
          <w:szCs w:val="21"/>
        </w:rPr>
      </w:pPr>
      <w:r>
        <w:rPr>
          <w:rFonts w:ascii="SimHei" w:hAnsi="SimHei" w:eastAsia="黑体"/>
          <w:color w:val="000000"/>
          <w:sz w:val="28"/>
          <w:szCs w:val="21"/>
        </w:rPr>
        <w:t>□基准外工资</w:t>
      </w:r>
    </w:p>
    <w:p>
      <w:pPr>
        <w:pStyle w:val="10"/>
        <w:spacing w:line="360" w:lineRule="auto"/>
        <w:ind w:firstLine="480" w:firstLineChars="200"/>
        <w:jc w:val="both"/>
        <w:rPr>
          <w:rFonts w:hint="eastAsia" w:ascii="楷体" w:hAnsi="楷体" w:eastAsia="楷体"/>
          <w:color w:val="000000"/>
          <w:sz w:val="24"/>
          <w:szCs w:val="21"/>
        </w:rPr>
      </w:pPr>
      <w:r>
        <w:rPr>
          <w:rFonts w:ascii="SimHei" w:hAnsi="SimHei" w:eastAsia="黑体"/>
          <w:color w:val="000000"/>
          <w:sz w:val="24"/>
          <w:szCs w:val="21"/>
        </w:rPr>
        <w:t>第十八条</w:t>
      </w:r>
      <w:r>
        <w:rPr>
          <w:rFonts w:hint="eastAsia" w:ascii="SimHei" w:hAnsi="SimHei" w:eastAsia="黑体"/>
          <w:color w:val="000000"/>
          <w:sz w:val="24"/>
          <w:szCs w:val="21"/>
        </w:rPr>
        <w:t xml:space="preserve">  </w:t>
      </w:r>
      <w:r>
        <w:rPr>
          <w:rFonts w:ascii="SimHei" w:hAnsi="SimHei" w:eastAsia="黑体"/>
          <w:color w:val="000000"/>
          <w:sz w:val="24"/>
          <w:szCs w:val="21"/>
        </w:rPr>
        <w:t>勤务时间外工作</w:t>
      </w:r>
      <w:r>
        <w:rPr>
          <w:rFonts w:hint="eastAsia" w:ascii="SimHei" w:hAnsi="SimHei" w:eastAsia="黑体"/>
          <w:color w:val="000000"/>
          <w:sz w:val="24"/>
          <w:szCs w:val="21"/>
        </w:rPr>
        <w:t>津贴</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(一)公司因业务上的需要，而要求员工于规定工作时间外继续完成勤务时，则应依照员工早到或夜班加班时间，采用计时制方式计算应给付的津贴额。</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(二)勤务时间外的加班津贴，则依下列方式计算(单位：元／小时)：</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基本工资+附加工资+责任津贴+住宅津贴+全勤及勤奋奖金每月平均规定勤务时数×1.33</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第十九条</w:t>
      </w:r>
      <w:r>
        <w:rPr>
          <w:rFonts w:hint="eastAsia" w:ascii="SimHei" w:hAnsi="SimHei" w:eastAsia="黑体"/>
          <w:color w:val="000000"/>
          <w:sz w:val="24"/>
          <w:szCs w:val="21"/>
        </w:rPr>
        <w:t xml:space="preserve">  </w:t>
      </w:r>
      <w:r>
        <w:rPr>
          <w:rFonts w:ascii="SimHei" w:hAnsi="SimHei" w:eastAsia="黑体"/>
          <w:color w:val="000000"/>
          <w:sz w:val="24"/>
          <w:szCs w:val="21"/>
        </w:rPr>
        <w:t>休假日工作津贴</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(一)公司因业务上的需要，要求员工在休假日返回公司执行勤务时，得支付休假日工作津贴，但翌日补休者，则不另外给付津贴。</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(二)休假日工作津贴采用计时制方式，依照下列公式进行计算(单位：元／小时)：</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基本工资+附加工资+责任津贴+住宅津贴+全勤及勤奋奖金每月平均规定勤务时数×1.50</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第二十条</w:t>
      </w:r>
      <w:r>
        <w:rPr>
          <w:rFonts w:hint="eastAsia" w:ascii="SimHei" w:hAnsi="SimHei" w:eastAsia="黑体"/>
          <w:color w:val="000000"/>
          <w:sz w:val="24"/>
          <w:szCs w:val="21"/>
        </w:rPr>
        <w:t xml:space="preserve">  </w:t>
      </w:r>
      <w:r>
        <w:rPr>
          <w:rFonts w:ascii="SimHei" w:hAnsi="SimHei" w:eastAsia="黑体"/>
          <w:color w:val="000000"/>
          <w:sz w:val="24"/>
          <w:szCs w:val="21"/>
        </w:rPr>
        <w:t>深夜工作津贴</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深夜工作津贴是对夜间从事勤务工作者所支付的津贴，计算时间是从晚上点到翌日清晨点，其计算公式是(单位：元／小时)：</w:t>
      </w:r>
    </w:p>
    <w:p>
      <w:pPr>
        <w:pStyle w:val="10"/>
        <w:spacing w:line="360" w:lineRule="auto"/>
        <w:ind w:firstLine="480" w:firstLineChars="200"/>
        <w:jc w:val="both"/>
        <w:rPr>
          <w:rFonts w:hint="eastAsia" w:ascii="楷体" w:hAnsi="楷体" w:eastAsia="楷体"/>
          <w:color w:val="000000"/>
          <w:sz w:val="24"/>
          <w:szCs w:val="21"/>
        </w:rPr>
      </w:pPr>
      <w:r>
        <w:rPr>
          <w:rFonts w:ascii="SimHei" w:hAnsi="SimHei" w:eastAsia="黑体"/>
          <w:color w:val="000000"/>
          <w:sz w:val="24"/>
          <w:szCs w:val="21"/>
        </w:rPr>
        <w:t>基本工资+附加工资+责任津贴+住宅津贴+全勤及勤奋奖金每月平均规定勤务时数×0.3</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第二十一条</w:t>
      </w:r>
      <w:r>
        <w:rPr>
          <w:rFonts w:hint="eastAsia" w:ascii="SimHei" w:hAnsi="SimHei" w:eastAsia="黑体"/>
          <w:color w:val="000000"/>
          <w:sz w:val="24"/>
          <w:szCs w:val="21"/>
        </w:rPr>
        <w:t xml:space="preserve">  </w:t>
      </w:r>
      <w:r>
        <w:rPr>
          <w:rFonts w:ascii="SimHei" w:hAnsi="SimHei" w:eastAsia="黑体"/>
          <w:color w:val="000000"/>
          <w:sz w:val="24"/>
          <w:szCs w:val="21"/>
        </w:rPr>
        <w:t>勤务时间外工作津贴的特例</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担任管理职位者，不适用第十八条及第十九条的规定。</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第二十二条</w:t>
      </w:r>
      <w:r>
        <w:rPr>
          <w:rFonts w:hint="eastAsia" w:ascii="SimHei" w:hAnsi="SimHei" w:eastAsia="黑体"/>
          <w:color w:val="000000"/>
          <w:sz w:val="24"/>
          <w:szCs w:val="21"/>
        </w:rPr>
        <w:t xml:space="preserve">  </w:t>
      </w:r>
      <w:r>
        <w:rPr>
          <w:rFonts w:ascii="SimHei" w:hAnsi="SimHei" w:eastAsia="黑体"/>
          <w:color w:val="000000"/>
          <w:sz w:val="24"/>
          <w:szCs w:val="21"/>
        </w:rPr>
        <w:t>交通津贴</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员工从住宅到公司上班时，单程距离达5公里以上者，则应给付等于公共运输部门所发行的定期来回月票金额，以此作为交通贴支给的标准。</w:t>
      </w:r>
    </w:p>
    <w:p>
      <w:pPr>
        <w:pStyle w:val="2"/>
        <w:spacing w:before="0" w:after="0" w:line="360" w:lineRule="auto"/>
        <w:ind w:firstLine="424" w:firstLineChars="151"/>
        <w:rPr>
          <w:rFonts w:ascii="楷体" w:hAnsi="楷体" w:eastAsia="楷体"/>
          <w:color w:val="000000"/>
          <w:sz w:val="24"/>
          <w:szCs w:val="21"/>
        </w:rPr>
      </w:pPr>
      <w:r>
        <w:rPr>
          <w:rFonts w:ascii="SimHei" w:hAnsi="SimHei" w:eastAsia="黑体"/>
          <w:color w:val="000000"/>
          <w:sz w:val="28"/>
          <w:szCs w:val="21"/>
        </w:rPr>
        <w:t>□调薪及升级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第二十三条</w:t>
      </w:r>
      <w:r>
        <w:rPr>
          <w:rFonts w:hint="eastAsia" w:ascii="SimHei" w:hAnsi="SimHei" w:eastAsia="黑体"/>
          <w:color w:val="000000"/>
          <w:sz w:val="24"/>
          <w:szCs w:val="21"/>
        </w:rPr>
        <w:t xml:space="preserve">  </w:t>
      </w:r>
      <w:r>
        <w:rPr>
          <w:rFonts w:ascii="SimHei" w:hAnsi="SimHei" w:eastAsia="黑体"/>
          <w:color w:val="000000"/>
          <w:sz w:val="24"/>
          <w:szCs w:val="21"/>
        </w:rPr>
        <w:t>调薪</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员工工资于每年12月31日视公司经营成果增长比例，进行定期调薪。</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第二十四条</w:t>
      </w:r>
      <w:r>
        <w:rPr>
          <w:rFonts w:hint="eastAsia" w:ascii="SimHei" w:hAnsi="SimHei" w:eastAsia="黑体"/>
          <w:color w:val="000000"/>
          <w:sz w:val="24"/>
          <w:szCs w:val="21"/>
        </w:rPr>
        <w:t xml:space="preserve">  </w:t>
      </w:r>
      <w:r>
        <w:rPr>
          <w:rFonts w:ascii="SimHei" w:hAnsi="SimHei" w:eastAsia="黑体"/>
          <w:color w:val="000000"/>
          <w:sz w:val="24"/>
          <w:szCs w:val="21"/>
        </w:rPr>
        <w:t>调薪分类</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定期调薪包括自动调薪和核定调薪两大部分，其规定如下：</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(一)自动调薪是在基本工资范围内所进行的工资调升包括年龄工资和年资工资两项，其计算方法按第十条(年龄工资)和第十一条(年资工资)的规定办理。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(二)核定调薪考核的原则是，对于基本工资中的职能工资，根据人事科评估的员工的年度职务完成能力、工作绩效、责任度大小、协调性、贡献度等考核结果，依据第十二条(职能工资)的规定办理。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第二十五条</w:t>
      </w:r>
      <w:r>
        <w:rPr>
          <w:rFonts w:hint="eastAsia" w:ascii="SimHei" w:hAnsi="SimHei" w:eastAsia="黑体"/>
          <w:color w:val="000000"/>
          <w:sz w:val="24"/>
          <w:szCs w:val="21"/>
        </w:rPr>
        <w:t xml:space="preserve">  </w:t>
      </w:r>
      <w:r>
        <w:rPr>
          <w:rFonts w:ascii="SimHei" w:hAnsi="SimHei" w:eastAsia="黑体"/>
          <w:color w:val="000000"/>
          <w:sz w:val="24"/>
          <w:szCs w:val="21"/>
        </w:rPr>
        <w:t>基本工资提高的原则</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(一)公司为配合社会物价水平的提高及员工因抚养眷属人数的变化，而使得其经济状况有所改善时，给予员工以基本工资提高。</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(二)基本工资提高的原则，根据附加工资的规定办理。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(三)基本工资提高的计算，原则上按第二十四条的规定办理。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第二十六条</w:t>
      </w:r>
      <w:r>
        <w:rPr>
          <w:rFonts w:hint="eastAsia" w:ascii="SimHei" w:hAnsi="SimHei" w:eastAsia="黑体"/>
          <w:color w:val="000000"/>
          <w:sz w:val="24"/>
          <w:szCs w:val="21"/>
        </w:rPr>
        <w:t xml:space="preserve">  </w:t>
      </w:r>
      <w:r>
        <w:rPr>
          <w:rFonts w:ascii="SimHei" w:hAnsi="SimHei" w:eastAsia="黑体"/>
          <w:color w:val="000000"/>
          <w:sz w:val="24"/>
          <w:szCs w:val="21"/>
        </w:rPr>
        <w:t>临时调薪</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(一)员工遇有下列情形时，可由其部门直属主管人员向人事科申请临时调薪，以兹鼓励。</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1.有特殊功劳表现。</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2.中途录用的员工、具有优秀的技能与成绩。</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3.为同行业间竞相争取的人才。</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(二)临时调薪的标准，则依照第十二条(职能工资)或第十三条(附加工资)的规定，采用部分调整或全部调整的办法。</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第二十七条</w:t>
      </w:r>
      <w:r>
        <w:rPr>
          <w:rFonts w:hint="eastAsia" w:ascii="SimHei" w:hAnsi="SimHei" w:eastAsia="黑体"/>
          <w:color w:val="000000"/>
          <w:sz w:val="24"/>
          <w:szCs w:val="21"/>
        </w:rPr>
        <w:t xml:space="preserve">  </w:t>
      </w:r>
      <w:r>
        <w:rPr>
          <w:rFonts w:ascii="SimHei" w:hAnsi="SimHei" w:eastAsia="黑体"/>
          <w:color w:val="000000"/>
          <w:sz w:val="24"/>
          <w:szCs w:val="21"/>
        </w:rPr>
        <w:t>升级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(一)公司视员工的表现，审核员工的职务完成能力、责任度大小、企划能力、判断力、工作绩效等事项后，根据第十二条(职能工资的等级晋升标准)的规定办理。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(二)员工升级后的工资，则就调升的当月起，开始支付调整后的工资。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第二十八条</w:t>
      </w:r>
      <w:r>
        <w:rPr>
          <w:rFonts w:hint="eastAsia" w:ascii="SimHei" w:hAnsi="SimHei" w:eastAsia="黑体"/>
          <w:color w:val="000000"/>
          <w:sz w:val="24"/>
          <w:szCs w:val="21"/>
        </w:rPr>
        <w:t xml:space="preserve">  </w:t>
      </w:r>
      <w:r>
        <w:rPr>
          <w:rFonts w:ascii="SimHei" w:hAnsi="SimHei" w:eastAsia="黑体"/>
          <w:color w:val="000000"/>
          <w:sz w:val="24"/>
          <w:szCs w:val="21"/>
        </w:rPr>
        <w:t>初任员工的工资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(一)初入社会的应届毕业生，经公司甄选后成为正式员工时，其工资给付的原则，除衡量社会物价变化及一般同业间的初任工资水平外，均依规定的基准内工资标准办理。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(二)初任员工的基本工资给付标准应按下列规定办理：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1.年龄工资……第十条</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2.年资工资……第十一条</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3.职能工资……第十二条</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(1)中学毕业Ⅰ等1级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(2)高中毕业Ⅰ等2级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(3)大中专毕业Ⅰ等17级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(4)大学毕业Ⅱ等3级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(5)硕士毕业Ⅲ等2级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(三)当社会物价水平或同行业之间的初任工资水平与规定的基准内工资有所差异时，则以附加工资的形式进行补贴。</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第二十九条</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(一)中途录用的员工(初入社会的应届毕业生以外者)，其工资给付原则上除按第二十八条的规定外，在考察员工任职前的经历及工作经验年数后，再决定该员工的职能工资等级。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(二)担任单纯的体力劳动工作者，则应无论其学历高低，一律以职能等级第Ⅰ等1级任用。</w:t>
      </w:r>
    </w:p>
    <w:p>
      <w:pPr>
        <w:pStyle w:val="2"/>
        <w:spacing w:before="0" w:after="0" w:line="360" w:lineRule="auto"/>
        <w:ind w:firstLine="424" w:firstLineChars="151"/>
        <w:rPr>
          <w:rFonts w:ascii="楷体" w:hAnsi="楷体" w:eastAsia="楷体"/>
          <w:color w:val="000000"/>
          <w:sz w:val="24"/>
          <w:szCs w:val="21"/>
        </w:rPr>
      </w:pPr>
      <w:r>
        <w:rPr>
          <w:rFonts w:ascii="SimHei" w:hAnsi="SimHei" w:eastAsia="黑体"/>
          <w:color w:val="000000"/>
          <w:sz w:val="28"/>
          <w:szCs w:val="21"/>
        </w:rPr>
        <w:t>□定期奖金</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第三十条</w:t>
      </w:r>
      <w:r>
        <w:rPr>
          <w:rFonts w:hint="eastAsia" w:ascii="SimHei" w:hAnsi="SimHei" w:eastAsia="黑体"/>
          <w:color w:val="000000"/>
          <w:sz w:val="24"/>
          <w:szCs w:val="21"/>
        </w:rPr>
        <w:t xml:space="preserve">  </w:t>
      </w:r>
      <w:r>
        <w:rPr>
          <w:rFonts w:ascii="SimHei" w:hAnsi="SimHei" w:eastAsia="黑体"/>
          <w:color w:val="000000"/>
          <w:sz w:val="24"/>
          <w:szCs w:val="21"/>
        </w:rPr>
        <w:t>定期奖金的给付</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公司给付奖金的原则是，根据公司业绩成长比例以及员工的贡献程度，于每年的月及月支付。</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第三十一条</w:t>
      </w:r>
      <w:r>
        <w:rPr>
          <w:rFonts w:hint="eastAsia" w:ascii="SimHei" w:hAnsi="SimHei" w:eastAsia="黑体"/>
          <w:color w:val="000000"/>
          <w:sz w:val="24"/>
          <w:szCs w:val="21"/>
        </w:rPr>
        <w:t xml:space="preserve">  </w:t>
      </w:r>
      <w:r>
        <w:rPr>
          <w:rFonts w:ascii="SimHei" w:hAnsi="SimHei" w:eastAsia="黑体"/>
          <w:color w:val="000000"/>
          <w:sz w:val="24"/>
          <w:szCs w:val="21"/>
        </w:rPr>
        <w:t>奖金计算期间</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(一)上期奖金的计算期间，从去年月日起至该年度月日止，并于月份与当月的工资一起发放。</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(二)下期奖金的计算期间，从该年度月日起至月日止，并于月份与当月的工资一起发放。</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第三十二条</w:t>
      </w:r>
      <w:r>
        <w:rPr>
          <w:rFonts w:hint="eastAsia" w:ascii="SimHei" w:hAnsi="SimHei" w:eastAsia="黑体"/>
          <w:color w:val="000000"/>
          <w:sz w:val="24"/>
          <w:szCs w:val="21"/>
        </w:rPr>
        <w:t xml:space="preserve">  </w:t>
      </w:r>
      <w:r>
        <w:rPr>
          <w:rFonts w:ascii="SimHei" w:hAnsi="SimHei" w:eastAsia="黑体"/>
          <w:color w:val="000000"/>
          <w:sz w:val="24"/>
          <w:szCs w:val="21"/>
        </w:rPr>
        <w:t>定期奖金给付的原则</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定期奖金金额的高低，是在考核员工于奖金计算期间的工作表现、绩效评价、出勤率及贡献度等因素后加以确定的。</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第三十三条</w:t>
      </w:r>
      <w:r>
        <w:rPr>
          <w:rFonts w:hint="eastAsia" w:ascii="SimHei" w:hAnsi="SimHei" w:eastAsia="黑体"/>
          <w:color w:val="000000"/>
          <w:sz w:val="24"/>
          <w:szCs w:val="21"/>
        </w:rPr>
        <w:t xml:space="preserve">  </w:t>
      </w:r>
      <w:r>
        <w:rPr>
          <w:rFonts w:ascii="SimHei" w:hAnsi="SimHei" w:eastAsia="黑体"/>
          <w:color w:val="000000"/>
          <w:sz w:val="24"/>
          <w:szCs w:val="21"/>
        </w:rPr>
        <w:t>定期奖金领取的资格</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(一)在奖金计算期间，中途进入公司并未满两个月者，不予以给付定期奖金。</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(二)在奖金计算期间，对于已离职者或于领取当月申请离职者，则取消其奖金领取资格。</w:t>
      </w:r>
    </w:p>
    <w:p>
      <w:pPr>
        <w:pStyle w:val="2"/>
        <w:spacing w:before="0" w:after="0" w:line="360" w:lineRule="auto"/>
        <w:ind w:firstLine="424" w:firstLineChars="151"/>
        <w:rPr>
          <w:rFonts w:ascii="楷体" w:hAnsi="楷体" w:eastAsia="楷体"/>
          <w:color w:val="000000"/>
          <w:sz w:val="24"/>
          <w:szCs w:val="21"/>
        </w:rPr>
      </w:pPr>
      <w:r>
        <w:rPr>
          <w:rFonts w:ascii="SimHei" w:hAnsi="SimHei" w:eastAsia="黑体"/>
          <w:color w:val="000000"/>
          <w:sz w:val="28"/>
          <w:szCs w:val="21"/>
        </w:rPr>
        <w:t>□附则</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第三十四条</w:t>
      </w:r>
      <w:r>
        <w:rPr>
          <w:rFonts w:hint="eastAsia" w:ascii="SimHei" w:hAnsi="SimHei" w:eastAsia="黑体"/>
          <w:color w:val="000000"/>
          <w:sz w:val="24"/>
          <w:szCs w:val="21"/>
        </w:rPr>
        <w:t xml:space="preserve">  </w:t>
      </w:r>
      <w:r>
        <w:rPr>
          <w:rFonts w:ascii="SimHei" w:hAnsi="SimHei" w:eastAsia="黑体"/>
          <w:color w:val="000000"/>
          <w:sz w:val="24"/>
          <w:szCs w:val="21"/>
        </w:rPr>
        <w:t>施行</w:t>
      </w:r>
    </w:p>
    <w:p>
      <w:pPr>
        <w:pStyle w:val="10"/>
        <w:spacing w:line="360" w:lineRule="auto"/>
        <w:ind w:firstLine="480" w:firstLineChars="200"/>
        <w:jc w:val="both"/>
        <w:rPr>
          <w:rFonts w:hint="eastAsia" w:ascii="楷体" w:hAnsi="楷体" w:eastAsia="楷体"/>
          <w:color w:val="000000"/>
          <w:sz w:val="24"/>
          <w:szCs w:val="21"/>
        </w:rPr>
      </w:pPr>
      <w:r>
        <w:rPr>
          <w:rFonts w:ascii="SimHei" w:hAnsi="SimHei" w:eastAsia="黑体"/>
          <w:color w:val="000000"/>
          <w:sz w:val="24"/>
          <w:szCs w:val="21"/>
        </w:rPr>
        <w:t>本规则自</w:t>
      </w:r>
      <w:r>
        <w:rPr>
          <w:rFonts w:hint="eastAsia" w:ascii="SimHei" w:hAnsi="SimHei" w:eastAsia="黑体"/>
          <w:color w:val="000000"/>
          <w:sz w:val="24"/>
          <w:szCs w:val="21"/>
        </w:rPr>
        <w:t xml:space="preserve">    </w:t>
      </w:r>
      <w:r>
        <w:rPr>
          <w:rFonts w:ascii="SimHei" w:hAnsi="SimHei" w:eastAsia="黑体"/>
          <w:color w:val="000000"/>
          <w:sz w:val="24"/>
          <w:szCs w:val="21"/>
        </w:rPr>
        <w:t>年</w:t>
      </w:r>
      <w:r>
        <w:rPr>
          <w:rFonts w:hint="eastAsia" w:ascii="SimHei" w:hAnsi="SimHei" w:eastAsia="黑体"/>
          <w:color w:val="000000"/>
          <w:sz w:val="24"/>
          <w:szCs w:val="21"/>
        </w:rPr>
        <w:t xml:space="preserve">   </w:t>
      </w:r>
      <w:r>
        <w:rPr>
          <w:rFonts w:ascii="SimHei" w:hAnsi="SimHei" w:eastAsia="黑体"/>
          <w:color w:val="000000"/>
          <w:sz w:val="24"/>
          <w:szCs w:val="21"/>
        </w:rPr>
        <w:t>月</w:t>
      </w:r>
      <w:r>
        <w:rPr>
          <w:rFonts w:hint="eastAsia" w:ascii="SimHei" w:hAnsi="SimHei" w:eastAsia="黑体"/>
          <w:color w:val="000000"/>
          <w:sz w:val="24"/>
          <w:szCs w:val="21"/>
        </w:rPr>
        <w:t xml:space="preserve">   </w:t>
      </w:r>
      <w:r>
        <w:rPr>
          <w:rFonts w:ascii="SimHei" w:hAnsi="SimHei" w:eastAsia="黑体"/>
          <w:color w:val="000000"/>
          <w:sz w:val="24"/>
          <w:szCs w:val="21"/>
        </w:rPr>
        <w:t>日起开始实施。</w:t>
      </w:r>
    </w:p>
    <w:p>
      <w:pPr>
        <w:pStyle w:val="10"/>
        <w:spacing w:line="360" w:lineRule="auto"/>
        <w:jc w:val="center"/>
        <w:rPr>
          <w:rFonts w:ascii="楷体" w:hAnsi="楷体" w:eastAsia="楷体"/>
          <w:color w:val="000000"/>
          <w:sz w:val="24"/>
          <w:szCs w:val="21"/>
        </w:rPr>
      </w:pPr>
      <w:r>
        <w:rPr>
          <w:rFonts w:hint="eastAsia" w:ascii="SimHei" w:hAnsi="SimHei" w:eastAsia="黑体"/>
          <w:color w:val="000000"/>
          <w:sz w:val="24"/>
          <w:szCs w:val="21"/>
        </w:rPr>
        <w:t>表</w:t>
      </w:r>
      <w:r>
        <w:rPr>
          <w:rFonts w:ascii="SimHei" w:hAnsi="SimHei" w:eastAsia="黑体"/>
          <w:color w:val="000000"/>
          <w:sz w:val="24"/>
          <w:szCs w:val="21"/>
        </w:rPr>
        <w:t>-1</w:t>
      </w:r>
      <w:r>
        <w:rPr>
          <w:rFonts w:hint="eastAsia" w:ascii="SimHei" w:hAnsi="SimHei" w:eastAsia="黑体"/>
          <w:color w:val="000000"/>
          <w:sz w:val="24"/>
          <w:szCs w:val="21"/>
        </w:rPr>
        <w:t>年龄工资表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2843"/>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2329" w:type="dxa"/>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～岁</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每增1岁增加元</w:t>
            </w:r>
          </w:p>
        </w:tc>
        <w:tc>
          <w:tcPr>
            <w:tcW w:w="2843" w:type="dxa"/>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～岁</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每增1岁增加元</w:t>
            </w:r>
          </w:p>
        </w:tc>
        <w:tc>
          <w:tcPr>
            <w:tcW w:w="23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～岁</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每增1岁增加元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0" w:hRule="atLeast"/>
          <w:jc w:val="center"/>
        </w:trPr>
        <w:tc>
          <w:tcPr>
            <w:tcW w:w="2329" w:type="dxa"/>
            <w:vMerge w:val="restart"/>
            <w:noWrap w:val="0"/>
            <w:vAlign w:val="center"/>
          </w:tcPr>
          <w:p>
            <w:pPr>
              <w:spacing w:line="360" w:lineRule="auto"/>
              <w:ind w:left="206"/>
              <w:jc w:val="center"/>
              <w:rPr>
                <w:rFonts w:hint="eastAsia" w:ascii="楷体" w:hAnsi="楷体" w:eastAsia="楷体"/>
                <w:color w:val="000000"/>
                <w:sz w:val="24"/>
                <w:szCs w:val="21"/>
              </w:rPr>
            </w:pPr>
          </w:p>
        </w:tc>
        <w:tc>
          <w:tcPr>
            <w:tcW w:w="2843" w:type="dxa"/>
            <w:noWrap w:val="0"/>
            <w:vAlign w:val="center"/>
          </w:tcPr>
          <w:p>
            <w:pPr>
              <w:spacing w:line="360" w:lineRule="auto"/>
              <w:jc w:val="center"/>
              <w:rPr>
                <w:rFonts w:hint="eastAsia" w:ascii="楷体" w:hAnsi="楷体" w:eastAsia="楷体"/>
                <w:color w:val="000000"/>
                <w:sz w:val="24"/>
                <w:szCs w:val="21"/>
              </w:rPr>
            </w:pPr>
          </w:p>
        </w:tc>
        <w:tc>
          <w:tcPr>
            <w:tcW w:w="2335" w:type="dxa"/>
            <w:noWrap w:val="0"/>
            <w:vAlign w:val="center"/>
          </w:tcPr>
          <w:p>
            <w:pPr>
              <w:spacing w:line="360" w:lineRule="auto"/>
              <w:ind w:left="206"/>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1" w:hRule="atLeast"/>
          <w:jc w:val="center"/>
        </w:trPr>
        <w:tc>
          <w:tcPr>
            <w:tcW w:w="2329" w:type="dxa"/>
            <w:vMerge w:val="continue"/>
            <w:noWrap w:val="0"/>
            <w:vAlign w:val="top"/>
          </w:tcPr>
          <w:p>
            <w:pPr>
              <w:spacing w:line="360" w:lineRule="auto"/>
              <w:jc w:val="center"/>
              <w:rPr>
                <w:rFonts w:hint="eastAsia" w:ascii="楷体" w:hAnsi="楷体" w:eastAsia="楷体"/>
                <w:color w:val="000000"/>
                <w:sz w:val="24"/>
                <w:szCs w:val="21"/>
              </w:rPr>
            </w:pPr>
          </w:p>
        </w:tc>
        <w:tc>
          <w:tcPr>
            <w:tcW w:w="5178"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岁以上者，为上限</w:t>
            </w:r>
          </w:p>
        </w:tc>
      </w:tr>
    </w:tbl>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表</w:t>
      </w:r>
      <w:r>
        <w:rPr>
          <w:rFonts w:ascii="SimHei" w:hAnsi="SimHei" w:eastAsia="黑体"/>
          <w:color w:val="000000"/>
          <w:sz w:val="24"/>
          <w:szCs w:val="21"/>
        </w:rPr>
        <w:t>-2</w:t>
      </w:r>
      <w:r>
        <w:rPr>
          <w:rFonts w:hint="eastAsia" w:ascii="SimHei" w:hAnsi="SimHei" w:eastAsia="黑体"/>
          <w:color w:val="000000"/>
          <w:sz w:val="24"/>
          <w:szCs w:val="21"/>
        </w:rPr>
        <w:t>公司年资工资简明表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132"/>
        <w:gridCol w:w="213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34" w:hRule="atLeast"/>
          <w:jc w:val="center"/>
        </w:trPr>
        <w:tc>
          <w:tcPr>
            <w:tcW w:w="8045" w:type="dxa"/>
            <w:gridSpan w:val="4"/>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年资1－10年</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每增1年时增加元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80" w:hRule="atLeast"/>
          <w:jc w:val="center"/>
        </w:trPr>
        <w:tc>
          <w:tcPr>
            <w:tcW w:w="1648"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1年</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2年</w:t>
            </w:r>
          </w:p>
        </w:tc>
        <w:tc>
          <w:tcPr>
            <w:tcW w:w="2132" w:type="dxa"/>
            <w:noWrap w:val="0"/>
            <w:vAlign w:val="center"/>
          </w:tcPr>
          <w:p>
            <w:pPr>
              <w:spacing w:line="360" w:lineRule="auto"/>
              <w:jc w:val="center"/>
              <w:rPr>
                <w:rFonts w:hint="eastAsia" w:ascii="楷体" w:hAnsi="楷体" w:eastAsia="楷体"/>
                <w:color w:val="000000"/>
                <w:sz w:val="24"/>
                <w:szCs w:val="21"/>
              </w:rPr>
            </w:pPr>
          </w:p>
        </w:tc>
        <w:tc>
          <w:tcPr>
            <w:tcW w:w="2132" w:type="dxa"/>
            <w:noWrap w:val="0"/>
            <w:vAlign w:val="center"/>
          </w:tcPr>
          <w:p>
            <w:pPr>
              <w:spacing w:line="360" w:lineRule="auto"/>
              <w:jc w:val="center"/>
              <w:rPr>
                <w:rFonts w:hint="eastAsia" w:ascii="楷体" w:hAnsi="楷体" w:eastAsia="楷体"/>
                <w:color w:val="000000"/>
                <w:sz w:val="24"/>
                <w:szCs w:val="21"/>
              </w:rPr>
            </w:pPr>
          </w:p>
        </w:tc>
        <w:tc>
          <w:tcPr>
            <w:tcW w:w="2133" w:type="dxa"/>
            <w:noWrap w:val="0"/>
            <w:vAlign w:val="center"/>
          </w:tcPr>
          <w:p>
            <w:pPr>
              <w:spacing w:line="360" w:lineRule="auto"/>
              <w:jc w:val="center"/>
              <w:rPr>
                <w:rFonts w:hint="eastAsia" w:ascii="楷体" w:hAnsi="楷体" w:eastAsia="楷体"/>
                <w:color w:val="000000"/>
                <w:sz w:val="24"/>
                <w:szCs w:val="21"/>
              </w:rPr>
            </w:pPr>
          </w:p>
        </w:tc>
      </w:tr>
    </w:tbl>
    <w:p>
      <w:pPr>
        <w:pStyle w:val="10"/>
        <w:spacing w:line="360" w:lineRule="auto"/>
        <w:jc w:val="center"/>
        <w:rPr>
          <w:rFonts w:hint="eastAsia" w:ascii="楷体" w:hAnsi="楷体" w:eastAsia="楷体"/>
          <w:color w:val="000000"/>
          <w:kern w:val="2"/>
          <w:sz w:val="24"/>
          <w:szCs w:val="21"/>
        </w:rPr>
      </w:pPr>
      <w:r>
        <w:rPr>
          <w:rFonts w:hint="eastAsia" w:ascii="SimHei" w:hAnsi="SimHei" w:eastAsia="黑体"/>
          <w:color w:val="000000"/>
          <w:sz w:val="24"/>
          <w:szCs w:val="21"/>
        </w:rPr>
        <w:t>表-3公司职能资格表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jc w:val="center"/>
        </w:trPr>
        <w:tc>
          <w:tcPr>
            <w:tcW w:w="238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职层</w:t>
            </w:r>
          </w:p>
        </w:tc>
        <w:tc>
          <w:tcPr>
            <w:tcW w:w="284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职位</w:t>
            </w:r>
          </w:p>
        </w:tc>
        <w:tc>
          <w:tcPr>
            <w:tcW w:w="284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cantSplit/>
          <w:jc w:val="center"/>
        </w:trPr>
        <w:tc>
          <w:tcPr>
            <w:tcW w:w="2389"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管理职</w:t>
            </w:r>
          </w:p>
        </w:tc>
        <w:tc>
          <w:tcPr>
            <w:tcW w:w="2843" w:type="dxa"/>
            <w:noWrap w:val="0"/>
            <w:vAlign w:val="center"/>
          </w:tcPr>
          <w:p>
            <w:pPr>
              <w:spacing w:line="360" w:lineRule="auto"/>
              <w:jc w:val="center"/>
              <w:rPr>
                <w:rFonts w:hint="eastAsia" w:ascii="楷体" w:hAnsi="楷体" w:eastAsia="楷体"/>
                <w:color w:val="000000"/>
                <w:sz w:val="24"/>
                <w:szCs w:val="21"/>
              </w:rPr>
            </w:pPr>
          </w:p>
        </w:tc>
        <w:tc>
          <w:tcPr>
            <w:tcW w:w="2843"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05" w:hRule="atLeast"/>
          <w:jc w:val="center"/>
        </w:trPr>
        <w:tc>
          <w:tcPr>
            <w:tcW w:w="2389" w:type="dxa"/>
            <w:vMerge w:val="continue"/>
            <w:noWrap w:val="0"/>
            <w:vAlign w:val="center"/>
          </w:tcPr>
          <w:p>
            <w:pPr>
              <w:spacing w:line="360" w:lineRule="auto"/>
              <w:jc w:val="center"/>
              <w:rPr>
                <w:rFonts w:hint="eastAsia" w:ascii="楷体" w:hAnsi="楷体" w:eastAsia="楷体"/>
                <w:color w:val="000000"/>
                <w:sz w:val="24"/>
                <w:szCs w:val="21"/>
              </w:rPr>
            </w:pPr>
          </w:p>
        </w:tc>
        <w:tc>
          <w:tcPr>
            <w:tcW w:w="2843" w:type="dxa"/>
            <w:noWrap w:val="0"/>
            <w:vAlign w:val="center"/>
          </w:tcPr>
          <w:p>
            <w:pPr>
              <w:spacing w:line="360" w:lineRule="auto"/>
              <w:jc w:val="center"/>
              <w:rPr>
                <w:rFonts w:hint="eastAsia" w:ascii="楷体" w:hAnsi="楷体" w:eastAsia="楷体"/>
                <w:color w:val="000000"/>
                <w:sz w:val="24"/>
                <w:szCs w:val="21"/>
              </w:rPr>
            </w:pPr>
          </w:p>
        </w:tc>
        <w:tc>
          <w:tcPr>
            <w:tcW w:w="2843"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24" w:hRule="atLeast"/>
          <w:jc w:val="center"/>
        </w:trPr>
        <w:tc>
          <w:tcPr>
            <w:tcW w:w="2389" w:type="dxa"/>
            <w:vMerge w:val="continue"/>
            <w:noWrap w:val="0"/>
            <w:vAlign w:val="center"/>
          </w:tcPr>
          <w:p>
            <w:pPr>
              <w:spacing w:line="360" w:lineRule="auto"/>
              <w:jc w:val="center"/>
              <w:rPr>
                <w:rFonts w:hint="eastAsia" w:ascii="楷体" w:hAnsi="楷体" w:eastAsia="楷体"/>
                <w:color w:val="000000"/>
                <w:sz w:val="24"/>
                <w:szCs w:val="21"/>
              </w:rPr>
            </w:pPr>
          </w:p>
        </w:tc>
        <w:tc>
          <w:tcPr>
            <w:tcW w:w="2843" w:type="dxa"/>
            <w:vMerge w:val="restart"/>
            <w:noWrap w:val="0"/>
            <w:vAlign w:val="center"/>
          </w:tcPr>
          <w:p>
            <w:pPr>
              <w:spacing w:line="360" w:lineRule="auto"/>
              <w:jc w:val="center"/>
              <w:rPr>
                <w:rFonts w:hint="eastAsia" w:ascii="楷体" w:hAnsi="楷体" w:eastAsia="楷体"/>
                <w:color w:val="000000"/>
                <w:sz w:val="24"/>
                <w:szCs w:val="21"/>
              </w:rPr>
            </w:pPr>
          </w:p>
        </w:tc>
        <w:tc>
          <w:tcPr>
            <w:tcW w:w="2843" w:type="dxa"/>
            <w:vMerge w:val="restart"/>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90" w:hRule="atLeast"/>
          <w:jc w:val="center"/>
        </w:trPr>
        <w:tc>
          <w:tcPr>
            <w:tcW w:w="238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监督职</w:t>
            </w:r>
          </w:p>
        </w:tc>
        <w:tc>
          <w:tcPr>
            <w:tcW w:w="2843" w:type="dxa"/>
            <w:vMerge w:val="continue"/>
            <w:noWrap w:val="0"/>
            <w:vAlign w:val="center"/>
          </w:tcPr>
          <w:p>
            <w:pPr>
              <w:spacing w:line="360" w:lineRule="auto"/>
              <w:jc w:val="center"/>
              <w:rPr>
                <w:rFonts w:hint="eastAsia" w:ascii="楷体" w:hAnsi="楷体" w:eastAsia="楷体"/>
                <w:color w:val="000000"/>
                <w:sz w:val="24"/>
                <w:szCs w:val="21"/>
              </w:rPr>
            </w:pPr>
          </w:p>
        </w:tc>
        <w:tc>
          <w:tcPr>
            <w:tcW w:w="2843"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2389"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一般职</w:t>
            </w:r>
          </w:p>
        </w:tc>
        <w:tc>
          <w:tcPr>
            <w:tcW w:w="2843" w:type="dxa"/>
            <w:noWrap w:val="0"/>
            <w:vAlign w:val="center"/>
          </w:tcPr>
          <w:p>
            <w:pPr>
              <w:spacing w:line="360" w:lineRule="auto"/>
              <w:jc w:val="center"/>
              <w:rPr>
                <w:rFonts w:hint="eastAsia" w:ascii="楷体" w:hAnsi="楷体" w:eastAsia="楷体"/>
                <w:color w:val="000000"/>
                <w:sz w:val="24"/>
                <w:szCs w:val="21"/>
              </w:rPr>
            </w:pPr>
          </w:p>
        </w:tc>
        <w:tc>
          <w:tcPr>
            <w:tcW w:w="2843"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2389" w:type="dxa"/>
            <w:vMerge w:val="continue"/>
            <w:noWrap w:val="0"/>
            <w:vAlign w:val="top"/>
          </w:tcPr>
          <w:p>
            <w:pPr>
              <w:pStyle w:val="10"/>
              <w:spacing w:line="360" w:lineRule="auto"/>
              <w:jc w:val="center"/>
              <w:rPr>
                <w:rFonts w:hint="eastAsia" w:ascii="楷体" w:hAnsi="楷体" w:eastAsia="楷体"/>
                <w:color w:val="000000"/>
                <w:sz w:val="24"/>
                <w:szCs w:val="21"/>
              </w:rPr>
            </w:pPr>
          </w:p>
        </w:tc>
        <w:tc>
          <w:tcPr>
            <w:tcW w:w="2843" w:type="dxa"/>
            <w:noWrap w:val="0"/>
            <w:vAlign w:val="center"/>
          </w:tcPr>
          <w:p>
            <w:pPr>
              <w:pStyle w:val="10"/>
              <w:spacing w:line="360" w:lineRule="auto"/>
              <w:jc w:val="center"/>
              <w:rPr>
                <w:rFonts w:hint="eastAsia" w:ascii="楷体" w:hAnsi="楷体" w:eastAsia="楷体"/>
                <w:color w:val="000000"/>
                <w:sz w:val="24"/>
                <w:szCs w:val="21"/>
              </w:rPr>
            </w:pPr>
          </w:p>
        </w:tc>
        <w:tc>
          <w:tcPr>
            <w:tcW w:w="2843" w:type="dxa"/>
            <w:noWrap w:val="0"/>
            <w:vAlign w:val="center"/>
          </w:tcPr>
          <w:p>
            <w:pPr>
              <w:pStyle w:val="10"/>
              <w:spacing w:line="360" w:lineRule="auto"/>
              <w:jc w:val="center"/>
              <w:rPr>
                <w:rFonts w:hint="eastAsia" w:ascii="楷体" w:hAnsi="楷体" w:eastAsia="楷体"/>
                <w:color w:val="000000"/>
                <w:sz w:val="24"/>
                <w:szCs w:val="21"/>
              </w:rPr>
            </w:pPr>
          </w:p>
        </w:tc>
      </w:tr>
    </w:tbl>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表-4公司职能工资等级及运用表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66"/>
        <w:gridCol w:w="854"/>
        <w:gridCol w:w="1020"/>
        <w:gridCol w:w="761"/>
        <w:gridCol w:w="762"/>
        <w:gridCol w:w="761"/>
        <w:gridCol w:w="762"/>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5" w:hRule="atLeast"/>
          <w:jc w:val="center"/>
        </w:trPr>
        <w:tc>
          <w:tcPr>
            <w:tcW w:w="1068" w:type="dxa"/>
            <w:vMerge w:val="restart"/>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职能等级</w:t>
            </w:r>
          </w:p>
        </w:tc>
        <w:tc>
          <w:tcPr>
            <w:tcW w:w="1066" w:type="dxa"/>
            <w:vMerge w:val="restart"/>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最低级数</w:t>
            </w:r>
          </w:p>
        </w:tc>
        <w:tc>
          <w:tcPr>
            <w:tcW w:w="854" w:type="dxa"/>
            <w:vMerge w:val="restart"/>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标准额</w:t>
            </w:r>
          </w:p>
        </w:tc>
        <w:tc>
          <w:tcPr>
            <w:tcW w:w="4066" w:type="dxa"/>
            <w:gridSpan w:val="5"/>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评定</w:t>
            </w:r>
          </w:p>
        </w:tc>
        <w:tc>
          <w:tcPr>
            <w:tcW w:w="1277" w:type="dxa"/>
            <w:vMerge w:val="restart"/>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下限（初级）－上限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5" w:hRule="atLeast"/>
          <w:jc w:val="center"/>
        </w:trPr>
        <w:tc>
          <w:tcPr>
            <w:tcW w:w="1068" w:type="dxa"/>
            <w:vMerge w:val="continue"/>
            <w:noWrap w:val="0"/>
            <w:vAlign w:val="center"/>
          </w:tcPr>
          <w:p>
            <w:pPr>
              <w:pStyle w:val="10"/>
              <w:spacing w:line="360" w:lineRule="auto"/>
              <w:jc w:val="center"/>
              <w:rPr>
                <w:rFonts w:hint="eastAsia" w:ascii="楷体" w:hAnsi="楷体" w:eastAsia="楷体"/>
                <w:color w:val="000000"/>
                <w:sz w:val="24"/>
                <w:szCs w:val="21"/>
              </w:rPr>
            </w:pPr>
          </w:p>
        </w:tc>
        <w:tc>
          <w:tcPr>
            <w:tcW w:w="1066" w:type="dxa"/>
            <w:vMerge w:val="continue"/>
            <w:noWrap w:val="0"/>
            <w:vAlign w:val="center"/>
          </w:tcPr>
          <w:p>
            <w:pPr>
              <w:pStyle w:val="10"/>
              <w:spacing w:line="360" w:lineRule="auto"/>
              <w:jc w:val="center"/>
              <w:rPr>
                <w:rFonts w:hint="eastAsia" w:ascii="楷体" w:hAnsi="楷体" w:eastAsia="楷体"/>
                <w:color w:val="000000"/>
                <w:sz w:val="24"/>
                <w:szCs w:val="21"/>
              </w:rPr>
            </w:pPr>
          </w:p>
        </w:tc>
        <w:tc>
          <w:tcPr>
            <w:tcW w:w="854" w:type="dxa"/>
            <w:vMerge w:val="continue"/>
            <w:noWrap w:val="0"/>
            <w:vAlign w:val="center"/>
          </w:tcPr>
          <w:p>
            <w:pPr>
              <w:pStyle w:val="10"/>
              <w:spacing w:line="360" w:lineRule="auto"/>
              <w:jc w:val="center"/>
              <w:rPr>
                <w:rFonts w:hint="eastAsia" w:ascii="楷体" w:hAnsi="楷体" w:eastAsia="楷体"/>
                <w:color w:val="000000"/>
                <w:sz w:val="24"/>
                <w:szCs w:val="21"/>
              </w:rPr>
            </w:pPr>
          </w:p>
        </w:tc>
        <w:tc>
          <w:tcPr>
            <w:tcW w:w="1020"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1277" w:type="dxa"/>
            <w:vMerge w:val="continue"/>
            <w:noWrap w:val="0"/>
            <w:vAlign w:val="center"/>
          </w:tcPr>
          <w:p>
            <w:pPr>
              <w:pStyle w:val="10"/>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1" w:hRule="atLeast"/>
          <w:jc w:val="center"/>
        </w:trPr>
        <w:tc>
          <w:tcPr>
            <w:tcW w:w="1068" w:type="dxa"/>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Ⅰ等</w:t>
            </w:r>
          </w:p>
        </w:tc>
        <w:tc>
          <w:tcPr>
            <w:tcW w:w="1066" w:type="dxa"/>
            <w:noWrap w:val="0"/>
            <w:vAlign w:val="center"/>
          </w:tcPr>
          <w:p>
            <w:pPr>
              <w:pStyle w:val="10"/>
              <w:spacing w:line="360" w:lineRule="auto"/>
              <w:jc w:val="center"/>
              <w:rPr>
                <w:rFonts w:hint="eastAsia" w:ascii="楷体" w:hAnsi="楷体" w:eastAsia="楷体"/>
                <w:color w:val="000000"/>
                <w:sz w:val="24"/>
                <w:szCs w:val="21"/>
              </w:rPr>
            </w:pPr>
          </w:p>
        </w:tc>
        <w:tc>
          <w:tcPr>
            <w:tcW w:w="854" w:type="dxa"/>
            <w:noWrap w:val="0"/>
            <w:vAlign w:val="center"/>
          </w:tcPr>
          <w:p>
            <w:pPr>
              <w:pStyle w:val="10"/>
              <w:spacing w:line="360" w:lineRule="auto"/>
              <w:jc w:val="center"/>
              <w:rPr>
                <w:rFonts w:hint="eastAsia" w:ascii="楷体" w:hAnsi="楷体" w:eastAsia="楷体"/>
                <w:color w:val="000000"/>
                <w:sz w:val="24"/>
                <w:szCs w:val="21"/>
              </w:rPr>
            </w:pPr>
          </w:p>
        </w:tc>
        <w:tc>
          <w:tcPr>
            <w:tcW w:w="1020"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1277" w:type="dxa"/>
            <w:noWrap w:val="0"/>
            <w:vAlign w:val="center"/>
          </w:tcPr>
          <w:p>
            <w:pPr>
              <w:pStyle w:val="10"/>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4" w:hRule="atLeast"/>
          <w:jc w:val="center"/>
        </w:trPr>
        <w:tc>
          <w:tcPr>
            <w:tcW w:w="1068" w:type="dxa"/>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Ⅱ等</w:t>
            </w:r>
          </w:p>
        </w:tc>
        <w:tc>
          <w:tcPr>
            <w:tcW w:w="1066" w:type="dxa"/>
            <w:noWrap w:val="0"/>
            <w:vAlign w:val="center"/>
          </w:tcPr>
          <w:p>
            <w:pPr>
              <w:pStyle w:val="10"/>
              <w:spacing w:line="360" w:lineRule="auto"/>
              <w:jc w:val="center"/>
              <w:rPr>
                <w:rFonts w:hint="eastAsia" w:ascii="楷体" w:hAnsi="楷体" w:eastAsia="楷体"/>
                <w:color w:val="000000"/>
                <w:sz w:val="24"/>
                <w:szCs w:val="21"/>
              </w:rPr>
            </w:pPr>
          </w:p>
        </w:tc>
        <w:tc>
          <w:tcPr>
            <w:tcW w:w="854" w:type="dxa"/>
            <w:noWrap w:val="0"/>
            <w:vAlign w:val="center"/>
          </w:tcPr>
          <w:p>
            <w:pPr>
              <w:pStyle w:val="10"/>
              <w:spacing w:line="360" w:lineRule="auto"/>
              <w:jc w:val="center"/>
              <w:rPr>
                <w:rFonts w:hint="eastAsia" w:ascii="楷体" w:hAnsi="楷体" w:eastAsia="楷体"/>
                <w:color w:val="000000"/>
                <w:sz w:val="24"/>
                <w:szCs w:val="21"/>
              </w:rPr>
            </w:pPr>
          </w:p>
        </w:tc>
        <w:tc>
          <w:tcPr>
            <w:tcW w:w="1020"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1277" w:type="dxa"/>
            <w:noWrap w:val="0"/>
            <w:vAlign w:val="center"/>
          </w:tcPr>
          <w:p>
            <w:pPr>
              <w:pStyle w:val="10"/>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atLeast"/>
          <w:jc w:val="center"/>
        </w:trPr>
        <w:tc>
          <w:tcPr>
            <w:tcW w:w="1068" w:type="dxa"/>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Ⅲ等</w:t>
            </w:r>
          </w:p>
        </w:tc>
        <w:tc>
          <w:tcPr>
            <w:tcW w:w="1066" w:type="dxa"/>
            <w:noWrap w:val="0"/>
            <w:vAlign w:val="center"/>
          </w:tcPr>
          <w:p>
            <w:pPr>
              <w:pStyle w:val="10"/>
              <w:spacing w:line="360" w:lineRule="auto"/>
              <w:jc w:val="center"/>
              <w:rPr>
                <w:rFonts w:hint="eastAsia" w:ascii="楷体" w:hAnsi="楷体" w:eastAsia="楷体"/>
                <w:color w:val="000000"/>
                <w:sz w:val="24"/>
                <w:szCs w:val="21"/>
              </w:rPr>
            </w:pPr>
          </w:p>
        </w:tc>
        <w:tc>
          <w:tcPr>
            <w:tcW w:w="854" w:type="dxa"/>
            <w:noWrap w:val="0"/>
            <w:vAlign w:val="center"/>
          </w:tcPr>
          <w:p>
            <w:pPr>
              <w:pStyle w:val="10"/>
              <w:spacing w:line="360" w:lineRule="auto"/>
              <w:jc w:val="center"/>
              <w:rPr>
                <w:rFonts w:hint="eastAsia" w:ascii="楷体" w:hAnsi="楷体" w:eastAsia="楷体"/>
                <w:color w:val="000000"/>
                <w:sz w:val="24"/>
                <w:szCs w:val="21"/>
              </w:rPr>
            </w:pPr>
          </w:p>
        </w:tc>
        <w:tc>
          <w:tcPr>
            <w:tcW w:w="1020"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1277" w:type="dxa"/>
            <w:noWrap w:val="0"/>
            <w:vAlign w:val="center"/>
          </w:tcPr>
          <w:p>
            <w:pPr>
              <w:pStyle w:val="10"/>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3" w:hRule="atLeast"/>
          <w:jc w:val="center"/>
        </w:trPr>
        <w:tc>
          <w:tcPr>
            <w:tcW w:w="1068" w:type="dxa"/>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Ⅳ等</w:t>
            </w:r>
          </w:p>
        </w:tc>
        <w:tc>
          <w:tcPr>
            <w:tcW w:w="1066" w:type="dxa"/>
            <w:noWrap w:val="0"/>
            <w:vAlign w:val="center"/>
          </w:tcPr>
          <w:p>
            <w:pPr>
              <w:pStyle w:val="10"/>
              <w:spacing w:line="360" w:lineRule="auto"/>
              <w:jc w:val="center"/>
              <w:rPr>
                <w:rFonts w:hint="eastAsia" w:ascii="楷体" w:hAnsi="楷体" w:eastAsia="楷体"/>
                <w:color w:val="000000"/>
                <w:sz w:val="24"/>
                <w:szCs w:val="21"/>
              </w:rPr>
            </w:pPr>
          </w:p>
        </w:tc>
        <w:tc>
          <w:tcPr>
            <w:tcW w:w="854" w:type="dxa"/>
            <w:noWrap w:val="0"/>
            <w:vAlign w:val="center"/>
          </w:tcPr>
          <w:p>
            <w:pPr>
              <w:pStyle w:val="10"/>
              <w:spacing w:line="360" w:lineRule="auto"/>
              <w:jc w:val="center"/>
              <w:rPr>
                <w:rFonts w:hint="eastAsia" w:ascii="楷体" w:hAnsi="楷体" w:eastAsia="楷体"/>
                <w:color w:val="000000"/>
                <w:sz w:val="24"/>
                <w:szCs w:val="21"/>
              </w:rPr>
            </w:pPr>
          </w:p>
        </w:tc>
        <w:tc>
          <w:tcPr>
            <w:tcW w:w="1020"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1277" w:type="dxa"/>
            <w:noWrap w:val="0"/>
            <w:vAlign w:val="center"/>
          </w:tcPr>
          <w:p>
            <w:pPr>
              <w:pStyle w:val="10"/>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jc w:val="center"/>
        </w:trPr>
        <w:tc>
          <w:tcPr>
            <w:tcW w:w="1068" w:type="dxa"/>
            <w:noWrap w:val="0"/>
            <w:vAlign w:val="center"/>
          </w:tcPr>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Ⅴ等</w:t>
            </w:r>
          </w:p>
        </w:tc>
        <w:tc>
          <w:tcPr>
            <w:tcW w:w="1066" w:type="dxa"/>
            <w:noWrap w:val="0"/>
            <w:vAlign w:val="center"/>
          </w:tcPr>
          <w:p>
            <w:pPr>
              <w:pStyle w:val="10"/>
              <w:spacing w:line="360" w:lineRule="auto"/>
              <w:jc w:val="center"/>
              <w:rPr>
                <w:rFonts w:hint="eastAsia" w:ascii="楷体" w:hAnsi="楷体" w:eastAsia="楷体"/>
                <w:color w:val="000000"/>
                <w:sz w:val="24"/>
                <w:szCs w:val="21"/>
              </w:rPr>
            </w:pPr>
          </w:p>
        </w:tc>
        <w:tc>
          <w:tcPr>
            <w:tcW w:w="854" w:type="dxa"/>
            <w:noWrap w:val="0"/>
            <w:vAlign w:val="center"/>
          </w:tcPr>
          <w:p>
            <w:pPr>
              <w:pStyle w:val="10"/>
              <w:spacing w:line="360" w:lineRule="auto"/>
              <w:jc w:val="center"/>
              <w:rPr>
                <w:rFonts w:hint="eastAsia" w:ascii="楷体" w:hAnsi="楷体" w:eastAsia="楷体"/>
                <w:color w:val="000000"/>
                <w:sz w:val="24"/>
                <w:szCs w:val="21"/>
              </w:rPr>
            </w:pPr>
          </w:p>
        </w:tc>
        <w:tc>
          <w:tcPr>
            <w:tcW w:w="1020"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761" w:type="dxa"/>
            <w:noWrap w:val="0"/>
            <w:vAlign w:val="center"/>
          </w:tcPr>
          <w:p>
            <w:pPr>
              <w:pStyle w:val="10"/>
              <w:spacing w:line="360" w:lineRule="auto"/>
              <w:jc w:val="center"/>
              <w:rPr>
                <w:rFonts w:hint="eastAsia" w:ascii="楷体" w:hAnsi="楷体" w:eastAsia="楷体"/>
                <w:color w:val="000000"/>
                <w:sz w:val="24"/>
                <w:szCs w:val="21"/>
              </w:rPr>
            </w:pPr>
          </w:p>
        </w:tc>
        <w:tc>
          <w:tcPr>
            <w:tcW w:w="762" w:type="dxa"/>
            <w:noWrap w:val="0"/>
            <w:vAlign w:val="center"/>
          </w:tcPr>
          <w:p>
            <w:pPr>
              <w:pStyle w:val="10"/>
              <w:spacing w:line="360" w:lineRule="auto"/>
              <w:jc w:val="center"/>
              <w:rPr>
                <w:rFonts w:hint="eastAsia" w:ascii="楷体" w:hAnsi="楷体" w:eastAsia="楷体"/>
                <w:color w:val="000000"/>
                <w:sz w:val="24"/>
                <w:szCs w:val="21"/>
              </w:rPr>
            </w:pPr>
          </w:p>
        </w:tc>
        <w:tc>
          <w:tcPr>
            <w:tcW w:w="1277" w:type="dxa"/>
            <w:noWrap w:val="0"/>
            <w:vAlign w:val="center"/>
          </w:tcPr>
          <w:p>
            <w:pPr>
              <w:pStyle w:val="10"/>
              <w:spacing w:line="360" w:lineRule="auto"/>
              <w:jc w:val="center"/>
              <w:rPr>
                <w:rFonts w:hint="eastAsia" w:ascii="楷体" w:hAnsi="楷体" w:eastAsia="楷体"/>
                <w:color w:val="000000"/>
                <w:sz w:val="24"/>
                <w:szCs w:val="21"/>
              </w:rPr>
            </w:pPr>
          </w:p>
        </w:tc>
      </w:tr>
    </w:tbl>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担任管理职务者是指较大组织的负责人或担任同等程度的职务参与经营管理，并在较广的范围内负有责任者。</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五、事务、技术职务</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事务、技术职务的担当者主要是指从事事务性或技术性工作的人员，包括较小组织的管理人员。</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六、技能职务</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技能职务的担当者是指在作业现场直接或间接从事操作的人员，包括班组负责人。</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七、职能等级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职能等级按不同职务分别确定。管理职务分为等，事务、技术以及技能职务均分为等，各级均再分为级。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八、职能等级的评定</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职能等级按下列原则评定：</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(1)所担任工作的重要性。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(2)知识及经验。</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(3)工作能力及指导能力。</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九、等级标准</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在上一条中所述的等级评定的具体标准，详见“职能等级评定标准表”(表1.18)。</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十、职能工资的金额</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职能工资的金额由“职能工资金额表”确定。</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十一、初次任职者的职能等级</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从学校毕业后初次任职者，其职能等级按下列标准确定：</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(1)大学毕业生事务、技术职三等或技能职三等</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(2)高中毕业生事务、技术职二等或技能职二等</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(3)初中毕业生事务、技术职一等或技能职一等</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其他来本公司任职者，则需综合考虑其所担任的职务、来公司以前的工作经历、能力等因素后确定。</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十二、提级和提薪</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职能等级的提级和提薪，每年一次，在×月进行。但当其所担任的职务发生变动时，亦临时进行职能评审。</w:t>
      </w:r>
    </w:p>
    <w:p>
      <w:pPr>
        <w:pStyle w:val="10"/>
        <w:spacing w:line="360" w:lineRule="auto"/>
        <w:ind w:firstLine="480" w:firstLineChars="200"/>
        <w:jc w:val="both"/>
        <w:rPr>
          <w:rFonts w:ascii="楷体" w:hAnsi="楷体" w:eastAsia="楷体"/>
          <w:color w:val="000000"/>
          <w:sz w:val="24"/>
          <w:szCs w:val="21"/>
        </w:rPr>
      </w:pPr>
      <w:r>
        <w:rPr>
          <w:rFonts w:ascii="SimHei" w:hAnsi="SimHei" w:eastAsia="黑体"/>
          <w:color w:val="000000"/>
          <w:sz w:val="24"/>
          <w:szCs w:val="21"/>
        </w:rPr>
        <w:t>附则</w:t>
      </w:r>
    </w:p>
    <w:p>
      <w:pPr>
        <w:pStyle w:val="10"/>
        <w:spacing w:line="360" w:lineRule="auto"/>
        <w:ind w:firstLine="480" w:firstLineChars="200"/>
        <w:jc w:val="both"/>
        <w:rPr>
          <w:rFonts w:hint="eastAsia" w:ascii="楷体" w:hAnsi="楷体" w:eastAsia="楷体"/>
          <w:color w:val="000000"/>
          <w:sz w:val="24"/>
          <w:szCs w:val="21"/>
        </w:rPr>
      </w:pPr>
      <w:r>
        <w:rPr>
          <w:rFonts w:ascii="SimHei" w:hAnsi="SimHei" w:eastAsia="黑体"/>
          <w:color w:val="000000"/>
          <w:sz w:val="24"/>
          <w:szCs w:val="21"/>
        </w:rPr>
        <w:t>十三、本规定从年月日起实施。</w:t>
      </w:r>
    </w:p>
    <w:p>
      <w:pPr>
        <w:pStyle w:val="10"/>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表-5公司职能等级评定标准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42"/>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职务</w:t>
            </w:r>
          </w:p>
        </w:tc>
        <w:tc>
          <w:tcPr>
            <w:tcW w:w="124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职能等级</w:t>
            </w:r>
          </w:p>
        </w:tc>
        <w:tc>
          <w:tcPr>
            <w:tcW w:w="594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restart"/>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管理职务</w:t>
            </w: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三等</w:t>
            </w:r>
          </w:p>
        </w:tc>
        <w:tc>
          <w:tcPr>
            <w:tcW w:w="5949" w:type="dxa"/>
            <w:noWrap w:val="0"/>
            <w:vAlign w:val="center"/>
          </w:tcPr>
          <w:p>
            <w:pPr>
              <w:spacing w:line="360" w:lineRule="auto"/>
              <w:ind w:left="12" w:firstLine="480" w:firstLineChars="200"/>
              <w:rPr>
                <w:rFonts w:hint="eastAsia" w:ascii="楷体" w:hAnsi="楷体" w:eastAsia="楷体"/>
                <w:color w:val="000000"/>
                <w:sz w:val="24"/>
                <w:szCs w:val="21"/>
              </w:rPr>
            </w:pPr>
            <w:r>
              <w:rPr>
                <w:rFonts w:hint="eastAsia" w:ascii="SimHei" w:hAnsi="SimHei" w:eastAsia="黑体"/>
                <w:color w:val="000000"/>
                <w:sz w:val="24"/>
                <w:szCs w:val="21"/>
              </w:rPr>
              <w:t>1.参与全公司经营方针的规划，负责一部门的全面工作，或担任高度专业化业务的管理人员。</w:t>
            </w:r>
          </w:p>
          <w:p>
            <w:pPr>
              <w:spacing w:line="360" w:lineRule="auto"/>
              <w:ind w:left="12"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2.具有高度的专业学问及非常广泛的学识和经历。</w:t>
            </w:r>
          </w:p>
          <w:p>
            <w:pPr>
              <w:spacing w:line="360" w:lineRule="auto"/>
              <w:ind w:left="12" w:firstLine="480" w:firstLineChars="200"/>
              <w:rPr>
                <w:rFonts w:hint="eastAsia" w:ascii="楷体" w:hAnsi="楷体" w:eastAsia="楷体"/>
                <w:color w:val="000000"/>
                <w:sz w:val="24"/>
                <w:szCs w:val="21"/>
              </w:rPr>
            </w:pPr>
            <w:r>
              <w:rPr>
                <w:rFonts w:hint="eastAsia" w:ascii="SimHei" w:hAnsi="SimHei" w:eastAsia="黑体"/>
                <w:color w:val="000000"/>
                <w:sz w:val="24"/>
                <w:szCs w:val="21"/>
              </w:rPr>
              <w:t>3.担任特大项目或工程的指挥或监督的人员。</w:t>
            </w:r>
          </w:p>
          <w:p>
            <w:pPr>
              <w:spacing w:line="360" w:lineRule="auto"/>
              <w:ind w:left="12" w:firstLine="480" w:firstLineChars="200"/>
              <w:rPr>
                <w:rFonts w:hint="eastAsia" w:ascii="楷体" w:hAnsi="楷体" w:eastAsia="楷体"/>
                <w:color w:val="000000"/>
                <w:sz w:val="24"/>
                <w:szCs w:val="21"/>
              </w:rPr>
            </w:pPr>
            <w:r>
              <w:rPr>
                <w:rFonts w:hint="eastAsia" w:ascii="SimHei" w:hAnsi="SimHei" w:eastAsia="黑体"/>
                <w:color w:val="000000"/>
                <w:sz w:val="24"/>
                <w:szCs w:val="21"/>
              </w:rPr>
              <w:t>4.被认为与上述各项有同等程度的工作能力者。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vAlign w:val="top"/>
          </w:tcPr>
          <w:p>
            <w:pPr>
              <w:spacing w:line="360" w:lineRule="auto"/>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二等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1.负责一部门的全面工作，或担任高度专业化业务的管理人员。</w:t>
            </w:r>
          </w:p>
          <w:p>
            <w:pPr>
              <w:spacing w:line="360" w:lineRule="auto"/>
              <w:ind w:left="12"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2.具有高度的专业学问及非常广泛的学识和经历。</w:t>
            </w:r>
          </w:p>
          <w:p>
            <w:pPr>
              <w:spacing w:line="360" w:lineRule="auto"/>
              <w:ind w:left="12" w:firstLine="480" w:firstLineChars="200"/>
              <w:rPr>
                <w:rFonts w:hint="eastAsia" w:ascii="楷体" w:hAnsi="楷体" w:eastAsia="楷体"/>
                <w:color w:val="000000"/>
                <w:sz w:val="24"/>
                <w:szCs w:val="21"/>
              </w:rPr>
            </w:pPr>
            <w:r>
              <w:rPr>
                <w:rFonts w:hint="eastAsia" w:ascii="SimHei" w:hAnsi="SimHei" w:eastAsia="黑体"/>
                <w:color w:val="000000"/>
                <w:sz w:val="24"/>
                <w:szCs w:val="21"/>
              </w:rPr>
              <w:t>3.担任特大项目或工程的指挥或监督的人员。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4.被认为与上述各项有同等程度的工作能力者。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vAlign w:val="top"/>
          </w:tcPr>
          <w:p>
            <w:pPr>
              <w:spacing w:line="360" w:lineRule="auto"/>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一等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1.担任负责并且重要的工作，参与一部门经营方针的规划。</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2.具有高度的专业学问和相应的经历。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3.担任较大或较重要项目或工程的指挥或监督的人员。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restart"/>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事务技术职务</w:t>
            </w: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八等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1.担任负责并且重要的工作，参与高层次的规划、立项、审核等工作，能独立解决困难的问题。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2.具有高度的专业学问和相应的经历。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3.担任较大或较重要项目或工程的指挥或监督的人员。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textDirection w:val="tbRlV"/>
            <w:vAlign w:val="center"/>
          </w:tcPr>
          <w:p>
            <w:pPr>
              <w:spacing w:line="360" w:lineRule="auto"/>
              <w:ind w:left="113" w:right="113"/>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七等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1.担任比较重要的业务工作，参与高层次的规划、立项、审核等工作。</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2.具有一定的专业学问和相应的经历。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3.担任科室的事务或技术指导工作。</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textDirection w:val="tbRlV"/>
            <w:vAlign w:val="center"/>
          </w:tcPr>
          <w:p>
            <w:pPr>
              <w:spacing w:line="360" w:lineRule="auto"/>
              <w:ind w:left="113" w:right="113"/>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六等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1.担任本科室范围内的事务技术工作，能独立解决具有一定难度的问题。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2.具有大学毕业程度的专业基础知识及经历，并且具备相当于高中毕业程度的一般基础知识。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3.在上司直接指导下，指导或监督下级。</w:t>
            </w:r>
          </w:p>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textDirection w:val="tbRlV"/>
            <w:vAlign w:val="center"/>
          </w:tcPr>
          <w:p>
            <w:pPr>
              <w:spacing w:line="360" w:lineRule="auto"/>
              <w:ind w:left="113" w:right="113"/>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五等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1.担任本科室范围内的事务技术工作，能完成具有一定难度的工作。</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2.具有大学毕业程度的专业基础知识及经历和相当于高中毕业程度的一般基础知识。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3.在上司的直接指导下，指导或监督下级。</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textDirection w:val="tbRlV"/>
            <w:vAlign w:val="center"/>
          </w:tcPr>
          <w:p>
            <w:pPr>
              <w:spacing w:line="360" w:lineRule="auto"/>
              <w:ind w:left="113" w:right="113"/>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四等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1.从事一般的作业，基本具备独立操作能力。</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2.具有初中毕业程度的一般基础知识和较丰富的经验。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3.在上司的指导下，指导下级。</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textDirection w:val="tbRlV"/>
            <w:vAlign w:val="center"/>
          </w:tcPr>
          <w:p>
            <w:pPr>
              <w:spacing w:line="360" w:lineRule="auto"/>
              <w:ind w:left="113" w:right="113"/>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三等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1.从事一般的作业。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2.具有初中毕业程度的一般基础知识和一定作业的经验。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3.在上司的直接指导下，指导下级。</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textDirection w:val="tbRlV"/>
            <w:vAlign w:val="center"/>
          </w:tcPr>
          <w:p>
            <w:pPr>
              <w:spacing w:line="360" w:lineRule="auto"/>
              <w:ind w:left="113" w:right="113"/>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二等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1.从事比较简单的作业。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2.具有初中毕业程度的一般基础知识和一定作业的经验。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3.接受上司的直接指导。</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textDirection w:val="tbRlV"/>
            <w:vAlign w:val="center"/>
          </w:tcPr>
          <w:p>
            <w:pPr>
              <w:spacing w:line="360" w:lineRule="auto"/>
              <w:ind w:left="113" w:right="113"/>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一等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1.从事辅助性的作业。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3.接受上司的直接指导。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restart"/>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技能职务</w:t>
            </w: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八等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1.从事重要的作业，或从事需要高度技术的作业，能独立完成困难的作业。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2.具有初中毕业程度的一般基础知识和丰富的经验。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3.在上司的指挥下，担任重大作业项目的指导、监督的人员。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vAlign w:val="top"/>
          </w:tcPr>
          <w:p>
            <w:pPr>
              <w:spacing w:line="360" w:lineRule="auto"/>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七等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1.从事重要的作业，或从事需要高度技术的作业。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2.具有初中毕业程度的一般基础知识和丰富的经验。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3.在上司的指挥下，担任比较重大作业项目的指导、监督的人员。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vAlign w:val="top"/>
          </w:tcPr>
          <w:p>
            <w:pPr>
              <w:spacing w:line="360" w:lineRule="auto"/>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六等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1.从事重要的作业，或从事需要高度技术的作业。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2.具有初中毕业程度的一般基础知识和丰富的经验。</w:t>
            </w:r>
          </w:p>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3.在上司的指挥下，担任比较重大作业项目的指导、监督的人员。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vAlign w:val="top"/>
          </w:tcPr>
          <w:p>
            <w:pPr>
              <w:spacing w:line="360" w:lineRule="auto"/>
              <w:jc w:val="center"/>
              <w:rPr>
                <w:rFonts w:hint="eastAsia" w:ascii="楷体" w:hAnsi="楷体" w:eastAsia="楷体"/>
                <w:color w:val="000000"/>
                <w:sz w:val="24"/>
                <w:szCs w:val="21"/>
              </w:rPr>
            </w:pPr>
          </w:p>
        </w:tc>
        <w:tc>
          <w:tcPr>
            <w:tcW w:w="1242" w:type="dxa"/>
            <w:noWrap w:val="0"/>
            <w:textDirection w:val="tbRlV"/>
            <w:vAlign w:val="center"/>
          </w:tcPr>
          <w:p>
            <w:pPr>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五等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1.从事一般的作业，具有独立操作能力。</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2.具有初中毕业程度的一般基础知识和丰富的经验。</w:t>
            </w:r>
          </w:p>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3.在上司的指导下，指导下级。</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vAlign w:val="top"/>
          </w:tcPr>
          <w:p>
            <w:pPr>
              <w:pStyle w:val="10"/>
              <w:spacing w:line="360" w:lineRule="auto"/>
              <w:jc w:val="center"/>
              <w:rPr>
                <w:rFonts w:hint="eastAsia" w:ascii="楷体" w:hAnsi="楷体" w:eastAsia="楷体"/>
                <w:color w:val="000000"/>
                <w:sz w:val="24"/>
                <w:szCs w:val="21"/>
              </w:rPr>
            </w:pPr>
          </w:p>
        </w:tc>
        <w:tc>
          <w:tcPr>
            <w:tcW w:w="1242" w:type="dxa"/>
            <w:noWrap w:val="0"/>
            <w:textDirection w:val="tbRlV"/>
            <w:vAlign w:val="center"/>
          </w:tcPr>
          <w:p>
            <w:pPr>
              <w:pStyle w:val="10"/>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四等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1.从事一般的作业，基本具备独立操作能力。</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2.具有初中毕业程度的一般基础知识和丰富的经验。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3.在上司的指导下，指导下级。</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vAlign w:val="top"/>
          </w:tcPr>
          <w:p>
            <w:pPr>
              <w:pStyle w:val="10"/>
              <w:spacing w:line="360" w:lineRule="auto"/>
              <w:jc w:val="center"/>
              <w:rPr>
                <w:rFonts w:hint="eastAsia" w:ascii="楷体" w:hAnsi="楷体" w:eastAsia="楷体"/>
                <w:color w:val="000000"/>
                <w:sz w:val="24"/>
                <w:szCs w:val="21"/>
              </w:rPr>
            </w:pPr>
          </w:p>
        </w:tc>
        <w:tc>
          <w:tcPr>
            <w:tcW w:w="1242" w:type="dxa"/>
            <w:noWrap w:val="0"/>
            <w:textDirection w:val="tbRlV"/>
            <w:vAlign w:val="center"/>
          </w:tcPr>
          <w:p>
            <w:pPr>
              <w:pStyle w:val="10"/>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三等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1.从事一般的作业。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2.具有初中毕业程度的一般基础知识和一定作业的经验。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3.在上司的直接指导下，指导下级。</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vAlign w:val="top"/>
          </w:tcPr>
          <w:p>
            <w:pPr>
              <w:pStyle w:val="10"/>
              <w:spacing w:line="360" w:lineRule="auto"/>
              <w:jc w:val="center"/>
              <w:rPr>
                <w:rFonts w:hint="eastAsia" w:ascii="楷体" w:hAnsi="楷体" w:eastAsia="楷体"/>
                <w:color w:val="000000"/>
                <w:sz w:val="24"/>
                <w:szCs w:val="21"/>
              </w:rPr>
            </w:pPr>
          </w:p>
        </w:tc>
        <w:tc>
          <w:tcPr>
            <w:tcW w:w="1242" w:type="dxa"/>
            <w:noWrap w:val="0"/>
            <w:textDirection w:val="tbRlV"/>
            <w:vAlign w:val="center"/>
          </w:tcPr>
          <w:p>
            <w:pPr>
              <w:pStyle w:val="10"/>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二等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1.从事比较简单的作业。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2.具有初中毕业程度的一般基础知识和一定作业的经验。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3.接受上司的直接指导。</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54" w:type="dxa"/>
            <w:vMerge w:val="continue"/>
            <w:noWrap w:val="0"/>
            <w:vAlign w:val="top"/>
          </w:tcPr>
          <w:p>
            <w:pPr>
              <w:pStyle w:val="10"/>
              <w:spacing w:line="360" w:lineRule="auto"/>
              <w:jc w:val="center"/>
              <w:rPr>
                <w:rFonts w:hint="eastAsia" w:ascii="楷体" w:hAnsi="楷体" w:eastAsia="楷体"/>
                <w:color w:val="000000"/>
                <w:sz w:val="24"/>
                <w:szCs w:val="21"/>
              </w:rPr>
            </w:pPr>
          </w:p>
        </w:tc>
        <w:tc>
          <w:tcPr>
            <w:tcW w:w="1242" w:type="dxa"/>
            <w:noWrap w:val="0"/>
            <w:textDirection w:val="tbRlV"/>
            <w:vAlign w:val="center"/>
          </w:tcPr>
          <w:p>
            <w:pPr>
              <w:pStyle w:val="10"/>
              <w:spacing w:line="360" w:lineRule="auto"/>
              <w:ind w:left="113" w:right="113"/>
              <w:jc w:val="center"/>
              <w:rPr>
                <w:rFonts w:hint="eastAsia" w:ascii="楷体" w:hAnsi="楷体" w:eastAsia="楷体"/>
                <w:color w:val="000000"/>
                <w:sz w:val="24"/>
                <w:szCs w:val="21"/>
              </w:rPr>
            </w:pPr>
            <w:r>
              <w:rPr>
                <w:rFonts w:hint="eastAsia" w:ascii="SimHei" w:hAnsi="SimHei" w:eastAsia="黑体"/>
                <w:color w:val="000000"/>
                <w:sz w:val="24"/>
                <w:szCs w:val="21"/>
              </w:rPr>
              <w:t>一等</w:t>
            </w:r>
          </w:p>
        </w:tc>
        <w:tc>
          <w:tcPr>
            <w:tcW w:w="5949" w:type="dxa"/>
            <w:noWrap w:val="0"/>
            <w:vAlign w:val="center"/>
          </w:tcPr>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1.从事辅助性的作业。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2.具有初中毕业程度的一般基础知识。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3.接受上司的直接指导。</w:t>
            </w:r>
          </w:p>
        </w:tc>
      </w:tr>
    </w:tbl>
    <w:p>
      <w:pPr>
        <w:spacing w:line="360" w:lineRule="auto"/>
        <w:ind w:firstLine="480" w:firstLineChars="200"/>
        <w:rPr>
          <w:rFonts w:ascii="楷体" w:hAnsi="楷体" w:eastAsia="楷体"/>
          <w:color w:val="000000"/>
          <w:sz w:val="24"/>
          <w:szCs w:val="21"/>
        </w:rPr>
      </w:pPr>
    </w:p>
    <w:sectPr>
      <w:footerReference r:id="rId3" w:type="default"/>
      <w:footerReference r:id="rId4" w:type="even"/>
      <w:pgSz w:w="11906" w:h="16838"/>
      <w:pgMar w:top="850" w:right="1474" w:bottom="850" w:left="1474" w:header="624" w:footer="62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vdI0YvQEAAGMDAAAOAAAAAAAAAAEAIAAAAB4BAABkcnMvZTJvRG9jLnhtbFBLBQYAAAAA&#10;BgAGAFkBAABNBQAAAAA=&#10;">
              <v:fill on="f" focussize="0,0"/>
              <v:stroke on="f"/>
              <v:imagedata o:title=""/>
              <o:lock v:ext="edit" aspectratio="f"/>
              <v:textbox inset="0mm,0mm,0mm,0mm" style="mso-fit-shape-to-text:t;">
                <w:txbxContent>
                  <w:p>
                    <w:pPr>
                      <w:pStyle w:val="8"/>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28"/>
    <w:rsid w:val="000379CC"/>
    <w:rsid w:val="000F7A14"/>
    <w:rsid w:val="00146DCC"/>
    <w:rsid w:val="00287157"/>
    <w:rsid w:val="00334749"/>
    <w:rsid w:val="00360FC6"/>
    <w:rsid w:val="00374176"/>
    <w:rsid w:val="003907D9"/>
    <w:rsid w:val="004063A5"/>
    <w:rsid w:val="005069E2"/>
    <w:rsid w:val="00826128"/>
    <w:rsid w:val="00943C28"/>
    <w:rsid w:val="009C707D"/>
    <w:rsid w:val="00AD3492"/>
    <w:rsid w:val="00B62AAC"/>
    <w:rsid w:val="00E610CC"/>
    <w:rsid w:val="2FC36413"/>
    <w:rsid w:val="413B4A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nhideWhenUsed="0" w:uiPriority="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89"/>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qFormat/>
    <w:uiPriority w:val="0"/>
    <w:pPr>
      <w:widowControl/>
      <w:spacing w:before="100" w:beforeAutospacing="1" w:after="100" w:afterAutospacing="1"/>
      <w:jc w:val="left"/>
      <w:outlineLvl w:val="3"/>
    </w:pPr>
    <w:rPr>
      <w:rFonts w:hint="eastAsia" w:ascii="宋体" w:hAnsi="宋体"/>
      <w:b/>
      <w:bCs/>
      <w:kern w:val="0"/>
      <w:sz w:val="24"/>
    </w:rPr>
  </w:style>
  <w:style w:type="character" w:default="1" w:styleId="14">
    <w:name w:val="Default Paragraph Font"/>
    <w:semiHidden/>
    <w:uiPriority w:val="0"/>
  </w:style>
  <w:style w:type="table" w:default="1" w:styleId="13">
    <w:name w:val="Normal Table"/>
    <w:unhideWhenUsed/>
    <w:uiPriority w:val="99"/>
    <w:tblPr>
      <w:tblStyle w:val="13"/>
      <w:tblCellMar>
        <w:top w:w="0" w:type="dxa"/>
        <w:left w:w="108" w:type="dxa"/>
        <w:bottom w:w="0" w:type="dxa"/>
        <w:right w:w="108" w:type="dxa"/>
      </w:tblCellMar>
    </w:tblPr>
  </w:style>
  <w:style w:type="paragraph" w:styleId="5">
    <w:name w:val="Normal Indent"/>
    <w:basedOn w:val="1"/>
    <w:semiHidden/>
    <w:uiPriority w:val="0"/>
    <w:pPr>
      <w:ind w:firstLine="420"/>
    </w:pPr>
    <w:rPr>
      <w:szCs w:val="20"/>
    </w:rPr>
  </w:style>
  <w:style w:type="paragraph" w:styleId="6">
    <w:name w:val="Body Text Indent"/>
    <w:basedOn w:val="1"/>
    <w:semiHidden/>
    <w:uiPriority w:val="0"/>
    <w:pPr>
      <w:ind w:left="416"/>
    </w:pPr>
    <w:rPr>
      <w:rFonts w:ascii="宋体" w:hAnsi="宋体"/>
      <w:szCs w:val="20"/>
    </w:rPr>
  </w:style>
  <w:style w:type="paragraph" w:styleId="7">
    <w:name w:val="Date"/>
    <w:basedOn w:val="1"/>
    <w:next w:val="1"/>
    <w:semiHidden/>
    <w:uiPriority w:val="0"/>
    <w:pPr>
      <w:ind w:left="100" w:leftChars="2500"/>
    </w:pPr>
  </w:style>
  <w:style w:type="paragraph" w:styleId="8">
    <w:name w:val="footer"/>
    <w:basedOn w:val="1"/>
    <w:semiHidden/>
    <w:uiPriority w:val="0"/>
    <w:pPr>
      <w:tabs>
        <w:tab w:val="center" w:pos="4153"/>
        <w:tab w:val="right" w:pos="8306"/>
      </w:tabs>
      <w:snapToGrid w:val="0"/>
      <w:jc w:val="left"/>
    </w:pPr>
    <w:rPr>
      <w:sz w:val="18"/>
      <w:szCs w:val="18"/>
    </w:rPr>
  </w:style>
  <w:style w:type="paragraph" w:styleId="9">
    <w:name w:val="header"/>
    <w:basedOn w:val="1"/>
    <w:semiHidden/>
    <w:uiPriority w:val="0"/>
    <w:pPr>
      <w:tabs>
        <w:tab w:val="center" w:pos="4153"/>
        <w:tab w:val="right" w:pos="8306"/>
      </w:tabs>
      <w:snapToGrid w:val="0"/>
      <w:jc w:val="center"/>
    </w:pPr>
    <w:rPr>
      <w:sz w:val="18"/>
      <w:szCs w:val="18"/>
    </w:rPr>
  </w:style>
  <w:style w:type="paragraph" w:styleId="10">
    <w:name w:val="HTML Preformatted"/>
    <w:basedOn w:val="1"/>
    <w:semiHidden/>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11">
    <w:name w:val="Normal (Web)"/>
    <w:basedOn w:val="1"/>
    <w:semiHidden/>
    <w:uiPriority w:val="0"/>
    <w:pPr>
      <w:widowControl/>
      <w:spacing w:before="100" w:beforeAutospacing="1" w:after="100" w:afterAutospacing="1"/>
      <w:jc w:val="left"/>
    </w:pPr>
    <w:rPr>
      <w:rFonts w:ascii="宋体" w:hAnsi="宋体"/>
      <w:kern w:val="0"/>
      <w:sz w:val="24"/>
    </w:rPr>
  </w:style>
  <w:style w:type="paragraph" w:styleId="12">
    <w:name w:val="Title"/>
    <w:basedOn w:val="1"/>
    <w:next w:val="1"/>
    <w:link w:val="90"/>
    <w:qFormat/>
    <w:uiPriority w:val="0"/>
    <w:pPr>
      <w:adjustRightInd w:val="0"/>
      <w:spacing w:before="240" w:after="60" w:line="312" w:lineRule="atLeast"/>
      <w:jc w:val="center"/>
      <w:textAlignment w:val="baseline"/>
      <w:outlineLvl w:val="0"/>
    </w:pPr>
    <w:rPr>
      <w:rFonts w:ascii="Cambria" w:hAnsi="Cambria"/>
      <w:b/>
      <w:bCs/>
      <w:kern w:val="0"/>
      <w:sz w:val="32"/>
      <w:szCs w:val="32"/>
    </w:rPr>
  </w:style>
  <w:style w:type="character" w:styleId="15">
    <w:name w:val="Strong"/>
    <w:basedOn w:val="14"/>
    <w:qFormat/>
    <w:uiPriority w:val="0"/>
    <w:rPr>
      <w:b/>
      <w:bCs/>
    </w:rPr>
  </w:style>
  <w:style w:type="character" w:styleId="16">
    <w:name w:val="page number"/>
    <w:basedOn w:val="14"/>
    <w:unhideWhenUsed/>
    <w:uiPriority w:val="99"/>
  </w:style>
  <w:style w:type="character" w:styleId="17">
    <w:name w:val="FollowedHyperlink"/>
    <w:basedOn w:val="14"/>
    <w:semiHidden/>
    <w:uiPriority w:val="0"/>
    <w:rPr>
      <w:color w:val="800080"/>
      <w:u w:val="single"/>
    </w:rPr>
  </w:style>
  <w:style w:type="character" w:styleId="18">
    <w:name w:val="Hyperlink"/>
    <w:basedOn w:val="14"/>
    <w:semiHidden/>
    <w:uiPriority w:val="0"/>
    <w:rPr>
      <w:color w:val="0000FF"/>
      <w:u w:val="single"/>
    </w:rPr>
  </w:style>
  <w:style w:type="paragraph" w:customStyle="1" w:styleId="19">
    <w:name w:val="font10"/>
    <w:basedOn w:val="1"/>
    <w:uiPriority w:val="0"/>
    <w:pPr>
      <w:widowControl/>
      <w:spacing w:before="100" w:beforeAutospacing="1" w:after="100" w:afterAutospacing="1"/>
      <w:jc w:val="left"/>
    </w:pPr>
    <w:rPr>
      <w:kern w:val="0"/>
      <w:szCs w:val="21"/>
    </w:rPr>
  </w:style>
  <w:style w:type="paragraph" w:customStyle="1" w:styleId="20">
    <w:name w:val="font6"/>
    <w:basedOn w:val="1"/>
    <w:uiPriority w:val="0"/>
    <w:pPr>
      <w:widowControl/>
      <w:spacing w:before="100" w:beforeAutospacing="1" w:after="100" w:afterAutospacing="1"/>
      <w:jc w:val="left"/>
    </w:pPr>
    <w:rPr>
      <w:b/>
      <w:bCs/>
      <w:kern w:val="0"/>
      <w:sz w:val="32"/>
      <w:szCs w:val="32"/>
    </w:rPr>
  </w:style>
  <w:style w:type="paragraph" w:customStyle="1" w:styleId="21">
    <w:name w:val="xl24"/>
    <w:basedOn w:val="1"/>
    <w:uiPriority w:val="0"/>
    <w:pPr>
      <w:widowControl/>
      <w:spacing w:before="100" w:beforeAutospacing="1" w:after="100" w:afterAutospacing="1"/>
      <w:jc w:val="center"/>
    </w:pPr>
    <w:rPr>
      <w:rFonts w:ascii="宋体" w:hAnsi="宋体"/>
      <w:b/>
      <w:bCs/>
      <w:kern w:val="0"/>
      <w:sz w:val="32"/>
      <w:szCs w:val="32"/>
    </w:rPr>
  </w:style>
  <w:style w:type="paragraph" w:customStyle="1" w:styleId="22">
    <w:name w:val="font9"/>
    <w:basedOn w:val="1"/>
    <w:uiPriority w:val="0"/>
    <w:pPr>
      <w:widowControl/>
      <w:spacing w:before="100" w:beforeAutospacing="1" w:after="100" w:afterAutospacing="1"/>
      <w:jc w:val="left"/>
    </w:pPr>
    <w:rPr>
      <w:rFonts w:hint="eastAsia" w:ascii="宋体" w:hAnsi="宋体"/>
      <w:b/>
      <w:bCs/>
      <w:kern w:val="0"/>
      <w:szCs w:val="21"/>
    </w:rPr>
  </w:style>
  <w:style w:type="paragraph" w:customStyle="1" w:styleId="23">
    <w:name w:val="font5"/>
    <w:basedOn w:val="1"/>
    <w:uiPriority w:val="0"/>
    <w:pPr>
      <w:widowControl/>
      <w:spacing w:before="100" w:beforeAutospacing="1" w:after="100" w:afterAutospacing="1"/>
      <w:jc w:val="left"/>
    </w:pPr>
    <w:rPr>
      <w:rFonts w:hint="eastAsia" w:ascii="宋体" w:hAnsi="宋体"/>
      <w:b/>
      <w:bCs/>
      <w:kern w:val="0"/>
      <w:sz w:val="32"/>
      <w:szCs w:val="32"/>
    </w:rPr>
  </w:style>
  <w:style w:type="paragraph" w:customStyle="1" w:styleId="24">
    <w:name w:val="xl25"/>
    <w:basedOn w:val="1"/>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5">
    <w:name w:val="font12"/>
    <w:basedOn w:val="1"/>
    <w:uiPriority w:val="0"/>
    <w:pPr>
      <w:widowControl/>
      <w:spacing w:before="100" w:beforeAutospacing="1" w:after="100" w:afterAutospacing="1"/>
      <w:jc w:val="left"/>
    </w:pPr>
    <w:rPr>
      <w:rFonts w:hint="eastAsia" w:ascii="宋体" w:hAnsi="宋体"/>
      <w:b/>
      <w:bCs/>
      <w:kern w:val="0"/>
      <w:szCs w:val="21"/>
      <w:u w:val="single"/>
    </w:rPr>
  </w:style>
  <w:style w:type="paragraph" w:customStyle="1" w:styleId="26">
    <w:name w:val="font8"/>
    <w:basedOn w:val="1"/>
    <w:uiPriority w:val="0"/>
    <w:pPr>
      <w:widowControl/>
      <w:spacing w:before="100" w:beforeAutospacing="1" w:after="100" w:afterAutospacing="1"/>
      <w:jc w:val="left"/>
    </w:pPr>
    <w:rPr>
      <w:rFonts w:hint="eastAsia" w:ascii="宋体" w:hAnsi="宋体"/>
      <w:kern w:val="0"/>
      <w:szCs w:val="21"/>
    </w:rPr>
  </w:style>
  <w:style w:type="paragraph" w:customStyle="1" w:styleId="27">
    <w:name w:val="font11"/>
    <w:basedOn w:val="1"/>
    <w:uiPriority w:val="0"/>
    <w:pPr>
      <w:widowControl/>
      <w:spacing w:before="100" w:beforeAutospacing="1" w:after="100" w:afterAutospacing="1"/>
      <w:jc w:val="left"/>
    </w:pPr>
    <w:rPr>
      <w:b/>
      <w:bCs/>
      <w:kern w:val="0"/>
      <w:szCs w:val="21"/>
    </w:rPr>
  </w:style>
  <w:style w:type="paragraph" w:customStyle="1" w:styleId="28">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9">
    <w:name w:val="line18"/>
    <w:basedOn w:val="1"/>
    <w:uiPriority w:val="0"/>
    <w:pPr>
      <w:widowControl/>
      <w:spacing w:before="100" w:beforeAutospacing="1" w:after="100" w:afterAutospacing="1" w:line="270" w:lineRule="atLeast"/>
      <w:jc w:val="left"/>
    </w:pPr>
    <w:rPr>
      <w:rFonts w:ascii="_x000B__x000C_" w:hAnsi="_x000B__x000C_"/>
      <w:color w:val="333333"/>
      <w:kern w:val="0"/>
      <w:sz w:val="18"/>
      <w:szCs w:val="18"/>
    </w:rPr>
  </w:style>
  <w:style w:type="paragraph" w:customStyle="1" w:styleId="30">
    <w:name w:val="xl60"/>
    <w:basedOn w:val="1"/>
    <w:uiPriority w:val="0"/>
    <w:pPr>
      <w:widowControl/>
      <w:pBdr>
        <w:top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31">
    <w:name w:val="xl78"/>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top"/>
    </w:pPr>
    <w:rPr>
      <w:rFonts w:ascii="宋体" w:hAnsi="宋体"/>
      <w:kern w:val="0"/>
      <w:szCs w:val="21"/>
    </w:rPr>
  </w:style>
  <w:style w:type="paragraph" w:customStyle="1" w:styleId="32">
    <w:name w:val="xl29"/>
    <w:basedOn w:val="1"/>
    <w:uiPriority w:val="0"/>
    <w:pPr>
      <w:widowControl/>
      <w:pBdr>
        <w:top w:val="single" w:color="auto" w:sz="4" w:space="0"/>
        <w:left w:val="double" w:color="auto" w:sz="6" w:space="0"/>
        <w:bottom w:val="single" w:color="auto" w:sz="8"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33">
    <w:name w:val="xl43"/>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34">
    <w:name w:val="xl56"/>
    <w:basedOn w:val="1"/>
    <w:uiPriority w:val="0"/>
    <w:pPr>
      <w:widowControl/>
      <w:pBdr>
        <w:top w:val="single" w:color="auto" w:sz="4"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35">
    <w:name w:val="xl36"/>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36">
    <w:name w:val="xl51"/>
    <w:basedOn w:val="1"/>
    <w:uiPriority w:val="0"/>
    <w:pPr>
      <w:widowControl/>
      <w:pBdr>
        <w:top w:val="double" w:color="auto" w:sz="6" w:space="0"/>
        <w:left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37">
    <w:name w:val="xl67"/>
    <w:basedOn w:val="1"/>
    <w:uiPriority w:val="0"/>
    <w:pPr>
      <w:widowControl/>
      <w:pBdr>
        <w:top w:val="single" w:color="auto" w:sz="4" w:space="0"/>
        <w:bottom w:val="double" w:color="auto" w:sz="6" w:space="0"/>
      </w:pBdr>
      <w:spacing w:before="100" w:beforeAutospacing="1" w:after="100" w:afterAutospacing="1"/>
      <w:jc w:val="center"/>
      <w:textAlignment w:val="center"/>
    </w:pPr>
    <w:rPr>
      <w:rFonts w:ascii="宋体" w:hAnsi="宋体"/>
      <w:kern w:val="0"/>
      <w:szCs w:val="21"/>
    </w:rPr>
  </w:style>
  <w:style w:type="paragraph" w:customStyle="1" w:styleId="38">
    <w:name w:val="xl3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39">
    <w:name w:val="xl49"/>
    <w:basedOn w:val="1"/>
    <w:uiPriority w:val="0"/>
    <w:pPr>
      <w:widowControl/>
      <w:spacing w:before="100" w:beforeAutospacing="1" w:after="100" w:afterAutospacing="1"/>
      <w:jc w:val="center"/>
      <w:textAlignment w:val="center"/>
    </w:pPr>
    <w:rPr>
      <w:kern w:val="0"/>
      <w:szCs w:val="21"/>
    </w:rPr>
  </w:style>
  <w:style w:type="paragraph" w:customStyle="1" w:styleId="40">
    <w:name w:val="xl40"/>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41">
    <w:name w:val="xl28"/>
    <w:basedOn w:val="1"/>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42">
    <w:name w:val="xl33"/>
    <w:basedOn w:val="1"/>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43">
    <w:name w:val="xl47"/>
    <w:basedOn w:val="1"/>
    <w:uiPriority w:val="0"/>
    <w:pPr>
      <w:widowControl/>
      <w:spacing w:before="100" w:beforeAutospacing="1" w:after="100" w:afterAutospacing="1"/>
      <w:jc w:val="center"/>
      <w:textAlignment w:val="center"/>
    </w:pPr>
    <w:rPr>
      <w:rFonts w:ascii="宋体" w:hAnsi="宋体"/>
      <w:b/>
      <w:bCs/>
      <w:kern w:val="0"/>
      <w:szCs w:val="21"/>
    </w:rPr>
  </w:style>
  <w:style w:type="paragraph" w:customStyle="1" w:styleId="44">
    <w:name w:val="xl70"/>
    <w:basedOn w:val="1"/>
    <w:uiPriority w:val="0"/>
    <w:pPr>
      <w:widowControl/>
      <w:pBdr>
        <w:bottom w:val="double" w:color="auto" w:sz="6" w:space="0"/>
      </w:pBdr>
      <w:spacing w:before="100" w:beforeAutospacing="1" w:after="100" w:afterAutospacing="1"/>
      <w:jc w:val="center"/>
      <w:textAlignment w:val="center"/>
    </w:pPr>
    <w:rPr>
      <w:rFonts w:ascii="宋体" w:hAnsi="宋体"/>
      <w:b/>
      <w:bCs/>
      <w:kern w:val="0"/>
      <w:sz w:val="28"/>
      <w:szCs w:val="28"/>
    </w:rPr>
  </w:style>
  <w:style w:type="paragraph" w:customStyle="1" w:styleId="45">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46">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47">
    <w:name w:val="xl32"/>
    <w:basedOn w:val="1"/>
    <w:uiPriority w:val="0"/>
    <w:pPr>
      <w:widowControl/>
      <w:pBdr>
        <w:top w:val="single" w:color="auto" w:sz="4" w:space="0"/>
        <w:left w:val="single" w:color="auto" w:sz="4" w:space="0"/>
        <w:bottom w:val="single" w:color="auto" w:sz="8"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48">
    <w:name w:val="xl27"/>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49">
    <w:name w:val="xl61"/>
    <w:basedOn w:val="1"/>
    <w:uiPriority w:val="0"/>
    <w:pPr>
      <w:widowControl/>
      <w:pBdr>
        <w:top w:val="double" w:color="auto" w:sz="6" w:space="0"/>
        <w:bottom w:val="single" w:color="auto" w:sz="4" w:space="0"/>
        <w:right w:val="double" w:color="auto" w:sz="6" w:space="0"/>
      </w:pBdr>
      <w:spacing w:before="100" w:beforeAutospacing="1" w:after="100" w:afterAutospacing="1"/>
      <w:jc w:val="left"/>
      <w:textAlignment w:val="center"/>
    </w:pPr>
    <w:rPr>
      <w:b/>
      <w:bCs/>
      <w:kern w:val="0"/>
      <w:szCs w:val="21"/>
    </w:rPr>
  </w:style>
  <w:style w:type="paragraph" w:customStyle="1" w:styleId="50">
    <w:name w:val="xl42"/>
    <w:basedOn w:val="1"/>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51">
    <w:name w:val="xl55"/>
    <w:basedOn w:val="1"/>
    <w:uiPriority w:val="0"/>
    <w:pPr>
      <w:widowControl/>
      <w:pBdr>
        <w:top w:val="single" w:color="auto" w:sz="4" w:space="0"/>
        <w:left w:val="double" w:color="auto" w:sz="6"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52">
    <w:name w:val="xl50"/>
    <w:basedOn w:val="1"/>
    <w:uiPriority w:val="0"/>
    <w:pPr>
      <w:widowControl/>
      <w:pBdr>
        <w:top w:val="double" w:color="auto" w:sz="6" w:space="0"/>
        <w:bottom w:val="double" w:color="auto" w:sz="6" w:space="0"/>
      </w:pBdr>
      <w:spacing w:before="100" w:beforeAutospacing="1" w:after="100" w:afterAutospacing="1"/>
      <w:jc w:val="center"/>
      <w:textAlignment w:val="center"/>
    </w:pPr>
    <w:rPr>
      <w:kern w:val="0"/>
      <w:szCs w:val="21"/>
    </w:rPr>
  </w:style>
  <w:style w:type="paragraph" w:customStyle="1" w:styleId="53">
    <w:name w:val="xl46"/>
    <w:basedOn w:val="1"/>
    <w:uiPriority w:val="0"/>
    <w:pPr>
      <w:widowControl/>
      <w:pBdr>
        <w:left w:val="double" w:color="auto" w:sz="6" w:space="0"/>
      </w:pBdr>
      <w:spacing w:before="100" w:beforeAutospacing="1" w:after="100" w:afterAutospacing="1"/>
      <w:jc w:val="center"/>
      <w:textAlignment w:val="center"/>
    </w:pPr>
    <w:rPr>
      <w:rFonts w:ascii="宋体" w:hAnsi="宋体"/>
      <w:b/>
      <w:bCs/>
      <w:kern w:val="0"/>
      <w:szCs w:val="21"/>
    </w:rPr>
  </w:style>
  <w:style w:type="paragraph" w:customStyle="1" w:styleId="54">
    <w:name w:val="xl74"/>
    <w:basedOn w:val="1"/>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textAlignment w:val="top"/>
    </w:pPr>
    <w:rPr>
      <w:rFonts w:ascii="宋体" w:hAnsi="宋体"/>
      <w:b/>
      <w:bCs/>
      <w:kern w:val="0"/>
      <w:szCs w:val="21"/>
    </w:rPr>
  </w:style>
  <w:style w:type="paragraph" w:customStyle="1" w:styleId="55">
    <w:name w:val="xl30"/>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56">
    <w:name w:val="xl48"/>
    <w:basedOn w:val="1"/>
    <w:uiPriority w:val="0"/>
    <w:pPr>
      <w:widowControl/>
      <w:spacing w:before="100" w:beforeAutospacing="1" w:after="100" w:afterAutospacing="1"/>
      <w:jc w:val="center"/>
      <w:textAlignment w:val="center"/>
    </w:pPr>
    <w:rPr>
      <w:b/>
      <w:bCs/>
      <w:kern w:val="0"/>
      <w:szCs w:val="21"/>
    </w:rPr>
  </w:style>
  <w:style w:type="paragraph" w:customStyle="1" w:styleId="57">
    <w:name w:val="xl26"/>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58">
    <w:name w:val="xl82"/>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textAlignment w:val="top"/>
    </w:pPr>
    <w:rPr>
      <w:rFonts w:ascii="宋体" w:hAnsi="宋体"/>
      <w:kern w:val="0"/>
      <w:szCs w:val="21"/>
    </w:rPr>
  </w:style>
  <w:style w:type="paragraph" w:customStyle="1" w:styleId="59">
    <w:name w:val="xl58"/>
    <w:basedOn w:val="1"/>
    <w:uiPriority w:val="0"/>
    <w:pPr>
      <w:widowControl/>
      <w:pBdr>
        <w:top w:val="double" w:color="auto" w:sz="6"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60">
    <w:name w:val="xl52"/>
    <w:basedOn w:val="1"/>
    <w:uiPriority w:val="0"/>
    <w:pPr>
      <w:widowControl/>
      <w:pBdr>
        <w:top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61">
    <w:name w:val="xl53"/>
    <w:basedOn w:val="1"/>
    <w:uiPriority w:val="0"/>
    <w:pPr>
      <w:widowControl/>
      <w:pBdr>
        <w:top w:val="double" w:color="auto" w:sz="6" w:space="0"/>
        <w:bottom w:val="single" w:color="auto" w:sz="4" w:space="0"/>
      </w:pBdr>
      <w:spacing w:before="100" w:beforeAutospacing="1" w:after="100" w:afterAutospacing="1"/>
      <w:jc w:val="left"/>
      <w:textAlignment w:val="center"/>
    </w:pPr>
    <w:rPr>
      <w:rFonts w:ascii="宋体" w:hAnsi="宋体"/>
      <w:b/>
      <w:bCs/>
      <w:kern w:val="0"/>
      <w:szCs w:val="21"/>
      <w:u w:val="single"/>
    </w:rPr>
  </w:style>
  <w:style w:type="paragraph" w:customStyle="1" w:styleId="62">
    <w:name w:val="xl63"/>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63">
    <w:name w:val="xl44"/>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Cs w:val="21"/>
    </w:rPr>
  </w:style>
  <w:style w:type="paragraph" w:customStyle="1" w:styleId="64">
    <w:name w:val="xl39"/>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65">
    <w:name w:val="xl75"/>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66">
    <w:name w:val="xl31"/>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67">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Cs w:val="21"/>
    </w:rPr>
  </w:style>
  <w:style w:type="paragraph" w:customStyle="1" w:styleId="68">
    <w:name w:val="xl57"/>
    <w:basedOn w:val="1"/>
    <w:uiPriority w:val="0"/>
    <w:pPr>
      <w:widowControl/>
      <w:pBdr>
        <w:top w:val="single" w:color="auto" w:sz="4" w:space="0"/>
        <w:bottom w:val="double" w:color="auto" w:sz="6"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69">
    <w:name w:val="xl72"/>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70">
    <w:name w:val="xl45"/>
    <w:basedOn w:val="1"/>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center"/>
      <w:textAlignment w:val="center"/>
    </w:pPr>
    <w:rPr>
      <w:kern w:val="0"/>
      <w:szCs w:val="21"/>
    </w:rPr>
  </w:style>
  <w:style w:type="paragraph" w:customStyle="1" w:styleId="71">
    <w:name w:val="xl83"/>
    <w:basedOn w:val="1"/>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textAlignment w:val="top"/>
    </w:pPr>
    <w:rPr>
      <w:rFonts w:ascii="宋体" w:hAnsi="宋体"/>
      <w:kern w:val="0"/>
      <w:szCs w:val="21"/>
    </w:rPr>
  </w:style>
  <w:style w:type="paragraph" w:customStyle="1" w:styleId="72">
    <w:name w:val="xl81"/>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Cs w:val="21"/>
    </w:rPr>
  </w:style>
  <w:style w:type="paragraph" w:customStyle="1" w:styleId="73">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Cs w:val="21"/>
    </w:rPr>
  </w:style>
  <w:style w:type="paragraph" w:customStyle="1" w:styleId="74">
    <w:name w:val="xl35"/>
    <w:basedOn w:val="1"/>
    <w:uiPriority w:val="0"/>
    <w:pPr>
      <w:widowControl/>
      <w:pBdr>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b/>
      <w:bCs/>
      <w:kern w:val="0"/>
      <w:szCs w:val="21"/>
    </w:rPr>
  </w:style>
  <w:style w:type="paragraph" w:customStyle="1" w:styleId="75">
    <w:name w:val="xl59"/>
    <w:basedOn w:val="1"/>
    <w:uiPriority w:val="0"/>
    <w:pPr>
      <w:widowControl/>
      <w:pBdr>
        <w:top w:val="double" w:color="auto" w:sz="6" w:space="0"/>
        <w:left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76">
    <w:name w:val="xl80"/>
    <w:basedOn w:val="1"/>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77">
    <w:name w:val="xl54"/>
    <w:basedOn w:val="1"/>
    <w:uiPriority w:val="0"/>
    <w:pPr>
      <w:widowControl/>
      <w:pBdr>
        <w:top w:val="double" w:color="auto" w:sz="6" w:space="0"/>
        <w:bottom w:val="single" w:color="auto" w:sz="4" w:space="0"/>
        <w:right w:val="double" w:color="auto" w:sz="6" w:space="0"/>
      </w:pBdr>
      <w:spacing w:before="100" w:beforeAutospacing="1" w:after="100" w:afterAutospacing="1"/>
      <w:jc w:val="left"/>
      <w:textAlignment w:val="center"/>
    </w:pPr>
    <w:rPr>
      <w:rFonts w:ascii="宋体" w:hAnsi="宋体"/>
      <w:b/>
      <w:bCs/>
      <w:kern w:val="0"/>
      <w:szCs w:val="21"/>
      <w:u w:val="single"/>
    </w:rPr>
  </w:style>
  <w:style w:type="paragraph" w:customStyle="1" w:styleId="78">
    <w:name w:val="Plain Text"/>
    <w:basedOn w:val="1"/>
    <w:uiPriority w:val="0"/>
    <w:pPr>
      <w:adjustRightInd w:val="0"/>
      <w:textAlignment w:val="baseline"/>
    </w:pPr>
    <w:rPr>
      <w:rFonts w:ascii="宋体" w:hAnsi="Courier New"/>
      <w:szCs w:val="20"/>
    </w:rPr>
  </w:style>
  <w:style w:type="paragraph" w:customStyle="1" w:styleId="79">
    <w:name w:val="xl62"/>
    <w:basedOn w:val="1"/>
    <w:uiPriority w:val="0"/>
    <w:pPr>
      <w:widowControl/>
      <w:pBdr>
        <w:top w:val="single" w:color="auto" w:sz="4" w:space="0"/>
        <w:left w:val="double" w:color="auto" w:sz="6"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xl64"/>
    <w:basedOn w:val="1"/>
    <w:uiPriority w:val="0"/>
    <w:pPr>
      <w:widowControl/>
      <w:pBdr>
        <w:top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81">
    <w:name w:val="xl65"/>
    <w:basedOn w:val="1"/>
    <w:uiPriority w:val="0"/>
    <w:pPr>
      <w:widowControl/>
      <w:pBdr>
        <w:left w:val="double" w:color="auto" w:sz="6"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82">
    <w:name w:val="xl66"/>
    <w:basedOn w:val="1"/>
    <w:uiPriority w:val="0"/>
    <w:pPr>
      <w:widowControl/>
      <w:pBdr>
        <w:left w:val="double" w:color="auto" w:sz="6" w:space="0"/>
        <w:bottom w:val="double" w:color="auto" w:sz="6" w:space="0"/>
      </w:pBdr>
      <w:spacing w:before="100" w:beforeAutospacing="1" w:after="100" w:afterAutospacing="1"/>
      <w:jc w:val="center"/>
      <w:textAlignment w:val="center"/>
    </w:pPr>
    <w:rPr>
      <w:rFonts w:ascii="宋体" w:hAnsi="宋体"/>
      <w:kern w:val="0"/>
      <w:szCs w:val="21"/>
    </w:rPr>
  </w:style>
  <w:style w:type="paragraph" w:customStyle="1" w:styleId="83">
    <w:name w:val="xl68"/>
    <w:basedOn w:val="1"/>
    <w:uiPriority w:val="0"/>
    <w:pPr>
      <w:widowControl/>
      <w:pBdr>
        <w:top w:val="single" w:color="auto" w:sz="4" w:space="0"/>
        <w:bottom w:val="double" w:color="auto" w:sz="6"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84">
    <w:name w:val="xl69"/>
    <w:basedOn w:val="1"/>
    <w:uiPriority w:val="0"/>
    <w:pPr>
      <w:widowControl/>
      <w:spacing w:before="100" w:beforeAutospacing="1" w:after="100" w:afterAutospacing="1"/>
      <w:jc w:val="center"/>
      <w:textAlignment w:val="center"/>
    </w:pPr>
    <w:rPr>
      <w:rFonts w:ascii="宋体" w:hAnsi="宋体"/>
      <w:kern w:val="0"/>
      <w:szCs w:val="21"/>
    </w:rPr>
  </w:style>
  <w:style w:type="paragraph" w:customStyle="1" w:styleId="85">
    <w:name w:val="xl71"/>
    <w:basedOn w:val="1"/>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86">
    <w:name w:val="xl73"/>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b/>
      <w:bCs/>
      <w:kern w:val="0"/>
      <w:szCs w:val="21"/>
    </w:rPr>
  </w:style>
  <w:style w:type="paragraph" w:customStyle="1" w:styleId="8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88">
    <w:name w:val="xl79"/>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character" w:customStyle="1" w:styleId="89">
    <w:name w:val="标题 1 Char"/>
    <w:basedOn w:val="14"/>
    <w:link w:val="2"/>
    <w:uiPriority w:val="0"/>
    <w:rPr>
      <w:b/>
      <w:bCs/>
      <w:kern w:val="44"/>
      <w:sz w:val="44"/>
      <w:szCs w:val="44"/>
    </w:rPr>
  </w:style>
  <w:style w:type="character" w:customStyle="1" w:styleId="90">
    <w:name w:val="标题 Char"/>
    <w:basedOn w:val="14"/>
    <w:link w:val="12"/>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IMON1~1.000\LOCALS~1\Temp\Rar$DI00.083\h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hr</Template>
  <Company>Gloucester Waalker</Company>
  <Pages>12</Pages>
  <Words>952</Words>
  <Characters>5431</Characters>
  <Lines>45</Lines>
  <Paragraphs>12</Paragraphs>
  <TotalTime>0</TotalTime>
  <ScaleCrop>false</ScaleCrop>
  <LinksUpToDate>false</LinksUpToDate>
  <CharactersWithSpaces>6371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2019-04-08T10:28:00Z</dcterms:created>
  <dc:creator>simon</dc:creator>
  <cp:lastModifiedBy>Administrator</cp:lastModifiedBy>
  <dcterms:modified xsi:type="dcterms:W3CDTF">2019-10-18T02:38:23Z</dcterms:modified>
  <dc:title>关于中国人力资源网介绍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