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450"/>
        <w:ind w:firstLine="567"/>
        <w:jc w:val="center"/>
        <w:rPr>
          <w:rStyle w:val="Style14"/>
          <w:rFonts w:ascii="宋体" w:hAnsi="宋体" w:eastAsia="宋体" w:cs="宋体"/>
          <w:b/>
          <w:b/>
          <w:bCs/>
          <w:color w:val="000000"/>
          <w:sz w:val="36"/>
          <w:szCs w:val="36"/>
          <w:lang w:val="en-US" w:eastAsia="en-US" w:bidi="en-US"/>
        </w:rPr>
      </w:pPr>
      <w:r>
        <w:rPr>
          <w:rStyle w:val="Style14"/>
          <w:rFonts w:ascii="SimHei" w:hAnsi="SimHei" w:cs="宋体" w:eastAsia="黑体"/>
          <w:b/>
          <w:bCs/>
          <w:color w:val="000000"/>
          <w:sz w:val="36"/>
          <w:szCs w:val="36"/>
          <w:lang w:val="en-US" w:eastAsia="en-US" w:bidi="en-US"/>
        </w:rPr>
        <w:t xml:space="preserve">薪酬保密制度 </w:t>
      </w:r>
    </w:p>
    <w:p>
      <w:pPr>
        <w:pStyle w:val="Normal"/>
        <w:rPr>
          <w:rStyle w:val="Style14"/>
          <w:rFonts w:ascii="宋体" w:hAnsi="宋体" w:eastAsia="宋体" w:cs="宋体"/>
          <w:b/>
          <w:b/>
          <w:bCs/>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 xml:space="preserve">一、制定目的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1</w:t>
      </w:r>
      <w:r>
        <w:rPr>
          <w:rStyle w:val="Style14"/>
          <w:rFonts w:ascii="SimHei" w:hAnsi="SimHei" w:cs="宋体" w:eastAsia="黑体"/>
          <w:color w:val="000000"/>
          <w:sz w:val="24"/>
          <w:lang w:val="en-US" w:eastAsia="en-US" w:bidi="en-US"/>
        </w:rPr>
        <w:t>、为实现规范化管理</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保守公司经营秘密</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保护员工个人私隐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2</w:t>
      </w:r>
      <w:r>
        <w:rPr>
          <w:rStyle w:val="Style14"/>
          <w:rFonts w:ascii="SimHei" w:hAnsi="SimHei" w:cs="宋体" w:eastAsia="黑体"/>
          <w:color w:val="000000"/>
          <w:sz w:val="24"/>
          <w:lang w:val="en-US" w:eastAsia="en-US" w:bidi="en-US"/>
        </w:rPr>
        <w:t>、为维护公司稳定的工作氛围与改善公司激励环境</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配合薪酬管理制度的顺利实施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 xml:space="preserve">二、适用范围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1</w:t>
      </w:r>
      <w:r>
        <w:rPr>
          <w:rStyle w:val="Style14"/>
          <w:rFonts w:ascii="SimHei" w:hAnsi="SimHei" w:cs="宋体" w:eastAsia="黑体"/>
          <w:color w:val="000000"/>
          <w:sz w:val="24"/>
          <w:lang w:val="en-US" w:eastAsia="en-US" w:bidi="en-US"/>
        </w:rPr>
        <w:t>、本制度适用于公司全体员工</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含劳务工、临时工与在校实习生</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2</w:t>
      </w:r>
      <w:r>
        <w:rPr>
          <w:rStyle w:val="Style14"/>
          <w:rFonts w:ascii="SimHei" w:hAnsi="SimHei" w:cs="宋体" w:eastAsia="黑体"/>
          <w:color w:val="000000"/>
          <w:sz w:val="24"/>
          <w:lang w:val="en-US" w:eastAsia="en-US" w:bidi="en-US"/>
        </w:rPr>
        <w:t>、本制度适用于公司全体员工的薪资操作过程</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3</w:t>
      </w:r>
      <w:r>
        <w:rPr>
          <w:rStyle w:val="Style14"/>
          <w:rFonts w:ascii="SimHei" w:hAnsi="SimHei" w:cs="宋体" w:eastAsia="黑体"/>
          <w:color w:val="000000"/>
          <w:sz w:val="24"/>
          <w:lang w:val="en-US" w:eastAsia="en-US" w:bidi="en-US"/>
        </w:rPr>
        <w:t>、本制度适用于监督全体员工的薪资保密行为</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4</w:t>
      </w:r>
      <w:r>
        <w:rPr>
          <w:rStyle w:val="Style14"/>
          <w:rFonts w:ascii="SimHei" w:hAnsi="SimHei" w:cs="宋体" w:eastAsia="黑体"/>
          <w:color w:val="000000"/>
          <w:sz w:val="24"/>
          <w:lang w:val="en-US" w:eastAsia="en-US" w:bidi="en-US"/>
        </w:rPr>
        <w:t xml:space="preserve">、本制度适用于薪资泄密行为的举报、处理等过程。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 xml:space="preserve">三、定义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1</w:t>
      </w:r>
      <w:r>
        <w:rPr>
          <w:rStyle w:val="Style14"/>
          <w:rFonts w:ascii="SimHei" w:hAnsi="SimHei" w:cs="宋体" w:eastAsia="黑体"/>
          <w:color w:val="000000"/>
          <w:sz w:val="24"/>
          <w:lang w:val="en-US" w:eastAsia="en-US" w:bidi="en-US"/>
        </w:rPr>
        <w:t>、薪资作业人员</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指参与薪资确定、调整、编制、核算、发放、调阅的各部门负责人及负责人事、财务相关工作的岗位人员。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2</w:t>
      </w:r>
      <w:r>
        <w:rPr>
          <w:rStyle w:val="Style14"/>
          <w:rFonts w:ascii="SimHei" w:hAnsi="SimHei" w:cs="宋体" w:eastAsia="黑体"/>
          <w:color w:val="000000"/>
          <w:sz w:val="24"/>
          <w:lang w:val="en-US" w:eastAsia="en-US" w:bidi="en-US"/>
        </w:rPr>
        <w:t>、薪酬信息知情人</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指因工作需要</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被授权知悉部分或全部薪酬信息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 xml:space="preserve">四、保密内容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1</w:t>
      </w:r>
      <w:r>
        <w:rPr>
          <w:rStyle w:val="Style14"/>
          <w:rFonts w:ascii="SimHei" w:hAnsi="SimHei" w:cs="宋体" w:eastAsia="黑体"/>
          <w:color w:val="000000"/>
          <w:sz w:val="24"/>
          <w:lang w:val="en-US" w:eastAsia="en-US" w:bidi="en-US"/>
        </w:rPr>
        <w:t>、薪资作业过程包含但不限于</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新进职工定薪、职工调薪过程、薪资资料保存过程、薪资核算过程、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薪资发放过程、薪资资料查阅过程等</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2</w:t>
      </w:r>
      <w:r>
        <w:rPr>
          <w:rStyle w:val="Style14"/>
          <w:rFonts w:ascii="SimHei" w:hAnsi="SimHei" w:cs="宋体" w:eastAsia="黑体"/>
          <w:color w:val="000000"/>
          <w:sz w:val="24"/>
          <w:lang w:val="en-US" w:eastAsia="en-US" w:bidi="en-US"/>
        </w:rPr>
        <w:t>、调薪资料</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包含入职、调薪、等</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经核准后</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应由综合部统一保存于薪资资料专柜中</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3</w:t>
      </w:r>
      <w:r>
        <w:rPr>
          <w:rStyle w:val="Style14"/>
          <w:rFonts w:ascii="SimHei" w:hAnsi="SimHei" w:cs="宋体" w:eastAsia="黑体"/>
          <w:color w:val="000000"/>
          <w:sz w:val="24"/>
          <w:lang w:val="en-US" w:eastAsia="en-US" w:bidi="en-US"/>
        </w:rPr>
        <w:t>、综合部负责编制薪酬发放表</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编制薪酬表的电子文档须加密</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以防泄密。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4</w:t>
      </w:r>
      <w:r>
        <w:rPr>
          <w:rStyle w:val="Style14"/>
          <w:rFonts w:ascii="SimHei" w:hAnsi="SimHei" w:cs="宋体" w:eastAsia="黑体"/>
          <w:color w:val="000000"/>
          <w:sz w:val="24"/>
          <w:lang w:val="en-US" w:eastAsia="en-US" w:bidi="en-US"/>
        </w:rPr>
        <w:t>、编制薪酬表的人员如在制作薪酬表时有其他事情离开工作现场</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不得将薪酬表和相关的薪酬资料摊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放在桌面上</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必须收集起来放入专门的档案柜内加锁</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以免他人翻阅</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并关闭打开的电脑文档。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5</w:t>
      </w:r>
      <w:r>
        <w:rPr>
          <w:rStyle w:val="Style14"/>
          <w:rFonts w:ascii="SimHei" w:hAnsi="SimHei" w:cs="宋体" w:eastAsia="黑体"/>
          <w:color w:val="000000"/>
          <w:sz w:val="24"/>
          <w:lang w:val="en-US" w:eastAsia="en-US" w:bidi="en-US"/>
        </w:rPr>
        <w:t xml:space="preserve">、薪资作业人员一律不得向未获授权的任何人透露公司薪酬信息。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6</w:t>
      </w:r>
      <w:r>
        <w:rPr>
          <w:rStyle w:val="Style14"/>
          <w:rFonts w:ascii="SimHei" w:hAnsi="SimHei" w:cs="宋体" w:eastAsia="黑体"/>
          <w:color w:val="000000"/>
          <w:sz w:val="24"/>
          <w:lang w:val="en-US" w:eastAsia="en-US" w:bidi="en-US"/>
        </w:rPr>
        <w:t>、员工可向综合部查询自己的薪酬信息</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如有疑问</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可由综合部安排在非公开的场地进行面谈</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 xml:space="preserve">严禁在公开场合询问或谈论个人或他人薪酬话题。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6</w:t>
      </w:r>
      <w:r>
        <w:rPr>
          <w:rStyle w:val="Style14"/>
          <w:rFonts w:ascii="SimHei" w:hAnsi="SimHei" w:cs="宋体" w:eastAsia="黑体"/>
          <w:color w:val="000000"/>
          <w:sz w:val="24"/>
          <w:lang w:val="en-US" w:eastAsia="en-US" w:bidi="en-US"/>
        </w:rPr>
        <w:t>、未经总经理审批</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严禁公司任何员工以任何方式向任何人透露自己或询问其他人员的薪酬状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 xml:space="preserve">况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7</w:t>
      </w:r>
      <w:r>
        <w:rPr>
          <w:rStyle w:val="Style14"/>
          <w:rFonts w:ascii="SimHei" w:hAnsi="SimHei" w:cs="宋体" w:eastAsia="黑体"/>
          <w:color w:val="000000"/>
          <w:sz w:val="24"/>
          <w:lang w:val="en-US" w:eastAsia="en-US" w:bidi="en-US"/>
        </w:rPr>
        <w:t>、各部门负责人因工作需要调阅本部门人员薪资资料时</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须经总</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副</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经理核准</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否则</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综合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部有权不予受理</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原则上部门负责人只能申请查阅所管辖部门下属的薪资资料。对于所有的关于薪酬查询的请求</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一律只提供电子信息</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不提供纸质信息。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8</w:t>
      </w:r>
      <w:r>
        <w:rPr>
          <w:rStyle w:val="Style14"/>
          <w:rFonts w:ascii="SimHei" w:hAnsi="SimHei" w:cs="宋体" w:eastAsia="黑体"/>
          <w:color w:val="000000"/>
          <w:sz w:val="24"/>
          <w:lang w:val="en-US" w:eastAsia="en-US" w:bidi="en-US"/>
        </w:rPr>
        <w:t xml:space="preserve">、财务应制定有效措施确保财务人员在发放薪资时应以有效措施保证薪资保密。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五、保障措置</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配合公司奖惩制度</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1</w:t>
      </w:r>
      <w:r>
        <w:rPr>
          <w:rStyle w:val="Style14"/>
          <w:rFonts w:ascii="SimHei" w:hAnsi="SimHei" w:cs="宋体" w:eastAsia="黑体"/>
          <w:color w:val="000000"/>
          <w:sz w:val="24"/>
          <w:lang w:val="en-US" w:eastAsia="en-US" w:bidi="en-US"/>
        </w:rPr>
        <w:t>、凡因薪资作业人员行为造成薪资泄密的</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一经查实</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给予当事人记大过一次处理</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2</w:t>
      </w:r>
      <w:r>
        <w:rPr>
          <w:rStyle w:val="Style14"/>
          <w:rFonts w:ascii="SimHei" w:hAnsi="SimHei" w:cs="宋体" w:eastAsia="黑体"/>
          <w:color w:val="000000"/>
          <w:sz w:val="24"/>
          <w:lang w:val="en-US" w:eastAsia="en-US" w:bidi="en-US"/>
        </w:rPr>
        <w:t>、薪资作业人员主动造成薪资资料泄密的</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一经查实</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给予当事人即时开除处理</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必要时可追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加经济责任赔偿</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3</w:t>
      </w:r>
      <w:r>
        <w:rPr>
          <w:rStyle w:val="Style14"/>
          <w:rFonts w:ascii="SimHei" w:hAnsi="SimHei" w:cs="宋体" w:eastAsia="黑体"/>
          <w:color w:val="000000"/>
          <w:sz w:val="24"/>
          <w:lang w:val="en-US" w:eastAsia="en-US" w:bidi="en-US"/>
        </w:rPr>
        <w:t>、全体职工不得询问其他职工的薪资情况</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一经查实</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第一次给予当事人警告一次处理</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第二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次给予当事人记大过一次处理</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第三次即开除出公司</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4</w:t>
      </w:r>
      <w:r>
        <w:rPr>
          <w:rStyle w:val="Style14"/>
          <w:rFonts w:ascii="SimHei" w:hAnsi="SimHei" w:cs="宋体" w:eastAsia="黑体"/>
          <w:color w:val="000000"/>
          <w:sz w:val="24"/>
          <w:lang w:val="en-US" w:eastAsia="en-US" w:bidi="en-US"/>
        </w:rPr>
        <w:t>、全体职工任何时候都不得泄露自己的薪资资料</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一经查实</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第一次给予当事人警告一次处理</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第二次给予当事人记大过一次处理</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第三次即开除出公司</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5</w:t>
      </w:r>
      <w:r>
        <w:rPr>
          <w:rStyle w:val="Style14"/>
          <w:rFonts w:ascii="SimHei" w:hAnsi="SimHei" w:cs="宋体" w:eastAsia="黑体"/>
          <w:color w:val="000000"/>
          <w:sz w:val="24"/>
          <w:lang w:val="en-US" w:eastAsia="en-US" w:bidi="en-US"/>
        </w:rPr>
        <w:t>、职工主动散播自己的薪资资料造成恶劣影响的</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一经查实</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给予当事人立即开除处分</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并不给予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任何经济补偿</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6</w:t>
      </w:r>
      <w:r>
        <w:rPr>
          <w:rStyle w:val="Style14"/>
          <w:rFonts w:ascii="SimHei" w:hAnsi="SimHei" w:cs="宋体" w:eastAsia="黑体"/>
          <w:color w:val="000000"/>
          <w:sz w:val="24"/>
          <w:lang w:val="en-US" w:eastAsia="en-US" w:bidi="en-US"/>
        </w:rPr>
        <w:t>、公司欢迎广大职工揭发、检举薪资泄密事件</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凡检举薪资作业人员违反薪资保密制度</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造成薪资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泄密的</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一经查实</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给予检举人记小功一次</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凡检举职工有散播自已薪资资料或询问他人薪资资料者</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一经查实</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给予检举人嘉奖一次。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六、制定、变更与作废</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eastAsia="黑体" w:cs="宋体" w:ascii="SimHei" w:hAnsi="SimHei"/>
          <w:color w:val="000000"/>
          <w:sz w:val="24"/>
          <w:lang w:val="en-US" w:eastAsia="en-US" w:bidi="en-US"/>
        </w:rPr>
        <w:t>1</w:t>
      </w:r>
      <w:r>
        <w:rPr>
          <w:rStyle w:val="Style14"/>
          <w:rFonts w:ascii="SimHei" w:hAnsi="SimHei" w:cs="宋体" w:eastAsia="黑体"/>
          <w:color w:val="000000"/>
          <w:sz w:val="24"/>
          <w:lang w:val="en-US" w:eastAsia="en-US" w:bidi="en-US"/>
        </w:rPr>
        <w:t>、本办法为公司保密管理制度的</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由综合部编写</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经总经理审批后公布实施</w:t>
      </w:r>
      <w:r>
        <w:rPr>
          <w:rStyle w:val="Style14"/>
          <w:rFonts w:eastAsia="黑体" w:cs="宋体" w:ascii="SimHei" w:hAnsi="SimHei"/>
          <w:color w:val="000000"/>
          <w:sz w:val="24"/>
          <w:lang w:val="en-US" w:eastAsia="en-US" w:bidi="en-US"/>
        </w:rPr>
        <w:t>,</w:t>
      </w:r>
      <w:r>
        <w:rPr>
          <w:rStyle w:val="Style14"/>
          <w:rFonts w:ascii="SimHei" w:hAnsi="SimHei" w:cs="宋体" w:eastAsia="黑体"/>
          <w:color w:val="000000"/>
          <w:sz w:val="24"/>
          <w:lang w:val="en-US" w:eastAsia="en-US" w:bidi="en-US"/>
        </w:rPr>
        <w:t xml:space="preserve">修改、废止时亦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spacing w:lineRule="atLeast" w:line="450"/>
        <w:ind w:firstLine="567"/>
        <w:rPr>
          <w:rStyle w:val="Style14"/>
          <w:rFonts w:ascii="宋体" w:hAnsi="宋体" w:eastAsia="宋体" w:cs="宋体"/>
          <w:color w:val="000000"/>
          <w:sz w:val="24"/>
          <w:szCs w:val="24"/>
          <w:lang w:val="en-US" w:eastAsia="en-US" w:bidi="en-US"/>
        </w:rPr>
      </w:pPr>
      <w:r>
        <w:rPr>
          <w:rStyle w:val="Style14"/>
          <w:rFonts w:ascii="SimHei" w:hAnsi="SimHei" w:cs="宋体" w:eastAsia="黑体"/>
          <w:color w:val="000000"/>
          <w:sz w:val="24"/>
          <w:lang w:val="en-US" w:eastAsia="en-US" w:bidi="en-US"/>
        </w:rPr>
        <w:t>同</w:t>
      </w:r>
      <w:r>
        <w:rPr>
          <w:rStyle w:val="Style14"/>
          <w:rFonts w:eastAsia="黑体" w:cs="宋体" w:ascii="SimHei" w:hAnsi="SimHei"/>
          <w:color w:val="000000"/>
          <w:sz w:val="24"/>
          <w:lang w:val="en-US" w:eastAsia="en-US" w:bidi="en-US"/>
        </w:rPr>
        <w:t xml:space="preserve">; </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numPr>
          <w:ilvl w:val="0"/>
          <w:numId w:val="1"/>
        </w:numPr>
        <w:spacing w:lineRule="atLeast" w:line="450"/>
        <w:ind w:start="0" w:firstLine="567"/>
        <w:rPr>
          <w:rStyle w:val="Style14"/>
          <w:rFonts w:ascii="宋体" w:hAnsi="宋体" w:eastAsia="宋体" w:cs="宋体"/>
          <w:color w:val="000000"/>
          <w:sz w:val="24"/>
          <w:lang w:val="en-US" w:eastAsia="en-US" w:bidi="en-US"/>
        </w:rPr>
      </w:pPr>
      <w:r>
        <w:rPr>
          <w:rStyle w:val="Style14"/>
          <w:rFonts w:ascii="SimHei" w:hAnsi="SimHei" w:cs="宋体" w:eastAsia="黑体"/>
          <w:color w:val="000000"/>
          <w:sz w:val="24"/>
          <w:lang w:val="en-US" w:eastAsia="en-US" w:bidi="en-US"/>
        </w:rPr>
        <w:t xml:space="preserve">本办法自年月日起实施。 </w:t>
      </w:r>
    </w:p>
    <w:p>
      <w:pPr>
        <w:pStyle w:val="Normal"/>
        <w:numPr>
          <w:ilvl w:val="0"/>
          <w:numId w:val="0"/>
        </w:numPr>
        <w:spacing w:lineRule="atLeast" w:line="450"/>
        <w:ind w:start="0" w:hanging="0"/>
        <w:rPr>
          <w:rStyle w:val="Style14"/>
          <w:rFonts w:ascii="宋体" w:hAnsi="宋体" w:eastAsia="宋体" w:cs="宋体"/>
          <w:color w:val="000000"/>
          <w:sz w:val="24"/>
          <w:lang w:val="en-US" w:eastAsia="en-US" w:bidi="en-US"/>
        </w:rPr>
      </w:pPr>
      <w:r>
        <w:rPr>
          <w:rFonts w:ascii="SimHei" w:hAnsi="SimHei" w:eastAsia="黑体"/>
        </w:rPr>
      </w:r>
    </w:p>
    <w:p>
      <w:pPr>
        <w:pStyle w:val="Normal"/>
        <w:numPr>
          <w:ilvl w:val="0"/>
          <w:numId w:val="0"/>
        </w:numPr>
        <w:spacing w:lineRule="atLeast" w:line="450"/>
        <w:ind w:start="0" w:hanging="0"/>
        <w:rPr>
          <w:rStyle w:val="Style14"/>
          <w:rFonts w:ascii="宋体" w:hAnsi="宋体" w:eastAsia="宋体" w:cs="宋体"/>
          <w:color w:val="000000"/>
          <w:sz w:val="24"/>
          <w:lang w:val="en-US" w:eastAsia="zh-CN" w:bidi="en-US"/>
        </w:rPr>
      </w:pPr>
      <w:r>
        <w:rPr>
          <w:rStyle w:val="Style14"/>
          <w:rFonts w:eastAsia="黑体" w:cs="宋体" w:ascii="SimHei" w:hAnsi="SimHei"/>
          <w:color w:val="000000"/>
          <w:sz w:val="24"/>
          <w:lang w:val="en-US" w:eastAsia="zh-CN" w:bidi="en-US"/>
        </w:rPr>
        <w:t xml:space="preserve">                                                         </w:t>
      </w:r>
      <w:r>
        <w:rPr>
          <w:rStyle w:val="Style14"/>
          <w:rFonts w:eastAsia="黑体" w:cs="宋体" w:ascii="SimHei" w:hAnsi="SimHei"/>
          <w:color w:val="000000"/>
          <w:sz w:val="24"/>
          <w:lang w:val="en-US" w:eastAsia="zh-CN" w:bidi="en-US"/>
        </w:rPr>
        <w:t>2022</w:t>
      </w:r>
      <w:r>
        <w:rPr>
          <w:rStyle w:val="Style14"/>
          <w:rFonts w:ascii="SimHei" w:hAnsi="SimHei" w:cs="宋体" w:eastAsia="黑体"/>
          <w:color w:val="000000"/>
          <w:sz w:val="24"/>
          <w:lang w:val="en-US" w:eastAsia="zh-CN" w:bidi="en-US"/>
        </w:rPr>
        <w:t>年</w:t>
      </w:r>
      <w:r>
        <w:rPr>
          <w:rStyle w:val="Style14"/>
          <w:rFonts w:eastAsia="黑体" w:cs="宋体" w:ascii="SimHei" w:hAnsi="SimHei"/>
          <w:color w:val="000000"/>
          <w:sz w:val="24"/>
          <w:lang w:val="en-US" w:eastAsia="zh-CN" w:bidi="en-US"/>
        </w:rPr>
        <w:t>1</w:t>
      </w:r>
      <w:r>
        <w:rPr>
          <w:rStyle w:val="Style14"/>
          <w:rFonts w:ascii="SimHei" w:hAnsi="SimHei" w:cs="宋体" w:eastAsia="黑体"/>
          <w:color w:val="000000"/>
          <w:sz w:val="24"/>
          <w:lang w:val="en-US" w:eastAsia="zh-CN" w:bidi="en-US"/>
        </w:rPr>
        <w:t>月</w:t>
      </w:r>
      <w:r>
        <w:rPr>
          <w:rStyle w:val="Style14"/>
          <w:rFonts w:eastAsia="黑体" w:cs="宋体" w:ascii="SimHei" w:hAnsi="SimHei"/>
          <w:color w:val="000000"/>
          <w:sz w:val="24"/>
          <w:lang w:val="en-US" w:eastAsia="zh-CN" w:bidi="en-US"/>
        </w:rPr>
        <w:t>1</w:t>
      </w:r>
      <w:r>
        <w:rPr>
          <w:rStyle w:val="Style14"/>
          <w:rFonts w:ascii="SimHei" w:hAnsi="SimHei" w:cs="宋体" w:eastAsia="黑体"/>
          <w:color w:val="000000"/>
          <w:sz w:val="24"/>
          <w:lang w:val="en-US" w:eastAsia="zh-CN" w:bidi="en-US"/>
        </w:rPr>
        <w:t>日</w:t>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p>
      <w:pPr>
        <w:pStyle w:val="Normal"/>
        <w:rPr>
          <w:rStyle w:val="Style14"/>
          <w:rFonts w:ascii="宋体" w:hAnsi="宋体" w:eastAsia="宋体" w:cs="宋体"/>
          <w:color w:val="000000"/>
          <w:sz w:val="24"/>
          <w:szCs w:val="24"/>
          <w:lang w:val="en-US" w:eastAsia="en-US" w:bidi="en-US"/>
        </w:rPr>
      </w:pPr>
      <w:r>
        <w:rPr>
          <w:rFonts w:ascii="SimHei" w:hAnsi="SimHei" w:eastAsia="黑体"/>
        </w:rPr>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cc" w:characterSet="windows-1251"/>
    <w:family w:val="roman"/>
    <w:pitch w:val="default"/>
  </w:font>
  <w:font w:name="Liberation Sans">
    <w:altName w:val="Arial"/>
    <w:charset w:val="01" w:characterSet="utf-8"/>
    <w:family w:val="swiss"/>
    <w:pitch w:val="variable"/>
  </w:font>
  <w:font w:name="宋体">
    <w:charset w:val="86"/>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suff w:val="nothing"/>
      <w:lvlText w:val="%1、"/>
      <w:lvlJc w:val="start"/>
      <w:pPr>
        <w:tabs>
          <w:tab w:val="num" w:pos="0"/>
        </w:tabs>
        <w:ind w:start="0" w:hanging="0"/>
      </w:pPr>
      <w:rPr>
        <w:rFonts w:cs="宋体"/>
        <w:lang w:val="en-US"/>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WW8Num1z0">
    <w:name w:val="WW8Num1z0"/>
    <w:qFormat/>
    <w:rPr>
      <w:rFonts w:cs="宋体"/>
      <w:lang w:val="en-US"/>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2022-07-12T00:24:10Z</dcterms:created>
  <dc:creator>共创咨询</dc:creator>
  <dc:description/>
  <dc:language>en-US</dc:language>
  <cp:lastModifiedBy>共创咨询</cp:lastModifiedBy>
  <dcterms:modified xsi:type="dcterms:W3CDTF">2022-07-12T00:24:52Z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A565669077F7476493E728C5AA01D3E6</vt:lpwstr>
  </property>
  <property fmtid="{D5CDD505-2E9C-101B-9397-08002B2CF9AE}" pid="3" name="KSOProductBuildVer">
    <vt:lpwstr>2052-11.1.0.11830</vt:lpwstr>
  </property>
  <property fmtid="{D5CDD505-2E9C-101B-9397-08002B2CF9AE}" pid="4" name="commondata">
    <vt:lpwstr>commondata</vt:lpwstr>
  </property>
</Properties>
</file>