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spacing w:before="240" w:after="60"/>
        <w:rPr>
          <w:rFonts w:ascii="黑体;SimHei" w:hAnsi="黑体;SimHei" w:eastAsia="黑体;SimHei" w:cs="黑体;SimHei"/>
          <w:sz w:val="48"/>
        </w:rPr>
      </w:pPr>
      <w:r>
        <w:rPr>
          <w:rFonts w:ascii="SimHei" w:hAnsi="SimHei" w:cs="黑体;SimHei" w:eastAsia="黑体"/>
          <w:sz w:val="48"/>
        </w:rPr>
        <w:t>薪酬设计的原则</w:t>
      </w:r>
    </w:p>
    <w:p>
      <w:pPr>
        <w:pStyle w:val="Normal"/>
        <w:rPr>
          <w:rFonts w:ascii="黑体;SimHei" w:hAnsi="黑体;SimHei" w:eastAsia="黑体;SimHei" w:cs="黑体;SimHei"/>
          <w:sz w:val="48"/>
        </w:rPr>
      </w:pPr>
      <w:r>
        <w:rPr>
          <w:rFonts w:eastAsia="黑体" w:cs="黑体;SimHei" w:ascii="SimHei" w:hAnsi="SimHei"/>
          <w:sz w:val="48"/>
        </w:rPr>
      </w:r>
    </w:p>
    <w:p>
      <w:pPr>
        <w:pStyle w:val="Subtitle"/>
        <w:jc w:val="start"/>
        <w:rPr/>
      </w:pPr>
      <w:r>
        <w:rPr>
          <w:rFonts w:ascii="SimHei" w:hAnsi="SimHei" w:eastAsia="黑体"/>
        </w:rPr>
        <w:t>一、公平原则</w:t>
      </w:r>
      <w:r>
        <w:rPr>
          <w:rFonts w:cs="Cambria" w:eastAsia="黑体" w:ascii="SimHei" w:hAnsi="SimHei"/>
        </w:rPr>
        <w:t xml:space="preserve"> </w:t>
      </w:r>
    </w:p>
    <w:p>
      <w:pPr>
        <w:pStyle w:val="Normal"/>
        <w:ind w:firstLine="210"/>
        <w:rPr/>
      </w:pPr>
      <w:r>
        <w:rPr>
          <w:rFonts w:ascii="SimHei" w:hAnsi="SimHei" w:eastAsia="黑体"/>
        </w:rPr>
      </w:r>
    </w:p>
    <w:p>
      <w:pPr>
        <w:pStyle w:val="Normal"/>
        <w:ind w:firstLine="210"/>
        <w:rPr/>
      </w:pPr>
      <w:r>
        <w:rPr>
          <w:rFonts w:ascii="SimHei" w:hAnsi="SimHei" w:eastAsia="黑体"/>
        </w:rPr>
        <w:t>公平是薪酬设计的基础，只有在员工认为薪酬设计是公平的前提下，才可能产生认同感和满意度，才可能产生薪酬的激励作用。公平原则是制定薪酬体系首要考虑的一个重要原则，因为这是一个心理原则，也是一个感受原则。</w:t>
      </w:r>
      <w:r>
        <w:rPr>
          <w:rFonts w:eastAsia="黑体" w:ascii="SimHei" w:hAnsi="SimHei"/>
        </w:rPr>
        <w:t xml:space="preserve"> </w:t>
      </w:r>
    </w:p>
    <w:p>
      <w:pPr>
        <w:pStyle w:val="Normal"/>
        <w:ind w:firstLine="210"/>
        <w:rPr/>
      </w:pPr>
      <w:r>
        <w:rPr>
          <w:rFonts w:ascii="SimHei" w:hAnsi="SimHei" w:eastAsia="黑体"/>
        </w:rPr>
        <w:t>员工对公平的感受通常包括五个方面的内容：第一是与外部其他类似企业（或类似岗位）比较所产生的感受；第二是员工对本企业薪酬体系分配机制和人才价值取向的感受；第三是将个人薪酬与公司其他类似职位（或类似工作量的人）的薪酬相比较所产生的感受；第四是对企业薪酬制度执行过程中的严格性、公正性和公开性所产生的感受；第五是对最终获得薪酬多少的感受。</w:t>
      </w:r>
      <w:r>
        <w:rPr>
          <w:rFonts w:eastAsia="黑体" w:ascii="SimHei" w:hAnsi="SimHei"/>
        </w:rPr>
        <w:t xml:space="preserve"> </w:t>
      </w:r>
    </w:p>
    <w:p>
      <w:pPr>
        <w:pStyle w:val="Normal"/>
        <w:rPr/>
      </w:pPr>
      <w:r>
        <w:rPr>
          <w:rFonts w:ascii="SimHei" w:hAnsi="SimHei" w:eastAsia="黑体"/>
        </w:rPr>
      </w:r>
    </w:p>
    <w:p>
      <w:pPr>
        <w:pStyle w:val="Subtitle"/>
        <w:jc w:val="start"/>
        <w:rPr/>
      </w:pPr>
      <w:r>
        <w:rPr>
          <w:rFonts w:ascii="SimHei" w:hAnsi="SimHei" w:eastAsia="黑体"/>
        </w:rPr>
        <w:t>二、竞争原则</w:t>
      </w:r>
      <w:r>
        <w:rPr>
          <w:rFonts w:cs="Cambria"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企业想要获得具有真正竞争力的优秀人才，必须要制定出一套对人才具有吸引力并在行业中具有竞争力的薪酬系统。如果企业制定的薪酬水平太低，那么在与其他企业的人才竞争中必然处于劣势地位，甚至本企业的优秀人才也会流失。在进行薪酬设计时，除了较高的薪酬水平和恰当的薪酬价值观外，企业应针对各类员工的自身特点制定灵活多元化的薪酬结构以增强对员工的吸引力。</w:t>
      </w:r>
      <w:r>
        <w:rPr>
          <w:rFonts w:eastAsia="黑体" w:ascii="SimHei" w:hAnsi="SimHei"/>
        </w:rPr>
        <w:t xml:space="preserve"> </w:t>
      </w:r>
    </w:p>
    <w:p>
      <w:pPr>
        <w:pStyle w:val="Normal"/>
        <w:rPr/>
      </w:pPr>
      <w:r>
        <w:rPr>
          <w:rFonts w:ascii="SimHei" w:hAnsi="SimHei" w:eastAsia="黑体"/>
        </w:rPr>
      </w:r>
    </w:p>
    <w:p>
      <w:pPr>
        <w:pStyle w:val="Subtitle"/>
        <w:jc w:val="start"/>
        <w:rPr/>
      </w:pPr>
      <w:r>
        <w:rPr>
          <w:rFonts w:ascii="SimHei" w:hAnsi="SimHei" w:eastAsia="黑体"/>
        </w:rPr>
        <w:t>三、激励原则</w:t>
      </w:r>
      <w:r>
        <w:rPr>
          <w:rFonts w:cs="Cambria" w:eastAsia="黑体" w:ascii="SimHei" w:hAnsi="SimHei"/>
        </w:rPr>
        <w:t xml:space="preserve"> </w:t>
      </w:r>
    </w:p>
    <w:p>
      <w:pPr>
        <w:pStyle w:val="Normal"/>
        <w:rPr/>
      </w:pPr>
      <w:r>
        <w:rPr>
          <w:rFonts w:ascii="SimHei" w:hAnsi="SimHei" w:eastAsia="黑体"/>
        </w:rPr>
      </w:r>
    </w:p>
    <w:p>
      <w:pPr>
        <w:pStyle w:val="Normal"/>
        <w:rPr/>
      </w:pPr>
      <w:r>
        <w:rPr>
          <w:rFonts w:ascii="SimHei" w:hAnsi="SimHei" w:eastAsia="黑体"/>
        </w:rPr>
        <w:t xml:space="preserve">　　对一般企业来说，通过薪酬系统来激励员工的责任心和工作的积极性是最常见和最常用的方法。一个科学合理的薪酬系统对员工的激励是最持久也是最根本的激励，因为科学合理的薪酬系统解决了人力资源所有问题中最根本的分配问题。</w:t>
      </w:r>
      <w:r>
        <w:rPr>
          <w:rFonts w:eastAsia="黑体" w:ascii="SimHei" w:hAnsi="SimHei"/>
        </w:rPr>
        <w:t xml:space="preserve"> </w:t>
      </w:r>
    </w:p>
    <w:p>
      <w:pPr>
        <w:pStyle w:val="Normal"/>
        <w:rPr/>
      </w:pPr>
      <w:r>
        <w:rPr>
          <w:rFonts w:ascii="SimHei" w:hAnsi="SimHei" w:eastAsia="黑体"/>
        </w:rPr>
        <w:t xml:space="preserve">　　简单的高薪并不能有效地激励员工，一个能让员工有效发挥自身能力和责任的机制、一个努力得越多回报就越多的机制、一个不努力就只有很少回报甚至没有回报的机制、一个按绩效分配而不是按“劳动”分配的机制，才能有效地激励员工，也只有建立在这种机制之上的薪酬系统，才能真正解决企业的激励问题。</w:t>
      </w:r>
      <w:r>
        <w:rPr>
          <w:rFonts w:eastAsia="黑体" w:ascii="SimHei" w:hAnsi="SimHei"/>
        </w:rPr>
        <w:t xml:space="preserve"> </w:t>
      </w:r>
    </w:p>
    <w:p>
      <w:pPr>
        <w:pStyle w:val="Normal"/>
        <w:rPr/>
      </w:pPr>
      <w:r>
        <w:rPr>
          <w:rFonts w:ascii="SimHei" w:hAnsi="SimHei" w:eastAsia="黑体"/>
        </w:rPr>
      </w:r>
    </w:p>
    <w:p>
      <w:pPr>
        <w:pStyle w:val="Subtitle"/>
        <w:jc w:val="start"/>
        <w:rPr/>
      </w:pPr>
      <w:r>
        <w:rPr>
          <w:rFonts w:ascii="SimHei" w:hAnsi="SimHei" w:eastAsia="黑体"/>
        </w:rPr>
        <w:t>四、经济原则</w:t>
      </w:r>
      <w:r>
        <w:rPr>
          <w:rFonts w:cs="Cambria" w:eastAsia="黑体" w:ascii="SimHei" w:hAnsi="SimHei"/>
        </w:rPr>
        <w:t xml:space="preserve"> </w:t>
      </w:r>
    </w:p>
    <w:p>
      <w:pPr>
        <w:pStyle w:val="Normal"/>
        <w:rPr/>
      </w:pPr>
      <w:r>
        <w:rPr>
          <w:rFonts w:ascii="SimHei" w:hAnsi="SimHei" w:eastAsia="黑体"/>
        </w:rPr>
        <w:t xml:space="preserve">　　经济原则在表面上与竞争原则和激励原则是相互对立和矛盾的。竞争原则和激励原则提倡较高的薪酬水平，而经济原则则提倡较低的薪酬水平，但实际上三者并不对立也不矛盾，而是统一的。当三个原则同时作用于企业的薪酬系统时，竞争原则和激励原则就受到经济原则的制约。这时企业管理者所考虑的因素就不仅仅是薪酬系统的吸引力和激励性了，还会考虑企业承受能力的大小、利润的合理积累等问题。</w:t>
      </w:r>
      <w:r>
        <w:rPr>
          <w:rFonts w:eastAsia="黑体" w:ascii="SimHei" w:hAnsi="SimHei"/>
        </w:rPr>
        <w:t xml:space="preserve"> </w:t>
      </w:r>
    </w:p>
    <w:p>
      <w:pPr>
        <w:pStyle w:val="Normal"/>
        <w:rPr/>
      </w:pPr>
      <w:r>
        <w:rPr>
          <w:rFonts w:ascii="SimHei" w:hAnsi="SimHei" w:eastAsia="黑体"/>
        </w:rPr>
        <w:t xml:space="preserve">　　经济原则的另一方面是要合理配置劳动力资源，当劳动力资源数量过剩或配置过高，都会导致企业薪酬的浪费。只有企业劳动力资源的数量需求与数量配置保持一致，学历、技能等的要求与配置大体相当时，资源利用才具有经济性。</w:t>
      </w:r>
      <w:r>
        <w:rPr>
          <w:rFonts w:eastAsia="黑体" w:ascii="SimHei" w:hAnsi="SimHei"/>
        </w:rPr>
        <w:t xml:space="preserve"> </w:t>
      </w:r>
    </w:p>
    <w:p>
      <w:pPr>
        <w:pStyle w:val="Normal"/>
        <w:rPr/>
      </w:pPr>
      <w:r>
        <w:rPr>
          <w:rFonts w:ascii="SimHei" w:hAnsi="SimHei" w:eastAsia="黑体"/>
        </w:rPr>
      </w:r>
    </w:p>
    <w:p>
      <w:pPr>
        <w:pStyle w:val="Subtitle"/>
        <w:jc w:val="start"/>
        <w:rPr/>
      </w:pPr>
      <w:r>
        <w:rPr>
          <w:rFonts w:ascii="SimHei" w:hAnsi="SimHei" w:eastAsia="黑体"/>
        </w:rPr>
        <w:t>五、合法原则</w:t>
      </w:r>
      <w:r>
        <w:rPr>
          <w:rFonts w:cs="Cambria" w:eastAsia="黑体" w:ascii="SimHei" w:hAnsi="SimHei"/>
        </w:rPr>
        <w:t xml:space="preserve"> </w:t>
      </w:r>
    </w:p>
    <w:p>
      <w:pPr>
        <w:pStyle w:val="Normal"/>
        <w:rPr/>
      </w:pPr>
      <w:r>
        <w:rPr>
          <w:rFonts w:ascii="SimHei" w:hAnsi="SimHei" w:eastAsia="黑体"/>
        </w:rPr>
      </w:r>
    </w:p>
    <w:p>
      <w:pPr>
        <w:pStyle w:val="Normal"/>
        <w:ind w:firstLine="420"/>
        <w:rPr/>
      </w:pPr>
      <w:r>
        <w:rPr>
          <w:rFonts w:ascii="SimHei" w:hAnsi="SimHei" w:eastAsia="黑体"/>
        </w:rPr>
        <w:t>薪酬系统的合法性是必不可少的，合法是建立在遵守国家相关政策、法律法规和企业一系列管理制度基础之上的合法。如果企业的薪酬系统与现行的国家政策和法律法规、企业管理制度不相符和，则企业应该迅速进行改进使其具有合法性。</w:t>
      </w:r>
    </w:p>
    <w:p>
      <w:pPr>
        <w:pStyle w:val="Normal"/>
        <w:ind w:firstLine="420"/>
        <w:rPr/>
      </w:pPr>
      <w:r>
        <w:rPr>
          <w:rFonts w:ascii="SimHei" w:hAnsi="SimHei" w:eastAsia="黑体"/>
        </w:rPr>
      </w:r>
    </w:p>
    <w:p>
      <w:pPr>
        <w:pStyle w:val="Subtitle"/>
        <w:jc w:val="start"/>
        <w:rPr/>
      </w:pPr>
      <w:r>
        <w:rPr>
          <w:rFonts w:ascii="SimHei" w:hAnsi="SimHei" w:eastAsia="黑体"/>
        </w:rPr>
        <w:t>六、补偿性原则</w:t>
      </w:r>
    </w:p>
    <w:p>
      <w:pPr>
        <w:pStyle w:val="Normal"/>
        <w:ind w:firstLine="420"/>
        <w:rPr/>
      </w:pPr>
      <w:r>
        <w:rPr>
          <w:rFonts w:ascii="SimHei" w:hAnsi="SimHei" w:eastAsia="黑体"/>
        </w:rPr>
        <w:t>薪酬应保证员工收入能足以补偿其付出的费用，着不仅应该包括补偿与员工恢复工作精力所必要的衣食住行费用，而且还应补偿员工为开展工作所必须投入的用于学习知识、技能等的费用。</w:t>
      </w:r>
    </w:p>
    <w:p>
      <w:pPr>
        <w:pStyle w:val="Normal"/>
        <w:ind w:firstLine="420"/>
        <w:rPr/>
      </w:pPr>
      <w:r>
        <w:rPr>
          <w:rFonts w:ascii="SimHei" w:hAnsi="SimHei" w:eastAsia="黑体"/>
        </w:rPr>
      </w:r>
    </w:p>
    <w:p>
      <w:pPr>
        <w:pStyle w:val="Subtitle"/>
        <w:jc w:val="start"/>
        <w:rPr/>
      </w:pPr>
      <w:r>
        <w:rPr>
          <w:rFonts w:ascii="SimHei" w:hAnsi="SimHei" w:eastAsia="黑体"/>
        </w:rPr>
        <w:t>七、战略导向性原则</w:t>
      </w:r>
    </w:p>
    <w:p>
      <w:pPr>
        <w:pStyle w:val="Normal"/>
        <w:ind w:firstLine="420"/>
        <w:rPr/>
      </w:pPr>
      <w:r>
        <w:rPr>
          <w:rFonts w:ascii="SimHei" w:hAnsi="SimHei" w:eastAsia="黑体"/>
        </w:rPr>
        <w:t>合理的薪酬制度有助于企业发展战略的实现。企业在进行薪酬设计时，必须从企业的战略的角度进行分析。要分析复仇因素中哪些因素相对重要，哪些因素相对次要，并赋予这些因素相应的权重，从而确定个岗位价值的大小。在此基础上进行薪酬制度设计能较好的体现企业战略发展的要求。</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widowControl/>
        <w:numPr>
          <w:ilvl w:val="0"/>
          <w:numId w:val="0"/>
        </w:numPr>
        <w:pBdr>
          <w:bottom w:val="single" w:sz="6" w:space="2" w:color="CEC39C"/>
        </w:pBdr>
        <w:spacing w:lineRule="atLeast" w:line="336" w:before="0" w:after="60"/>
        <w:jc w:val="start"/>
        <w:outlineLvl w:val="1"/>
        <w:rPr>
          <w:rFonts w:ascii="Arial" w:hAnsi="Arial" w:cs="Arial"/>
          <w:b/>
          <w:b/>
          <w:bCs/>
          <w:color w:val="333333"/>
          <w:kern w:val="0"/>
          <w:sz w:val="28"/>
          <w:szCs w:val="28"/>
          <w:lang w:eastAsia="zh-CN"/>
        </w:rPr>
      </w:pPr>
      <w:r>
        <w:rPr>
          <w:rFonts w:ascii="SimHei" w:hAnsi="SimHei" w:cs="Arial" w:eastAsia="黑体"/>
          <w:b/>
          <w:bCs/>
          <w:color w:val="333333"/>
          <w:kern w:val="0"/>
          <w:sz w:val="28"/>
          <w:szCs w:val="28"/>
          <w:lang w:eastAsia="zh-CN"/>
        </w:rPr>
        <w:t>什么是年薪制</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年薪又称年工资收入，是指以企业会计年度为时间单位计发的</w:t>
      </w:r>
      <w:hyperlink r:id="rId2">
        <w:r>
          <w:rPr>
            <w:rStyle w:val="InternetLink"/>
            <w:rFonts w:ascii="Arial" w:hAnsi="Arial" w:cs="Arial"/>
            <w:color w:val="2153B0"/>
            <w:kern w:val="0"/>
            <w:sz w:val="20"/>
            <w:lang w:eastAsia="zh-CN"/>
          </w:rPr>
          <w:t>工资</w:t>
        </w:r>
      </w:hyperlink>
      <w:r>
        <w:rPr>
          <w:rFonts w:ascii="SimHei" w:hAnsi="SimHei" w:cs="Arial" w:eastAsia="黑体"/>
          <w:color w:val="333333"/>
          <w:kern w:val="0"/>
          <w:sz w:val="20"/>
          <w:szCs w:val="20"/>
          <w:lang w:eastAsia="zh-CN"/>
        </w:rPr>
        <w:t>收入，主要用于公司经理、企业高级职员的收入发放，成为经营者年薪制。年薪制是一种国际上较为通用的支付企业经营者薪金的方式，它是以年度为考核周期，把经营者的工资收入与企业经营业绩挂钩的一种工资分配方式，通常包括基本收入（基薪）和效益收入（风险收入）两部分。</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基本收入（基薪）主要依据企业规模（如职工人数、总资产规模等）确定，在很多实行国企经营者年薪制的省份，对于基薪都设定了上限；效益年薪则根据企业完成指标的情况上下浮动。目前，一些地区在效益年薪中还引入了</w:t>
      </w:r>
      <w:hyperlink r:id="rId3">
        <w:r>
          <w:rPr>
            <w:rStyle w:val="InternetLink"/>
            <w:rFonts w:ascii="Arial" w:hAnsi="Arial" w:cs="Arial"/>
            <w:color w:val="2153B0"/>
            <w:kern w:val="0"/>
            <w:sz w:val="20"/>
            <w:lang w:eastAsia="zh-CN"/>
          </w:rPr>
          <w:t>股权激励</w:t>
        </w:r>
      </w:hyperlink>
      <w:r>
        <w:rPr>
          <w:rFonts w:ascii="SimHei" w:hAnsi="SimHei" w:cs="Arial" w:eastAsia="黑体"/>
          <w:color w:val="333333"/>
          <w:kern w:val="0"/>
          <w:sz w:val="20"/>
          <w:szCs w:val="20"/>
          <w:lang w:eastAsia="zh-CN"/>
        </w:rPr>
        <w:t>的方式，将部分效益年薪收入通过各种方式转化为企业股份，由经营者持有。</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年薪制以往主要在国外一些企业中实行，我国也曾有个别企业实施过，但因为条件不成熟，尚未被广泛推行。</w:t>
      </w:r>
      <w:r>
        <w:rPr>
          <w:rFonts w:ascii="SimHei" w:hAnsi="SimHei" w:cs="Arial" w:eastAsia="黑体"/>
          <w:color w:val="333333"/>
          <w:kern w:val="0"/>
          <w:sz w:val="20"/>
          <w:szCs w:val="20"/>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0" w:name=".E5.B9.B4.E8.96.AA.E5.88.B6.E7.9A.84.E5."/>
      <w:bookmarkEnd w:id="0"/>
      <w:r>
        <w:rPr>
          <w:rFonts w:ascii="SimHei" w:hAnsi="SimHei" w:cs="Arial" w:eastAsia="黑体"/>
          <w:b/>
          <w:bCs/>
          <w:color w:val="333333"/>
          <w:kern w:val="0"/>
          <w:sz w:val="28"/>
          <w:szCs w:val="28"/>
          <w:lang w:eastAsia="zh-CN"/>
        </w:rPr>
        <w:t>年薪制的实施条件</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作为一种特殊的企业薪酬制度，经营者年薪制的实施需要良好的实施环境：</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、以</w:t>
      </w:r>
      <w:hyperlink r:id="rId4">
        <w:r>
          <w:rPr>
            <w:rStyle w:val="InternetLink"/>
            <w:rFonts w:ascii="Arial" w:hAnsi="Arial" w:cs="Arial"/>
            <w:color w:val="2153B0"/>
            <w:kern w:val="0"/>
            <w:sz w:val="20"/>
            <w:lang w:eastAsia="zh-CN"/>
          </w:rPr>
          <w:t>现代企业制度</w:t>
        </w:r>
      </w:hyperlink>
      <w:r>
        <w:rPr>
          <w:rFonts w:ascii="SimHei" w:hAnsi="SimHei" w:cs="Arial" w:eastAsia="黑体"/>
          <w:color w:val="333333"/>
          <w:kern w:val="0"/>
          <w:sz w:val="20"/>
          <w:szCs w:val="20"/>
          <w:lang w:eastAsia="zh-CN"/>
        </w:rPr>
        <w:t>为基本的运行条件。主要包括：企业所有权与</w:t>
      </w:r>
      <w:hyperlink r:id="rId5">
        <w:r>
          <w:rPr>
            <w:rStyle w:val="InternetLink"/>
            <w:rFonts w:ascii="Arial" w:hAnsi="Arial" w:cs="Arial"/>
            <w:color w:val="2153B0"/>
            <w:kern w:val="0"/>
            <w:sz w:val="20"/>
            <w:lang w:eastAsia="zh-CN"/>
          </w:rPr>
          <w:t>经营权</w:t>
        </w:r>
      </w:hyperlink>
      <w:r>
        <w:rPr>
          <w:rFonts w:ascii="SimHei" w:hAnsi="SimHei" w:cs="Arial" w:eastAsia="黑体"/>
          <w:color w:val="333333"/>
          <w:kern w:val="0"/>
          <w:sz w:val="20"/>
          <w:szCs w:val="20"/>
          <w:lang w:eastAsia="zh-CN"/>
        </w:rPr>
        <w:t>的分离，以保证经营者有独立的决策经营权；实行</w:t>
      </w:r>
      <w:hyperlink r:id="rId6">
        <w:r>
          <w:rPr>
            <w:rStyle w:val="InternetLink"/>
            <w:rFonts w:ascii="Arial" w:hAnsi="Arial" w:cs="Arial"/>
            <w:color w:val="2153B0"/>
            <w:kern w:val="0"/>
            <w:sz w:val="20"/>
            <w:lang w:eastAsia="zh-CN"/>
          </w:rPr>
          <w:t>公开招聘</w:t>
        </w:r>
      </w:hyperlink>
      <w:r>
        <w:rPr>
          <w:rFonts w:ascii="SimHei" w:hAnsi="SimHei" w:cs="Arial" w:eastAsia="黑体"/>
          <w:color w:val="333333"/>
          <w:kern w:val="0"/>
          <w:sz w:val="20"/>
          <w:szCs w:val="20"/>
          <w:lang w:eastAsia="zh-CN"/>
        </w:rPr>
        <w:t>、优胜劣汰制度，保证经营者的高素质；以契约形式确立经营者的责权利，通过一套科学、严密、完善的</w:t>
      </w:r>
      <w:hyperlink r:id="rId7">
        <w:r>
          <w:rPr>
            <w:rStyle w:val="InternetLink"/>
            <w:rFonts w:ascii="Arial" w:hAnsi="Arial" w:cs="Arial"/>
            <w:color w:val="2153B0"/>
            <w:kern w:val="0"/>
            <w:sz w:val="20"/>
            <w:lang w:eastAsia="zh-CN"/>
          </w:rPr>
          <w:t>监督体系</w:t>
        </w:r>
      </w:hyperlink>
      <w:r>
        <w:rPr>
          <w:rFonts w:ascii="SimHei" w:hAnsi="SimHei" w:cs="Arial" w:eastAsia="黑体"/>
          <w:color w:val="333333"/>
          <w:kern w:val="0"/>
          <w:sz w:val="20"/>
          <w:szCs w:val="20"/>
          <w:lang w:eastAsia="zh-CN"/>
        </w:rPr>
        <w:t>和内部管理机制制衡和规范经营者行为。</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、有科学的外在评估机制。只有对企业</w:t>
      </w:r>
      <w:hyperlink r:id="rId8">
        <w:r>
          <w:rPr>
            <w:rStyle w:val="InternetLink"/>
            <w:rFonts w:ascii="Arial" w:hAnsi="Arial" w:cs="Arial"/>
            <w:color w:val="2153B0"/>
            <w:kern w:val="0"/>
            <w:sz w:val="20"/>
            <w:lang w:eastAsia="zh-CN"/>
          </w:rPr>
          <w:t>资产</w:t>
        </w:r>
      </w:hyperlink>
      <w:r>
        <w:rPr>
          <w:rFonts w:ascii="SimHei" w:hAnsi="SimHei" w:cs="Arial" w:eastAsia="黑体"/>
          <w:color w:val="333333"/>
          <w:kern w:val="0"/>
          <w:sz w:val="20"/>
          <w:szCs w:val="20"/>
          <w:lang w:eastAsia="zh-CN"/>
        </w:rPr>
        <w:t>和</w:t>
      </w:r>
      <w:hyperlink r:id="rId9">
        <w:r>
          <w:rPr>
            <w:rStyle w:val="InternetLink"/>
            <w:rFonts w:ascii="Arial" w:hAnsi="Arial" w:cs="Arial"/>
            <w:color w:val="2153B0"/>
            <w:kern w:val="0"/>
            <w:sz w:val="20"/>
            <w:lang w:eastAsia="zh-CN"/>
          </w:rPr>
          <w:t>经营状况</w:t>
        </w:r>
      </w:hyperlink>
      <w:r>
        <w:rPr>
          <w:rFonts w:ascii="SimHei" w:hAnsi="SimHei" w:cs="Arial" w:eastAsia="黑体"/>
          <w:color w:val="333333"/>
          <w:kern w:val="0"/>
          <w:sz w:val="20"/>
          <w:szCs w:val="20"/>
          <w:lang w:eastAsia="zh-CN"/>
        </w:rPr>
        <w:t>进行准确的评估，才能决定经营者的基薪和风险收入，这取决于两个条件：</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）全面反映</w:t>
      </w:r>
      <w:hyperlink r:id="rId10">
        <w:r>
          <w:rPr>
            <w:rStyle w:val="InternetLink"/>
            <w:rFonts w:ascii="Arial" w:hAnsi="Arial" w:cs="Arial"/>
            <w:color w:val="2153B0"/>
            <w:kern w:val="0"/>
            <w:sz w:val="20"/>
            <w:lang w:eastAsia="zh-CN"/>
          </w:rPr>
          <w:t>企业经营状况</w:t>
        </w:r>
      </w:hyperlink>
      <w:r>
        <w:rPr>
          <w:rFonts w:ascii="SimHei" w:hAnsi="SimHei" w:cs="Arial" w:eastAsia="黑体"/>
          <w:color w:val="333333"/>
          <w:kern w:val="0"/>
          <w:sz w:val="20"/>
          <w:szCs w:val="20"/>
          <w:lang w:eastAsia="zh-CN"/>
        </w:rPr>
        <w:t>的指标体系。</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）是社会评估机构的介入。</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对企业经营状况的考核，必须全面考核反映企业资产的增值保值情况、企业盈利、偿还债务和企业成长的能力，以及</w:t>
      </w:r>
      <w:hyperlink r:id="rId11">
        <w:r>
          <w:rPr>
            <w:rStyle w:val="InternetLink"/>
            <w:rFonts w:ascii="Arial" w:hAnsi="Arial" w:cs="Arial"/>
            <w:color w:val="2153B0"/>
            <w:kern w:val="0"/>
            <w:sz w:val="20"/>
            <w:lang w:eastAsia="zh-CN"/>
          </w:rPr>
          <w:t>技术改造</w:t>
        </w:r>
      </w:hyperlink>
      <w:r>
        <w:rPr>
          <w:rFonts w:ascii="SimHei" w:hAnsi="SimHei" w:cs="Arial" w:eastAsia="黑体"/>
          <w:color w:val="333333"/>
          <w:kern w:val="0"/>
          <w:sz w:val="20"/>
          <w:szCs w:val="20"/>
          <w:lang w:eastAsia="zh-CN"/>
        </w:rPr>
        <w:t>的投入、新产品研究开发投入以及</w:t>
      </w:r>
      <w:hyperlink r:id="rId12">
        <w:r>
          <w:rPr>
            <w:rStyle w:val="InternetLink"/>
            <w:rFonts w:ascii="Arial" w:hAnsi="Arial" w:cs="Arial"/>
            <w:color w:val="2153B0"/>
            <w:kern w:val="0"/>
            <w:sz w:val="20"/>
            <w:lang w:eastAsia="zh-CN"/>
          </w:rPr>
          <w:t>人力资源</w:t>
        </w:r>
      </w:hyperlink>
      <w:r>
        <w:rPr>
          <w:rFonts w:ascii="SimHei" w:hAnsi="SimHei" w:cs="Arial" w:eastAsia="黑体"/>
          <w:color w:val="333333"/>
          <w:kern w:val="0"/>
          <w:sz w:val="20"/>
          <w:szCs w:val="20"/>
          <w:lang w:eastAsia="zh-CN"/>
        </w:rPr>
        <w:t>状况。社会评估单位必须有强大的评估力量，能够公正、客观的评价企业经营状况和经营者的</w:t>
      </w:r>
      <w:hyperlink r:id="rId13">
        <w:r>
          <w:rPr>
            <w:rStyle w:val="InternetLink"/>
            <w:rFonts w:ascii="Arial" w:hAnsi="Arial" w:cs="Arial"/>
            <w:color w:val="2153B0"/>
            <w:kern w:val="0"/>
            <w:sz w:val="20"/>
            <w:lang w:eastAsia="zh-CN"/>
          </w:rPr>
          <w:t>工作绩效</w:t>
        </w:r>
      </w:hyperlink>
      <w:r>
        <w:rPr>
          <w:rFonts w:ascii="SimHei" w:hAnsi="SimHei" w:cs="Arial" w:eastAsia="黑体"/>
          <w:color w:val="333333"/>
          <w:kern w:val="0"/>
          <w:sz w:val="20"/>
          <w:szCs w:val="20"/>
          <w:lang w:eastAsia="zh-CN"/>
        </w:rPr>
        <w:t>。</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、理顺经营者与出资者的关系，经营者与企业其他雇员的关系；加速和完善</w:t>
      </w:r>
      <w:hyperlink r:id="rId14">
        <w:r>
          <w:rPr>
            <w:rStyle w:val="InternetLink"/>
            <w:rFonts w:ascii="Arial" w:hAnsi="Arial" w:cs="Arial"/>
            <w:color w:val="2153B0"/>
            <w:kern w:val="0"/>
            <w:sz w:val="20"/>
            <w:lang w:eastAsia="zh-CN"/>
          </w:rPr>
          <w:t>企业家</w:t>
        </w:r>
      </w:hyperlink>
      <w:r>
        <w:rPr>
          <w:rFonts w:ascii="SimHei" w:hAnsi="SimHei" w:cs="Arial" w:eastAsia="黑体"/>
          <w:color w:val="333333"/>
          <w:kern w:val="0"/>
          <w:sz w:val="20"/>
          <w:szCs w:val="20"/>
          <w:lang w:eastAsia="zh-CN"/>
        </w:rPr>
        <w:t>市场，促进经营者职业化、市场化的运行机制；创造一个宽松的</w:t>
      </w:r>
      <w:hyperlink r:id="rId15">
        <w:r>
          <w:rPr>
            <w:rStyle w:val="InternetLink"/>
            <w:rFonts w:ascii="Arial" w:hAnsi="Arial" w:cs="Arial"/>
            <w:color w:val="2153B0"/>
            <w:kern w:val="0"/>
            <w:sz w:val="20"/>
            <w:lang w:eastAsia="zh-CN"/>
          </w:rPr>
          <w:t>宏观经济</w:t>
        </w:r>
      </w:hyperlink>
      <w:r>
        <w:rPr>
          <w:rFonts w:ascii="SimHei" w:hAnsi="SimHei" w:cs="Arial" w:eastAsia="黑体"/>
          <w:color w:val="333333"/>
          <w:kern w:val="0"/>
          <w:sz w:val="20"/>
          <w:szCs w:val="20"/>
          <w:lang w:eastAsia="zh-CN"/>
        </w:rPr>
        <w:t>环境和公平竞争的市场，使企业业绩能够与经营者的劳动付出和经营水平紧密联系在一起。</w:t>
      </w:r>
      <w:r>
        <w:rPr>
          <w:rFonts w:ascii="SimHei" w:hAnsi="SimHei" w:cs="Arial" w:eastAsia="黑体"/>
          <w:color w:val="333333"/>
          <w:kern w:val="0"/>
          <w:sz w:val="20"/>
          <w:szCs w:val="20"/>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1" w:name=".E5.B9.B4.E8.96.AA.E5.88.B6.E7.9A.84.E7."/>
      <w:bookmarkEnd w:id="1"/>
      <w:r>
        <w:rPr>
          <w:rFonts w:ascii="SimHei" w:hAnsi="SimHei" w:cs="Arial" w:eastAsia="黑体"/>
          <w:b/>
          <w:bCs/>
          <w:color w:val="333333"/>
          <w:kern w:val="0"/>
          <w:sz w:val="28"/>
          <w:szCs w:val="28"/>
          <w:lang w:eastAsia="zh-CN"/>
        </w:rPr>
        <w:t>年薪制的特点</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1</w:t>
      </w:r>
      <w:r>
        <w:rPr>
          <w:rFonts w:ascii="SimHei" w:hAnsi="SimHei" w:cs="Arial" w:eastAsia="黑体"/>
          <w:b/>
          <w:bCs/>
          <w:color w:val="333333"/>
          <w:kern w:val="0"/>
          <w:sz w:val="20"/>
          <w:szCs w:val="20"/>
          <w:lang w:eastAsia="zh-CN"/>
        </w:rPr>
        <w:t>、年薪制的针对性：</w:t>
      </w:r>
      <w:r>
        <w:rPr>
          <w:rFonts w:ascii="SimHei" w:hAnsi="SimHei" w:cs="Arial" w:eastAsia="黑体"/>
          <w:color w:val="333333"/>
          <w:kern w:val="0"/>
          <w:sz w:val="20"/>
          <w:szCs w:val="20"/>
          <w:lang w:eastAsia="zh-CN"/>
        </w:rPr>
        <w:t>年薪制适用于特定的对象，包括企业的</w:t>
      </w:r>
      <w:hyperlink r:id="rId16">
        <w:r>
          <w:rPr>
            <w:rStyle w:val="InternetLink"/>
            <w:rFonts w:ascii="Arial" w:hAnsi="Arial" w:cs="Arial"/>
            <w:color w:val="2153B0"/>
            <w:kern w:val="0"/>
            <w:sz w:val="20"/>
            <w:lang w:eastAsia="zh-CN"/>
          </w:rPr>
          <w:t>经营管理</w:t>
        </w:r>
      </w:hyperlink>
      <w:r>
        <w:rPr>
          <w:rFonts w:ascii="SimHei" w:hAnsi="SimHei" w:cs="Arial" w:eastAsia="黑体"/>
          <w:color w:val="333333"/>
          <w:kern w:val="0"/>
          <w:sz w:val="20"/>
          <w:szCs w:val="20"/>
          <w:lang w:eastAsia="zh-CN"/>
        </w:rPr>
        <w:t>者（包括中层和高层）和一些其他的</w:t>
      </w:r>
      <w:hyperlink r:id="rId17">
        <w:r>
          <w:rPr>
            <w:rStyle w:val="InternetLink"/>
            <w:rFonts w:ascii="Arial" w:hAnsi="Arial" w:cs="Arial"/>
            <w:color w:val="2153B0"/>
            <w:kern w:val="0"/>
            <w:sz w:val="20"/>
            <w:lang w:eastAsia="zh-CN"/>
          </w:rPr>
          <w:t>创造性人才</w:t>
        </w:r>
      </w:hyperlink>
      <w:r>
        <w:rPr>
          <w:rFonts w:ascii="SimHei" w:hAnsi="SimHei" w:cs="Arial" w:eastAsia="黑体"/>
          <w:color w:val="333333"/>
          <w:kern w:val="0"/>
          <w:sz w:val="20"/>
          <w:szCs w:val="20"/>
          <w:lang w:eastAsia="zh-CN"/>
        </w:rPr>
        <w:t>，比如科研人员、营销人才、软件工程师、</w:t>
      </w:r>
      <w:hyperlink r:id="rId18">
        <w:r>
          <w:rPr>
            <w:rStyle w:val="InternetLink"/>
            <w:rFonts w:ascii="Arial" w:hAnsi="Arial" w:cs="Arial"/>
            <w:color w:val="2153B0"/>
            <w:kern w:val="0"/>
            <w:sz w:val="20"/>
            <w:lang w:eastAsia="zh-CN"/>
          </w:rPr>
          <w:t>项目管理</w:t>
        </w:r>
      </w:hyperlink>
      <w:r>
        <w:rPr>
          <w:rFonts w:ascii="SimHei" w:hAnsi="SimHei" w:cs="Arial" w:eastAsia="黑体"/>
          <w:color w:val="333333"/>
          <w:kern w:val="0"/>
          <w:sz w:val="20"/>
          <w:szCs w:val="20"/>
          <w:lang w:eastAsia="zh-CN"/>
        </w:rPr>
        <w:t>人才等。这些人具有这样的特点：素质较高、工作性质决定了他们的工作需要较高的</w:t>
      </w:r>
      <w:hyperlink r:id="rId19">
        <w:r>
          <w:rPr>
            <w:rStyle w:val="InternetLink"/>
            <w:rFonts w:ascii="Arial" w:hAnsi="Arial" w:cs="Arial"/>
            <w:color w:val="2153B0"/>
            <w:kern w:val="0"/>
            <w:sz w:val="20"/>
            <w:lang w:eastAsia="zh-CN"/>
          </w:rPr>
          <w:t>创造力</w:t>
        </w:r>
      </w:hyperlink>
      <w:r>
        <w:rPr>
          <w:rFonts w:ascii="SimHei" w:hAnsi="SimHei" w:cs="Arial" w:eastAsia="黑体"/>
          <w:color w:val="333333"/>
          <w:kern w:val="0"/>
          <w:sz w:val="20"/>
          <w:szCs w:val="20"/>
          <w:lang w:eastAsia="zh-CN"/>
        </w:rPr>
        <w:t>、工作中需要的更多的是</w:t>
      </w:r>
      <w:hyperlink r:id="rId20">
        <w:r>
          <w:rPr>
            <w:rStyle w:val="InternetLink"/>
            <w:rFonts w:ascii="Arial" w:hAnsi="Arial" w:cs="Arial"/>
            <w:color w:val="2153B0"/>
            <w:kern w:val="0"/>
            <w:sz w:val="20"/>
            <w:lang w:eastAsia="zh-CN"/>
          </w:rPr>
          <w:t>激励</w:t>
        </w:r>
      </w:hyperlink>
      <w:r>
        <w:rPr>
          <w:rFonts w:ascii="SimHei" w:hAnsi="SimHei" w:cs="Arial" w:eastAsia="黑体"/>
          <w:color w:val="333333"/>
          <w:kern w:val="0"/>
          <w:sz w:val="20"/>
          <w:szCs w:val="20"/>
          <w:lang w:eastAsia="zh-CN"/>
        </w:rPr>
        <w:t>而不是</w:t>
      </w:r>
      <w:hyperlink r:id="rId21">
        <w:r>
          <w:rPr>
            <w:rStyle w:val="InternetLink"/>
            <w:rFonts w:ascii="Arial" w:hAnsi="Arial" w:cs="Arial"/>
            <w:color w:val="2153B0"/>
            <w:kern w:val="0"/>
            <w:sz w:val="20"/>
            <w:lang w:eastAsia="zh-CN"/>
          </w:rPr>
          <w:t>简单管理</w:t>
        </w:r>
      </w:hyperlink>
      <w:r>
        <w:rPr>
          <w:rFonts w:ascii="SimHei" w:hAnsi="SimHei" w:cs="Arial" w:eastAsia="黑体"/>
          <w:color w:val="333333"/>
          <w:kern w:val="0"/>
          <w:sz w:val="20"/>
          <w:szCs w:val="20"/>
          <w:lang w:eastAsia="zh-CN"/>
        </w:rPr>
        <w:t>和约束、工作的价值难以在短期内体现。</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2</w:t>
      </w:r>
      <w:r>
        <w:rPr>
          <w:rFonts w:ascii="SimHei" w:hAnsi="SimHei" w:cs="Arial" w:eastAsia="黑体"/>
          <w:b/>
          <w:bCs/>
          <w:color w:val="333333"/>
          <w:kern w:val="0"/>
          <w:sz w:val="20"/>
          <w:szCs w:val="20"/>
          <w:lang w:eastAsia="zh-CN"/>
        </w:rPr>
        <w:t>、较长的周期：</w:t>
      </w:r>
      <w:r>
        <w:rPr>
          <w:rFonts w:ascii="SimHei" w:hAnsi="SimHei" w:cs="Arial" w:eastAsia="黑体"/>
          <w:color w:val="333333"/>
          <w:kern w:val="0"/>
          <w:sz w:val="20"/>
          <w:szCs w:val="20"/>
          <w:lang w:eastAsia="zh-CN"/>
        </w:rPr>
        <w:t>一般是以年为周期，这是和其考核相关的，对于绝大部分的年薪制适用人员，都是以企业经营年度为周期，对于一些科研人员、项目开发人员，这个周期也可能是半年、两年、一年半或其他，虽然不一定正好是一整年，但是都具有周期较长这一特点，因此也被归类为年薪制。</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3</w:t>
      </w:r>
      <w:r>
        <w:rPr>
          <w:rFonts w:ascii="SimHei" w:hAnsi="SimHei" w:cs="Arial" w:eastAsia="黑体"/>
          <w:b/>
          <w:bCs/>
          <w:color w:val="333333"/>
          <w:kern w:val="0"/>
          <w:sz w:val="20"/>
          <w:szCs w:val="20"/>
          <w:lang w:eastAsia="zh-CN"/>
        </w:rPr>
        <w:t>、存在一定的风险：</w:t>
      </w:r>
      <w:hyperlink r:id="rId22">
        <w:r>
          <w:rPr>
            <w:rStyle w:val="InternetLink"/>
            <w:rFonts w:ascii="Arial" w:hAnsi="Arial" w:cs="Arial"/>
            <w:color w:val="2153B0"/>
            <w:kern w:val="0"/>
            <w:sz w:val="20"/>
            <w:lang w:eastAsia="zh-CN"/>
          </w:rPr>
          <w:t>薪酬</w:t>
        </w:r>
      </w:hyperlink>
      <w:r>
        <w:rPr>
          <w:rFonts w:ascii="SimHei" w:hAnsi="SimHei" w:cs="Arial" w:eastAsia="黑体"/>
          <w:color w:val="333333"/>
          <w:kern w:val="0"/>
          <w:sz w:val="20"/>
          <w:szCs w:val="20"/>
          <w:lang w:eastAsia="zh-CN"/>
        </w:rPr>
        <w:t>中的很大一部分是和本人的努力及企业经营好坏情况相挂钩的。因此具有较大的风险和不确定性。</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、传统的工资主要是面向过去，而</w:t>
      </w:r>
      <w:r>
        <w:rPr>
          <w:rFonts w:ascii="SimHei" w:hAnsi="SimHei" w:cs="Arial" w:eastAsia="黑体"/>
          <w:b/>
          <w:bCs/>
          <w:color w:val="333333"/>
          <w:kern w:val="0"/>
          <w:sz w:val="20"/>
          <w:szCs w:val="20"/>
          <w:lang w:eastAsia="zh-CN"/>
        </w:rPr>
        <w:t>年薪制在相当大的程度上是面向未来</w:t>
      </w:r>
      <w:r>
        <w:rPr>
          <w:rFonts w:ascii="SimHei" w:hAnsi="SimHei" w:cs="Arial" w:eastAsia="黑体"/>
          <w:color w:val="333333"/>
          <w:kern w:val="0"/>
          <w:sz w:val="20"/>
          <w:szCs w:val="20"/>
          <w:lang w:eastAsia="zh-CN"/>
        </w:rPr>
        <w:t>，年薪的制定不是简单地依据过去的业绩，同时更取决于接受者所具备的经营企业（或其他工作）的能力和贡献潜力。对于接受年薪制的企业经营者而言，年薪制是</w:t>
      </w:r>
      <w:hyperlink r:id="rId23">
        <w:r>
          <w:rPr>
            <w:rStyle w:val="InternetLink"/>
            <w:rFonts w:ascii="Arial" w:hAnsi="Arial" w:cs="Arial"/>
            <w:color w:val="2153B0"/>
            <w:kern w:val="0"/>
            <w:sz w:val="20"/>
            <w:lang w:eastAsia="zh-CN"/>
          </w:rPr>
          <w:t>委托人</w:t>
        </w:r>
      </w:hyperlink>
      <w:r>
        <w:rPr>
          <w:rFonts w:ascii="SimHei" w:hAnsi="SimHei" w:cs="Arial" w:eastAsia="黑体"/>
          <w:color w:val="333333"/>
          <w:kern w:val="0"/>
          <w:sz w:val="20"/>
          <w:szCs w:val="20"/>
          <w:lang w:eastAsia="zh-CN"/>
        </w:rPr>
        <w:t>和代理人之间的一个动态和约，是双方通过博弈而实现的</w:t>
      </w:r>
      <w:hyperlink r:id="rId24">
        <w:r>
          <w:rPr>
            <w:rStyle w:val="InternetLink"/>
            <w:rFonts w:ascii="Arial" w:hAnsi="Arial" w:cs="Arial"/>
            <w:color w:val="2153B0"/>
            <w:kern w:val="0"/>
            <w:sz w:val="20"/>
            <w:lang w:eastAsia="zh-CN"/>
          </w:rPr>
          <w:t>动态均衡</w:t>
        </w:r>
      </w:hyperlink>
      <w:r>
        <w:rPr>
          <w:rFonts w:ascii="SimHei" w:hAnsi="SimHei" w:cs="Arial" w:eastAsia="黑体"/>
          <w:color w:val="333333"/>
          <w:kern w:val="0"/>
          <w:sz w:val="20"/>
          <w:szCs w:val="20"/>
          <w:lang w:eastAsia="zh-CN"/>
        </w:rPr>
        <w:t>，年薪制的目标对双方来说就是以最低的委托</w:t>
      </w:r>
      <w:hyperlink r:id="rId25">
        <w:r>
          <w:rPr>
            <w:rStyle w:val="InternetLink"/>
            <w:rFonts w:ascii="Arial" w:hAnsi="Arial" w:cs="Arial"/>
            <w:color w:val="2153B0"/>
            <w:kern w:val="0"/>
            <w:sz w:val="20"/>
            <w:lang w:eastAsia="zh-CN"/>
          </w:rPr>
          <w:t>代理成本</w:t>
        </w:r>
      </w:hyperlink>
      <w:r>
        <w:rPr>
          <w:rFonts w:ascii="SimHei" w:hAnsi="SimHei" w:cs="Arial" w:eastAsia="黑体"/>
          <w:color w:val="333333"/>
          <w:kern w:val="0"/>
          <w:sz w:val="20"/>
          <w:szCs w:val="20"/>
          <w:lang w:eastAsia="zh-CN"/>
        </w:rPr>
        <w:t>实现双方相对满意的</w:t>
      </w:r>
      <w:hyperlink r:id="rId26">
        <w:r>
          <w:rPr>
            <w:rStyle w:val="InternetLink"/>
            <w:rFonts w:ascii="Arial" w:hAnsi="Arial" w:cs="Arial"/>
            <w:color w:val="2153B0"/>
            <w:kern w:val="0"/>
            <w:sz w:val="20"/>
            <w:lang w:eastAsia="zh-CN"/>
          </w:rPr>
          <w:t>委托代理</w:t>
        </w:r>
      </w:hyperlink>
      <w:r>
        <w:rPr>
          <w:rFonts w:ascii="SimHei" w:hAnsi="SimHei" w:cs="Arial" w:eastAsia="黑体"/>
          <w:color w:val="333333"/>
          <w:kern w:val="0"/>
          <w:sz w:val="20"/>
          <w:szCs w:val="20"/>
          <w:lang w:eastAsia="zh-CN"/>
        </w:rPr>
        <w:t>收益，把</w:t>
      </w:r>
      <w:hyperlink r:id="rId27">
        <w:r>
          <w:rPr>
            <w:rStyle w:val="InternetLink"/>
            <w:rFonts w:ascii="Arial" w:hAnsi="Arial" w:cs="Arial"/>
            <w:color w:val="2153B0"/>
            <w:kern w:val="0"/>
            <w:sz w:val="20"/>
            <w:lang w:eastAsia="zh-CN"/>
          </w:rPr>
          <w:t>委托人</w:t>
        </w:r>
      </w:hyperlink>
      <w:r>
        <w:rPr>
          <w:rFonts w:ascii="SimHei" w:hAnsi="SimHei" w:cs="Arial" w:eastAsia="黑体"/>
          <w:color w:val="333333"/>
          <w:kern w:val="0"/>
          <w:sz w:val="20"/>
          <w:szCs w:val="20"/>
          <w:lang w:eastAsia="zh-CN"/>
        </w:rPr>
        <w:t>即企业的利益和经营者个人的利益更多更紧密地联系起来。</w:t>
      </w:r>
      <w:r>
        <w:rPr>
          <w:rFonts w:ascii="SimHei" w:hAnsi="SimHei" w:cs="Arial" w:eastAsia="黑体"/>
          <w:color w:val="333333"/>
          <w:kern w:val="0"/>
          <w:sz w:val="20"/>
          <w:szCs w:val="20"/>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r>
        <w:rPr>
          <w:rFonts w:ascii="SimHei" w:hAnsi="SimHei" w:cs="Arial" w:eastAsia="黑体"/>
          <w:b/>
          <w:bCs/>
          <w:color w:val="333333"/>
          <w:kern w:val="0"/>
          <w:sz w:val="28"/>
          <w:szCs w:val="28"/>
          <w:lang w:eastAsia="zh-CN"/>
        </w:rPr>
        <w:t>年薪制的主要内容</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1</w:t>
      </w:r>
      <w:r>
        <w:rPr>
          <w:rFonts w:ascii="SimHei" w:hAnsi="SimHei" w:cs="Arial" w:eastAsia="黑体"/>
          <w:b/>
          <w:bCs/>
          <w:color w:val="333333"/>
          <w:kern w:val="0"/>
          <w:sz w:val="20"/>
          <w:szCs w:val="20"/>
          <w:lang w:eastAsia="zh-CN"/>
        </w:rPr>
        <w:t>、适用范围</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年薪制只适用于那些在企业中有实际经营权，并对</w:t>
      </w:r>
      <w:hyperlink r:id="rId28">
        <w:r>
          <w:rPr>
            <w:rStyle w:val="InternetLink"/>
            <w:rFonts w:ascii="Arial" w:hAnsi="Arial" w:cs="Arial"/>
            <w:color w:val="2153B0"/>
            <w:kern w:val="0"/>
            <w:sz w:val="20"/>
            <w:lang w:eastAsia="zh-CN"/>
          </w:rPr>
          <w:t>企业经济效益</w:t>
        </w:r>
      </w:hyperlink>
      <w:r>
        <w:rPr>
          <w:rFonts w:ascii="SimHei" w:hAnsi="SimHei" w:cs="Arial" w:eastAsia="黑体"/>
          <w:color w:val="333333"/>
          <w:kern w:val="0"/>
          <w:sz w:val="20"/>
          <w:szCs w:val="20"/>
          <w:lang w:eastAsia="zh-CN"/>
        </w:rPr>
        <w:t>负有职责的人员，例如</w:t>
      </w:r>
      <w:hyperlink r:id="rId29">
        <w:r>
          <w:rPr>
            <w:rStyle w:val="InternetLink"/>
            <w:rFonts w:ascii="Arial" w:hAnsi="Arial" w:cs="Arial"/>
            <w:color w:val="2153B0"/>
            <w:kern w:val="0"/>
            <w:sz w:val="20"/>
            <w:lang w:eastAsia="zh-CN"/>
          </w:rPr>
          <w:t>董事长</w:t>
        </w:r>
      </w:hyperlink>
      <w:r>
        <w:rPr>
          <w:rFonts w:ascii="SimHei" w:hAnsi="SimHei" w:cs="Arial" w:eastAsia="黑体"/>
          <w:color w:val="333333"/>
          <w:kern w:val="0"/>
          <w:sz w:val="20"/>
          <w:szCs w:val="20"/>
          <w:lang w:eastAsia="zh-CN"/>
        </w:rPr>
        <w:t>、经理等企业高级雇员。</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2</w:t>
      </w:r>
      <w:r>
        <w:rPr>
          <w:rFonts w:ascii="SimHei" w:hAnsi="SimHei" w:cs="Arial" w:eastAsia="黑体"/>
          <w:b/>
          <w:bCs/>
          <w:color w:val="333333"/>
          <w:kern w:val="0"/>
          <w:sz w:val="20"/>
          <w:szCs w:val="20"/>
          <w:lang w:eastAsia="zh-CN"/>
        </w:rPr>
        <w:t>、年新的构成</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年薪由基薪和风险收入两部分构成。</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基薪的确定因素包括两部分，一部分是企业的经济效益，另一部分是企业（资产）经营规模、利税水平、职工人数、当地物价和本企业职工的平均工资水平等。风险收入以基薪为基础，由企业的经济效益情况、生产经营的责任轻重、风险程度等因素确定。风险收入部分视经营者的经营成果分档浮动发放，可能超过原定额，也可能是负数，从基薪或风险抵押金中扣除。两部分收入的发放方式不同，风险收入一般以日历年作为计发的时间单位，基薪采取分月预付，最后根据当年考核情况，年终统一结算，超出应得年薪而预支的部分退回。</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ascii="SimHei" w:hAnsi="SimHei" w:cs="Arial" w:eastAsia="黑体"/>
          <w:b/>
          <w:bCs/>
          <w:color w:val="333333"/>
          <w:kern w:val="0"/>
          <w:sz w:val="20"/>
          <w:szCs w:val="20"/>
          <w:lang w:eastAsia="zh-CN"/>
        </w:rPr>
        <w:t>国外企业经营者的报酬一般由五部分构成：</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）薪水，为固定收入，基本职能是保证经营者个人及家庭的基本生活费用。薪水并不是绝对不变的，根据经营者的工作年限、生活费用和工作表现等做适当调整。</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w:t>
      </w:r>
      <w:hyperlink r:id="rId30">
        <w:r>
          <w:rPr>
            <w:rStyle w:val="InternetLink"/>
            <w:rFonts w:ascii="Arial" w:hAnsi="Arial" w:cs="Arial"/>
            <w:color w:val="2153B0"/>
            <w:kern w:val="0"/>
            <w:sz w:val="20"/>
            <w:lang w:eastAsia="zh-CN"/>
          </w:rPr>
          <w:t>奖金</w:t>
        </w:r>
      </w:hyperlink>
      <w:r>
        <w:rPr>
          <w:rFonts w:ascii="SimHei" w:hAnsi="SimHei" w:cs="Arial" w:eastAsia="黑体"/>
          <w:color w:val="333333"/>
          <w:kern w:val="0"/>
          <w:sz w:val="20"/>
          <w:szCs w:val="20"/>
          <w:lang w:eastAsia="zh-CN"/>
        </w:rPr>
        <w:t>，是对经营者短期经营业绩（</w:t>
      </w:r>
      <w:r>
        <w:rPr>
          <w:rFonts w:cs="Arial" w:ascii="SimHei" w:hAnsi="SimHei" w:eastAsia="黑体"/>
          <w:color w:val="333333"/>
          <w:kern w:val="0"/>
          <w:sz w:val="20"/>
          <w:szCs w:val="20"/>
          <w:lang w:eastAsia="zh-CN"/>
        </w:rPr>
        <w:t>1~2</w:t>
      </w:r>
      <w:r>
        <w:rPr>
          <w:rFonts w:ascii="SimHei" w:hAnsi="SimHei" w:cs="Arial" w:eastAsia="黑体"/>
          <w:color w:val="333333"/>
          <w:kern w:val="0"/>
          <w:sz w:val="20"/>
          <w:szCs w:val="20"/>
          <w:lang w:eastAsia="zh-CN"/>
        </w:rPr>
        <w:t>年）的奖励，为非固定收入部分，一般占总收入的</w:t>
      </w:r>
      <w:r>
        <w:rPr>
          <w:rFonts w:cs="Arial" w:ascii="SimHei" w:hAnsi="SimHei" w:eastAsia="黑体"/>
          <w:color w:val="333333"/>
          <w:kern w:val="0"/>
          <w:sz w:val="20"/>
          <w:szCs w:val="20"/>
          <w:lang w:eastAsia="zh-CN"/>
        </w:rPr>
        <w:t>25%</w:t>
      </w:r>
      <w:r>
        <w:rPr>
          <w:rFonts w:ascii="SimHei" w:hAnsi="SimHei" w:cs="Arial" w:eastAsia="黑体"/>
          <w:color w:val="333333"/>
          <w:kern w:val="0"/>
          <w:sz w:val="20"/>
          <w:szCs w:val="20"/>
          <w:lang w:eastAsia="zh-CN"/>
        </w:rPr>
        <w:t>。</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）长期奖励，时间为</w:t>
      </w:r>
      <w:r>
        <w:rPr>
          <w:rFonts w:cs="Arial" w:ascii="SimHei" w:hAnsi="SimHei" w:eastAsia="黑体"/>
          <w:color w:val="333333"/>
          <w:kern w:val="0"/>
          <w:sz w:val="20"/>
          <w:szCs w:val="20"/>
          <w:lang w:eastAsia="zh-CN"/>
        </w:rPr>
        <w:t>3~5</w:t>
      </w:r>
      <w:r>
        <w:rPr>
          <w:rFonts w:ascii="SimHei" w:hAnsi="SimHei" w:cs="Arial" w:eastAsia="黑体"/>
          <w:color w:val="333333"/>
          <w:kern w:val="0"/>
          <w:sz w:val="20"/>
          <w:szCs w:val="20"/>
          <w:lang w:eastAsia="zh-CN"/>
        </w:rPr>
        <w:t>年，占收入的</w:t>
      </w:r>
      <w:r>
        <w:rPr>
          <w:rFonts w:cs="Arial" w:ascii="SimHei" w:hAnsi="SimHei" w:eastAsia="黑体"/>
          <w:color w:val="333333"/>
          <w:kern w:val="0"/>
          <w:sz w:val="20"/>
          <w:szCs w:val="20"/>
          <w:lang w:eastAsia="zh-CN"/>
        </w:rPr>
        <w:t>35%</w:t>
      </w:r>
      <w:r>
        <w:rPr>
          <w:rFonts w:ascii="SimHei" w:hAnsi="SimHei" w:cs="Arial" w:eastAsia="黑体"/>
          <w:color w:val="333333"/>
          <w:kern w:val="0"/>
          <w:sz w:val="20"/>
          <w:szCs w:val="20"/>
          <w:lang w:eastAsia="zh-CN"/>
        </w:rPr>
        <w:t>左右，通常以</w:t>
      </w:r>
      <w:hyperlink r:id="rId31">
        <w:r>
          <w:rPr>
            <w:rStyle w:val="InternetLink"/>
            <w:rFonts w:ascii="Arial" w:hAnsi="Arial" w:cs="Arial"/>
            <w:color w:val="2153B0"/>
            <w:kern w:val="0"/>
            <w:sz w:val="20"/>
            <w:lang w:eastAsia="zh-CN"/>
          </w:rPr>
          <w:t>股票期权</w:t>
        </w:r>
      </w:hyperlink>
      <w:r>
        <w:rPr>
          <w:rFonts w:ascii="SimHei" w:hAnsi="SimHei" w:cs="Arial" w:eastAsia="黑体"/>
          <w:color w:val="333333"/>
          <w:kern w:val="0"/>
          <w:sz w:val="20"/>
          <w:szCs w:val="20"/>
          <w:lang w:eastAsia="zh-CN"/>
        </w:rPr>
        <w:t>的形式支付。</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）福利，主要是为经营者提供休假和各种保险待遇等。</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5</w:t>
      </w:r>
      <w:r>
        <w:rPr>
          <w:rFonts w:ascii="SimHei" w:hAnsi="SimHei" w:cs="Arial" w:eastAsia="黑体"/>
          <w:color w:val="333333"/>
          <w:kern w:val="0"/>
          <w:sz w:val="20"/>
          <w:szCs w:val="20"/>
          <w:lang w:eastAsia="zh-CN"/>
        </w:rPr>
        <w:t>）</w:t>
      </w:r>
      <w:hyperlink r:id="rId32">
        <w:r>
          <w:rPr>
            <w:rStyle w:val="InternetLink"/>
            <w:rFonts w:ascii="Arial" w:hAnsi="Arial" w:cs="Arial"/>
            <w:color w:val="2153B0"/>
            <w:kern w:val="0"/>
            <w:sz w:val="20"/>
            <w:lang w:eastAsia="zh-CN"/>
          </w:rPr>
          <w:t>津贴</w:t>
        </w:r>
      </w:hyperlink>
      <w:r>
        <w:rPr>
          <w:rFonts w:ascii="SimHei" w:hAnsi="SimHei" w:cs="Arial" w:eastAsia="黑体"/>
          <w:color w:val="333333"/>
          <w:kern w:val="0"/>
          <w:sz w:val="20"/>
          <w:szCs w:val="20"/>
          <w:lang w:eastAsia="zh-CN"/>
        </w:rPr>
        <w:t>，主要</w:t>
      </w:r>
      <w:hyperlink r:id="rId33">
        <w:r>
          <w:rPr>
            <w:rStyle w:val="InternetLink"/>
            <w:rFonts w:ascii="Arial" w:hAnsi="Arial" w:cs="Arial"/>
            <w:color w:val="2153B0"/>
            <w:kern w:val="0"/>
            <w:sz w:val="20"/>
            <w:lang w:eastAsia="zh-CN"/>
          </w:rPr>
          <w:t>支付方式</w:t>
        </w:r>
      </w:hyperlink>
      <w:r>
        <w:rPr>
          <w:rFonts w:ascii="SimHei" w:hAnsi="SimHei" w:cs="Arial" w:eastAsia="黑体"/>
          <w:color w:val="333333"/>
          <w:kern w:val="0"/>
          <w:sz w:val="20"/>
          <w:szCs w:val="20"/>
          <w:lang w:eastAsia="zh-CN"/>
        </w:rPr>
        <w:t>是提供良好的办公和生活条件等。</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企业间各部分的分配比例不尽统一，基本趋势是减少基本收入的比例，增大短期或长期奖金比例。</w:t>
      </w:r>
      <w:r>
        <w:rPr>
          <w:rFonts w:ascii="SimHei" w:hAnsi="SimHei" w:cs="Arial" w:eastAsia="黑体"/>
          <w:color w:val="333333"/>
          <w:kern w:val="0"/>
          <w:sz w:val="20"/>
          <w:szCs w:val="20"/>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2" w:name=".E4.BC.81.E4.B8.9A.E5.B9.B4.E8.96.AA.E5."/>
      <w:bookmarkEnd w:id="2"/>
      <w:r>
        <w:rPr>
          <w:rFonts w:ascii="SimHei" w:hAnsi="SimHei" w:cs="Arial" w:eastAsia="黑体"/>
          <w:b/>
          <w:bCs/>
          <w:color w:val="333333"/>
          <w:kern w:val="0"/>
          <w:sz w:val="28"/>
          <w:szCs w:val="28"/>
          <w:lang w:eastAsia="zh-CN"/>
        </w:rPr>
        <w:t>企业年薪制的五种模式</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现代公司企业</w:t>
      </w:r>
      <w:hyperlink r:id="rId34">
        <w:r>
          <w:rPr>
            <w:rStyle w:val="InternetLink"/>
            <w:rFonts w:ascii="Arial" w:hAnsi="Arial" w:cs="Arial"/>
            <w:color w:val="2153B0"/>
            <w:kern w:val="0"/>
            <w:sz w:val="20"/>
            <w:lang w:eastAsia="zh-CN"/>
          </w:rPr>
          <w:t>高层管理人员</w:t>
        </w:r>
      </w:hyperlink>
      <w:r>
        <w:rPr>
          <w:rFonts w:ascii="SimHei" w:hAnsi="SimHei" w:cs="Arial" w:eastAsia="黑体"/>
          <w:color w:val="333333"/>
          <w:kern w:val="0"/>
          <w:sz w:val="20"/>
          <w:szCs w:val="20"/>
          <w:lang w:eastAsia="zh-CN"/>
        </w:rPr>
        <w:t>的报酬结构是多元化的，但从世界上来讲，各国年薪报酬的具体实践方式实际上具有较大差别。根据我国的具体国情将其划分为五种模式。</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1</w:t>
      </w:r>
      <w:r>
        <w:rPr>
          <w:rFonts w:ascii="SimHei" w:hAnsi="SimHei" w:cs="Arial" w:eastAsia="黑体"/>
          <w:b/>
          <w:bCs/>
          <w:color w:val="333333"/>
          <w:kern w:val="0"/>
          <w:sz w:val="20"/>
          <w:szCs w:val="20"/>
          <w:lang w:eastAsia="zh-CN"/>
        </w:rPr>
        <w:t>、准公务员型模式</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）报酬结构：基薪＋津贴＋</w:t>
      </w:r>
      <w:hyperlink r:id="rId35">
        <w:r>
          <w:rPr>
            <w:rStyle w:val="InternetLink"/>
            <w:rFonts w:ascii="Arial" w:hAnsi="Arial" w:cs="Arial"/>
            <w:color w:val="2153B0"/>
            <w:kern w:val="0"/>
            <w:sz w:val="20"/>
            <w:lang w:eastAsia="zh-CN"/>
          </w:rPr>
          <w:t>养老金计划</w:t>
        </w:r>
      </w:hyperlink>
      <w:r>
        <w:rPr>
          <w:rFonts w:ascii="SimHei" w:hAnsi="SimHei" w:cs="Arial" w:eastAsia="黑体"/>
          <w:color w:val="333333"/>
          <w:kern w:val="0"/>
          <w:sz w:val="20"/>
          <w:szCs w:val="20"/>
          <w:lang w:eastAsia="zh-CN"/>
        </w:rPr>
        <w:t>。</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）报酬数量：取决于所管理企业的性质、规模以及高层管理人员的行政级别，一般基薪为职工平均的</w:t>
      </w:r>
      <w:r>
        <w:rPr>
          <w:rFonts w:cs="Arial" w:ascii="SimHei" w:hAnsi="SimHei" w:eastAsia="黑体"/>
          <w:color w:val="333333"/>
          <w:kern w:val="0"/>
          <w:sz w:val="20"/>
          <w:szCs w:val="20"/>
          <w:lang w:eastAsia="zh-CN"/>
        </w:rPr>
        <w:t>2-4</w:t>
      </w:r>
      <w:r>
        <w:rPr>
          <w:rFonts w:ascii="SimHei" w:hAnsi="SimHei" w:cs="Arial" w:eastAsia="黑体"/>
          <w:color w:val="333333"/>
          <w:kern w:val="0"/>
          <w:sz w:val="20"/>
          <w:szCs w:val="20"/>
          <w:lang w:eastAsia="zh-CN"/>
        </w:rPr>
        <w:t>倍，正常退休后的养老金水平为平均养老金水平的</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倍以上。</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）考核指标：政策目标是否实现，当年任务是否完成。</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）适用对象：所有达到一定级别的高层管理人员，包括董事长、总经理、党委书记等，尤其是长期担任国有企业领导、能够完成企业的目标、临近退休年龄的高层管理人员。</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5</w:t>
      </w:r>
      <w:r>
        <w:rPr>
          <w:rFonts w:ascii="SimHei" w:hAnsi="SimHei" w:cs="Arial" w:eastAsia="黑体"/>
          <w:color w:val="333333"/>
          <w:kern w:val="0"/>
          <w:sz w:val="20"/>
          <w:szCs w:val="20"/>
          <w:lang w:eastAsia="zh-CN"/>
        </w:rPr>
        <w:t>）适用企业：承担政策目标的大型、特大型</w:t>
      </w:r>
      <w:hyperlink r:id="rId36">
        <w:r>
          <w:rPr>
            <w:rStyle w:val="InternetLink"/>
            <w:rFonts w:ascii="Arial" w:hAnsi="Arial" w:cs="Arial"/>
            <w:color w:val="2153B0"/>
            <w:kern w:val="0"/>
            <w:sz w:val="20"/>
            <w:lang w:eastAsia="zh-CN"/>
          </w:rPr>
          <w:t>国有企业</w:t>
        </w:r>
      </w:hyperlink>
      <w:r>
        <w:rPr>
          <w:rFonts w:ascii="SimHei" w:hAnsi="SimHei" w:cs="Arial" w:eastAsia="黑体"/>
          <w:color w:val="333333"/>
          <w:kern w:val="0"/>
          <w:sz w:val="20"/>
          <w:szCs w:val="20"/>
          <w:lang w:eastAsia="zh-CN"/>
        </w:rPr>
        <w:t>，尤其是对国民经济具有特殊</w:t>
      </w:r>
      <w:hyperlink r:id="rId37">
        <w:r>
          <w:rPr>
            <w:rStyle w:val="InternetLink"/>
            <w:rFonts w:ascii="Arial" w:hAnsi="Arial" w:cs="Arial"/>
            <w:color w:val="2153B0"/>
            <w:kern w:val="0"/>
            <w:sz w:val="20"/>
            <w:lang w:eastAsia="zh-CN"/>
          </w:rPr>
          <w:t>战略</w:t>
        </w:r>
      </w:hyperlink>
      <w:r>
        <w:rPr>
          <w:rFonts w:ascii="SimHei" w:hAnsi="SimHei" w:cs="Arial" w:eastAsia="黑体"/>
          <w:color w:val="333333"/>
          <w:kern w:val="0"/>
          <w:sz w:val="20"/>
          <w:szCs w:val="20"/>
          <w:lang w:eastAsia="zh-CN"/>
        </w:rPr>
        <w:t>某集团、</w:t>
      </w:r>
      <w:hyperlink r:id="rId38">
        <w:r>
          <w:rPr>
            <w:rStyle w:val="InternetLink"/>
            <w:rFonts w:ascii="Arial" w:hAnsi="Arial" w:cs="Arial"/>
            <w:color w:val="2153B0"/>
            <w:kern w:val="0"/>
            <w:sz w:val="20"/>
            <w:lang w:eastAsia="zh-CN"/>
          </w:rPr>
          <w:t>控股公司</w:t>
        </w:r>
      </w:hyperlink>
      <w:r>
        <w:rPr>
          <w:rFonts w:ascii="SimHei" w:hAnsi="SimHei" w:cs="Arial" w:eastAsia="黑体"/>
          <w:color w:val="333333"/>
          <w:kern w:val="0"/>
          <w:sz w:val="20"/>
          <w:szCs w:val="20"/>
          <w:lang w:eastAsia="zh-CN"/>
        </w:rPr>
        <w:t>。</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6</w:t>
      </w:r>
      <w:r>
        <w:rPr>
          <w:rFonts w:ascii="SimHei" w:hAnsi="SimHei" w:cs="Arial" w:eastAsia="黑体"/>
          <w:color w:val="333333"/>
          <w:kern w:val="0"/>
          <w:sz w:val="20"/>
          <w:szCs w:val="20"/>
          <w:lang w:eastAsia="zh-CN"/>
        </w:rPr>
        <w:t>）激励作用：这种报酬方案的激励作用机理类似于</w:t>
      </w:r>
      <w:hyperlink r:id="rId39">
        <w:r>
          <w:rPr>
            <w:rStyle w:val="InternetLink"/>
            <w:rFonts w:ascii="Arial" w:hAnsi="Arial" w:cs="Arial"/>
            <w:color w:val="2153B0"/>
            <w:kern w:val="0"/>
            <w:sz w:val="20"/>
            <w:lang w:eastAsia="zh-CN"/>
          </w:rPr>
          <w:t>公务员</w:t>
        </w:r>
      </w:hyperlink>
      <w:r>
        <w:rPr>
          <w:rFonts w:ascii="SimHei" w:hAnsi="SimHei" w:cs="Arial" w:eastAsia="黑体"/>
          <w:color w:val="333333"/>
          <w:kern w:val="0"/>
          <w:sz w:val="20"/>
          <w:szCs w:val="20"/>
          <w:lang w:eastAsia="zh-CN"/>
        </w:rPr>
        <w:t>报酬的激励作用机理，职位升迁机会、较高的社会地位和稳定体面的生活保证是主要的</w:t>
      </w:r>
      <w:hyperlink r:id="rId40">
        <w:r>
          <w:rPr>
            <w:rStyle w:val="InternetLink"/>
            <w:rFonts w:ascii="Arial" w:hAnsi="Arial" w:cs="Arial"/>
            <w:color w:val="2153B0"/>
            <w:kern w:val="0"/>
            <w:sz w:val="20"/>
            <w:lang w:eastAsia="zh-CN"/>
          </w:rPr>
          <w:t>激励力量</w:t>
        </w:r>
      </w:hyperlink>
      <w:r>
        <w:rPr>
          <w:rFonts w:ascii="SimHei" w:hAnsi="SimHei" w:cs="Arial" w:eastAsia="黑体"/>
          <w:color w:val="333333"/>
          <w:kern w:val="0"/>
          <w:sz w:val="20"/>
          <w:szCs w:val="20"/>
          <w:lang w:eastAsia="zh-CN"/>
        </w:rPr>
        <w:t>来源，而退休后更高生活水准保证起到约束短期行为的作用。</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2</w:t>
      </w:r>
      <w:r>
        <w:rPr>
          <w:rFonts w:ascii="SimHei" w:hAnsi="SimHei" w:cs="Arial" w:eastAsia="黑体"/>
          <w:b/>
          <w:bCs/>
          <w:color w:val="333333"/>
          <w:kern w:val="0"/>
          <w:sz w:val="20"/>
          <w:szCs w:val="20"/>
          <w:lang w:eastAsia="zh-CN"/>
        </w:rPr>
        <w:t>、一揽子型模式</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）报酬结构：单一固定数量年薪。</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）报酬数量：相对较高，和年度经营目标挂钩。实现</w:t>
      </w:r>
      <w:hyperlink r:id="rId41">
        <w:r>
          <w:rPr>
            <w:rStyle w:val="InternetLink"/>
            <w:rFonts w:ascii="Arial" w:hAnsi="Arial" w:cs="Arial"/>
            <w:color w:val="2153B0"/>
            <w:kern w:val="0"/>
            <w:sz w:val="20"/>
            <w:lang w:eastAsia="zh-CN"/>
          </w:rPr>
          <w:t>经营目标</w:t>
        </w:r>
      </w:hyperlink>
      <w:r>
        <w:rPr>
          <w:rFonts w:ascii="SimHei" w:hAnsi="SimHei" w:cs="Arial" w:eastAsia="黑体"/>
          <w:color w:val="333333"/>
          <w:kern w:val="0"/>
          <w:sz w:val="20"/>
          <w:szCs w:val="20"/>
          <w:lang w:eastAsia="zh-CN"/>
        </w:rPr>
        <w:t>后可得到事先约定好的固定数量的年薪。例如，规定某企业经营者的年薪为</w:t>
      </w:r>
      <w:r>
        <w:rPr>
          <w:rFonts w:cs="Arial" w:ascii="SimHei" w:hAnsi="SimHei" w:eastAsia="黑体"/>
          <w:color w:val="333333"/>
          <w:kern w:val="0"/>
          <w:sz w:val="20"/>
          <w:szCs w:val="20"/>
          <w:lang w:eastAsia="zh-CN"/>
        </w:rPr>
        <w:t>15</w:t>
      </w:r>
      <w:r>
        <w:rPr>
          <w:rFonts w:ascii="SimHei" w:hAnsi="SimHei" w:cs="Arial" w:eastAsia="黑体"/>
          <w:color w:val="333333"/>
          <w:kern w:val="0"/>
          <w:sz w:val="20"/>
          <w:szCs w:val="20"/>
          <w:lang w:eastAsia="zh-CN"/>
        </w:rPr>
        <w:t>万元，但必须实现减亏</w:t>
      </w:r>
      <w:r>
        <w:rPr>
          <w:rFonts w:cs="Arial" w:ascii="SimHei" w:hAnsi="SimHei" w:eastAsia="黑体"/>
          <w:color w:val="333333"/>
          <w:kern w:val="0"/>
          <w:sz w:val="20"/>
          <w:szCs w:val="20"/>
          <w:lang w:eastAsia="zh-CN"/>
        </w:rPr>
        <w:t>500</w:t>
      </w:r>
      <w:r>
        <w:rPr>
          <w:rFonts w:ascii="SimHei" w:hAnsi="SimHei" w:cs="Arial" w:eastAsia="黑体"/>
          <w:color w:val="333333"/>
          <w:kern w:val="0"/>
          <w:sz w:val="20"/>
          <w:szCs w:val="20"/>
          <w:lang w:eastAsia="zh-CN"/>
        </w:rPr>
        <w:t>万元。</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）考核指标：十分明确具体，如减亏额、实现利润、</w:t>
      </w:r>
      <w:hyperlink r:id="rId42">
        <w:r>
          <w:rPr>
            <w:rStyle w:val="InternetLink"/>
            <w:rFonts w:ascii="Arial" w:hAnsi="Arial" w:cs="Arial"/>
            <w:color w:val="2153B0"/>
            <w:kern w:val="0"/>
            <w:sz w:val="20"/>
            <w:lang w:eastAsia="zh-CN"/>
          </w:rPr>
          <w:t>资产利润率</w:t>
        </w:r>
      </w:hyperlink>
      <w:r>
        <w:rPr>
          <w:rFonts w:ascii="SimHei" w:hAnsi="SimHei" w:cs="Arial" w:eastAsia="黑体"/>
          <w:color w:val="333333"/>
          <w:kern w:val="0"/>
          <w:sz w:val="20"/>
          <w:szCs w:val="20"/>
          <w:lang w:eastAsia="zh-CN"/>
        </w:rPr>
        <w:t>、上交税利、销售收入等。</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）适用对象：具体针对经营者一人，总经理或兼职董事长。至于领导班子其他成员的工资可用系数折算，但系数不得超过</w:t>
      </w:r>
      <w:r>
        <w:rPr>
          <w:rFonts w:cs="Arial" w:ascii="SimHei" w:hAnsi="SimHei" w:eastAsia="黑体"/>
          <w:color w:val="333333"/>
          <w:kern w:val="0"/>
          <w:sz w:val="20"/>
          <w:szCs w:val="20"/>
          <w:lang w:eastAsia="zh-CN"/>
        </w:rPr>
        <w:t xml:space="preserve">1.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5</w:t>
      </w:r>
      <w:r>
        <w:rPr>
          <w:rFonts w:ascii="SimHei" w:hAnsi="SimHei" w:cs="Arial" w:eastAsia="黑体"/>
          <w:color w:val="333333"/>
          <w:kern w:val="0"/>
          <w:sz w:val="20"/>
          <w:szCs w:val="20"/>
          <w:lang w:eastAsia="zh-CN"/>
        </w:rPr>
        <w:t>）适用企业：面临特殊问题亟待解决的企业，如亏损</w:t>
      </w:r>
      <w:hyperlink r:id="rId43">
        <w:r>
          <w:rPr>
            <w:rStyle w:val="InternetLink"/>
            <w:rFonts w:ascii="Arial" w:hAnsi="Arial" w:cs="Arial"/>
            <w:color w:val="2153B0"/>
            <w:kern w:val="0"/>
            <w:sz w:val="20"/>
            <w:lang w:eastAsia="zh-CN"/>
          </w:rPr>
          <w:t>国有企业</w:t>
        </w:r>
      </w:hyperlink>
      <w:r>
        <w:rPr>
          <w:rFonts w:ascii="SimHei" w:hAnsi="SimHei" w:cs="Arial" w:eastAsia="黑体"/>
          <w:color w:val="333333"/>
          <w:kern w:val="0"/>
          <w:sz w:val="20"/>
          <w:szCs w:val="20"/>
          <w:lang w:eastAsia="zh-CN"/>
        </w:rPr>
        <w:t>，为了扭亏为盈可采取这种招标式的办法激励经营者。</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6</w:t>
      </w:r>
      <w:r>
        <w:rPr>
          <w:rFonts w:ascii="SimHei" w:hAnsi="SimHei" w:cs="Arial" w:eastAsia="黑体"/>
          <w:color w:val="333333"/>
          <w:kern w:val="0"/>
          <w:sz w:val="20"/>
          <w:szCs w:val="20"/>
          <w:lang w:eastAsia="zh-CN"/>
        </w:rPr>
        <w:t>）激励作用：具有招标承包式的激励作用，激励作用很大，但易引发短期化行为。其激励作用的有效性发挥在很大程度上取决于考核指标的科学选择、准确真实。</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这种报酬方案的制定，尤其是考核指标的选择，类似于各地政府较为普遍实行的对经营者的奖励。</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3</w:t>
      </w:r>
      <w:r>
        <w:rPr>
          <w:rFonts w:ascii="SimHei" w:hAnsi="SimHei" w:cs="Arial" w:eastAsia="黑体"/>
          <w:b/>
          <w:bCs/>
          <w:color w:val="333333"/>
          <w:kern w:val="0"/>
          <w:sz w:val="20"/>
          <w:szCs w:val="20"/>
          <w:lang w:eastAsia="zh-CN"/>
        </w:rPr>
        <w:t>、非持股多元化型模式</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）报酬结构：基薪＋津贴＋风险收入（效益收入和奖金）＋养老金计划</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）考核指标：确定基薪时要依据企业的资产规模、销售收入、职工人数等指标；确定风险收入时，要考虑</w:t>
      </w:r>
      <w:hyperlink r:id="rId44">
        <w:r>
          <w:rPr>
            <w:rStyle w:val="InternetLink"/>
            <w:rFonts w:ascii="Arial" w:hAnsi="Arial" w:cs="Arial"/>
            <w:color w:val="2153B0"/>
            <w:kern w:val="0"/>
            <w:sz w:val="20"/>
            <w:lang w:eastAsia="zh-CN"/>
          </w:rPr>
          <w:t>净资产增长率</w:t>
        </w:r>
      </w:hyperlink>
      <w:r>
        <w:rPr>
          <w:rFonts w:ascii="SimHei" w:hAnsi="SimHei" w:cs="Arial" w:eastAsia="黑体"/>
          <w:color w:val="333333"/>
          <w:kern w:val="0"/>
          <w:sz w:val="20"/>
          <w:szCs w:val="20"/>
          <w:lang w:eastAsia="zh-CN"/>
        </w:rPr>
        <w:t>、实现利润增长率、</w:t>
      </w:r>
      <w:hyperlink r:id="rId45">
        <w:r>
          <w:rPr>
            <w:rStyle w:val="InternetLink"/>
            <w:rFonts w:ascii="Arial" w:hAnsi="Arial" w:cs="Arial"/>
            <w:color w:val="2153B0"/>
            <w:kern w:val="0"/>
            <w:sz w:val="20"/>
            <w:lang w:eastAsia="zh-CN"/>
          </w:rPr>
          <w:t>销售收入</w:t>
        </w:r>
      </w:hyperlink>
      <w:r>
        <w:rPr>
          <w:rFonts w:ascii="SimHei" w:hAnsi="SimHei" w:cs="Arial" w:eastAsia="黑体"/>
          <w:color w:val="333333"/>
          <w:kern w:val="0"/>
          <w:sz w:val="20"/>
          <w:szCs w:val="20"/>
          <w:lang w:eastAsia="zh-CN"/>
        </w:rPr>
        <w:t>增长率、上交税利增长率、职工工资增长率等指标，还要参考行业平均效益水平来考核评价经营者的业绩。</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）适用对象：一般意义的国有企业的经营者，指总经理或兼职董事长，其他领导班子成员的报酬按照一定系数进行折算，折算系数小于</w:t>
      </w:r>
      <w:r>
        <w:rPr>
          <w:rFonts w:cs="Arial" w:ascii="SimHei" w:hAnsi="SimHei" w:eastAsia="黑体"/>
          <w:color w:val="333333"/>
          <w:kern w:val="0"/>
          <w:sz w:val="20"/>
          <w:szCs w:val="20"/>
          <w:lang w:eastAsia="zh-CN"/>
        </w:rPr>
        <w:t xml:space="preserve">1.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）适用企业：追求企业效益最大化的非股份制企业。现阶段我国国有企业绝大多数都采用这种年薪报酬方案。某集团对下属</w:t>
      </w:r>
      <w:hyperlink r:id="rId46">
        <w:r>
          <w:rPr>
            <w:rStyle w:val="InternetLink"/>
            <w:rFonts w:ascii="Arial" w:hAnsi="Arial" w:cs="Arial"/>
            <w:color w:val="2153B0"/>
            <w:kern w:val="0"/>
            <w:sz w:val="20"/>
            <w:lang w:eastAsia="zh-CN"/>
          </w:rPr>
          <w:t>子公司</w:t>
        </w:r>
      </w:hyperlink>
      <w:r>
        <w:rPr>
          <w:rFonts w:ascii="SimHei" w:hAnsi="SimHei" w:cs="Arial" w:eastAsia="黑体"/>
          <w:color w:val="333333"/>
          <w:kern w:val="0"/>
          <w:sz w:val="20"/>
          <w:szCs w:val="20"/>
          <w:lang w:eastAsia="zh-CN"/>
        </w:rPr>
        <w:t>的经营者实施的年薪报酬方案也多是这种，只是各个企业的具体方案中考核指标、计算方法有一定差异。</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5</w:t>
      </w:r>
      <w:r>
        <w:rPr>
          <w:rFonts w:ascii="SimHei" w:hAnsi="SimHei" w:cs="Arial" w:eastAsia="黑体"/>
          <w:color w:val="333333"/>
          <w:kern w:val="0"/>
          <w:sz w:val="20"/>
          <w:szCs w:val="20"/>
          <w:lang w:eastAsia="zh-CN"/>
        </w:rPr>
        <w:t>）激励作用：如果不存在风险收入封顶的限制，考核指标选择科学准确，相对于以前国有企业经营者的报酬制度和上述方案而言，这种多元化结构的报酬方案更具有激励作用。但该方案缺少激励经营者长期行为的</w:t>
      </w:r>
      <w:hyperlink r:id="rId47">
        <w:r>
          <w:rPr>
            <w:rStyle w:val="InternetLink"/>
            <w:rFonts w:ascii="Arial" w:hAnsi="Arial" w:cs="Arial"/>
            <w:color w:val="2153B0"/>
            <w:kern w:val="0"/>
            <w:sz w:val="20"/>
            <w:lang w:eastAsia="zh-CN"/>
          </w:rPr>
          <w:t>项目</w:t>
        </w:r>
      </w:hyperlink>
      <w:r>
        <w:rPr>
          <w:rFonts w:ascii="SimHei" w:hAnsi="SimHei" w:cs="Arial" w:eastAsia="黑体"/>
          <w:color w:val="333333"/>
          <w:kern w:val="0"/>
          <w:sz w:val="20"/>
          <w:szCs w:val="20"/>
          <w:lang w:eastAsia="zh-CN"/>
        </w:rPr>
        <w:t>，有可能影响企业的长期发展。</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4</w:t>
      </w:r>
      <w:r>
        <w:rPr>
          <w:rFonts w:ascii="SimHei" w:hAnsi="SimHei" w:cs="Arial" w:eastAsia="黑体"/>
          <w:b/>
          <w:bCs/>
          <w:color w:val="333333"/>
          <w:kern w:val="0"/>
          <w:sz w:val="20"/>
          <w:szCs w:val="20"/>
          <w:lang w:eastAsia="zh-CN"/>
        </w:rPr>
        <w:t>、持股多元化型模式</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）报酬结构：基薪＋津贴＋含股权、股票期权等形式的风险收入＋养老金计划</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）报酬数量：基薪取决于企业经营难度和责任，含</w:t>
      </w:r>
      <w:hyperlink r:id="rId48">
        <w:r>
          <w:rPr>
            <w:rStyle w:val="InternetLink"/>
            <w:rFonts w:ascii="Arial" w:hAnsi="Arial" w:cs="Arial"/>
            <w:color w:val="2153B0"/>
            <w:kern w:val="0"/>
            <w:sz w:val="20"/>
            <w:lang w:eastAsia="zh-CN"/>
          </w:rPr>
          <w:t>股权</w:t>
        </w:r>
      </w:hyperlink>
      <w:r>
        <w:rPr>
          <w:rFonts w:ascii="SimHei" w:hAnsi="SimHei" w:cs="Arial" w:eastAsia="黑体"/>
          <w:color w:val="333333"/>
          <w:kern w:val="0"/>
          <w:sz w:val="20"/>
          <w:szCs w:val="20"/>
          <w:lang w:eastAsia="zh-CN"/>
        </w:rPr>
        <w:t>、股票期权形式的风险收入取决于其经营业绩、企业的市场价值。一般基薪应该为</w:t>
      </w:r>
      <w:hyperlink r:id="rId49">
        <w:r>
          <w:rPr>
            <w:rStyle w:val="InternetLink"/>
            <w:rFonts w:ascii="Arial" w:hAnsi="Arial" w:cs="Arial"/>
            <w:color w:val="2153B0"/>
            <w:kern w:val="0"/>
            <w:sz w:val="20"/>
            <w:lang w:eastAsia="zh-CN"/>
          </w:rPr>
          <w:t>职工平均工资</w:t>
        </w:r>
      </w:hyperlink>
      <w:r>
        <w:rPr>
          <w:rFonts w:ascii="SimHei" w:hAnsi="SimHei" w:cs="Arial" w:eastAsia="黑体"/>
          <w:color w:val="333333"/>
          <w:kern w:val="0"/>
          <w:sz w:val="20"/>
          <w:szCs w:val="20"/>
          <w:lang w:eastAsia="zh-CN"/>
        </w:rPr>
        <w:t>的</w:t>
      </w:r>
      <w:r>
        <w:rPr>
          <w:rFonts w:cs="Arial" w:ascii="SimHei" w:hAnsi="SimHei" w:eastAsia="黑体"/>
          <w:color w:val="333333"/>
          <w:kern w:val="0"/>
          <w:sz w:val="20"/>
          <w:szCs w:val="20"/>
          <w:lang w:eastAsia="zh-CN"/>
        </w:rPr>
        <w:t>2-4</w:t>
      </w:r>
      <w:r>
        <w:rPr>
          <w:rFonts w:ascii="SimHei" w:hAnsi="SimHei" w:cs="Arial" w:eastAsia="黑体"/>
          <w:color w:val="333333"/>
          <w:kern w:val="0"/>
          <w:sz w:val="20"/>
          <w:szCs w:val="20"/>
          <w:lang w:eastAsia="zh-CN"/>
        </w:rPr>
        <w:t>倍，但风险收入无法以职工平均工资为参照物，企业市场价值的大幅度升值会使经营者得到巨额财富。只有在确定风险收入的考核指标时才有必要把职工工资的增长率列入。</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）考核指标：确定基薪时要依据企业的资产规模、销售收入、职工人数等指标；确定风险收入时，要考虑净资产增长率、实现利润增长率、</w:t>
      </w:r>
      <w:hyperlink r:id="rId50">
        <w:r>
          <w:rPr>
            <w:rStyle w:val="InternetLink"/>
            <w:rFonts w:ascii="Arial" w:hAnsi="Arial" w:cs="Arial"/>
            <w:color w:val="2153B0"/>
            <w:kern w:val="0"/>
            <w:sz w:val="20"/>
            <w:lang w:eastAsia="zh-CN"/>
          </w:rPr>
          <w:t>销售收入</w:t>
        </w:r>
      </w:hyperlink>
      <w:r>
        <w:rPr>
          <w:rFonts w:ascii="SimHei" w:hAnsi="SimHei" w:cs="Arial" w:eastAsia="黑体"/>
          <w:color w:val="333333"/>
          <w:kern w:val="0"/>
          <w:sz w:val="20"/>
          <w:szCs w:val="20"/>
          <w:lang w:eastAsia="zh-CN"/>
        </w:rPr>
        <w:t>增长率、上交利税增长率、职工工资增长率等指标，还要参考行业平均效益水平来考核评价经营者的业绩。如果资本市场是有效的，有关企业市场价值的信息指标往往更能反映企业经营者的业绩。</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）适用对象：一般意义的国有企业的经营者，指总经理或兼职董事长，其他领导班子成员的报酬按照一定系数进行折算，折算系数小于</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也可以通过给予不同数量的股权、股票期权来体现其差别。</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5</w:t>
      </w:r>
      <w:r>
        <w:rPr>
          <w:rFonts w:ascii="SimHei" w:hAnsi="SimHei" w:cs="Arial" w:eastAsia="黑体"/>
          <w:color w:val="333333"/>
          <w:kern w:val="0"/>
          <w:sz w:val="20"/>
          <w:szCs w:val="20"/>
          <w:lang w:eastAsia="zh-CN"/>
        </w:rPr>
        <w:t>）适用企业：</w:t>
      </w:r>
      <w:hyperlink r:id="rId51">
        <w:r>
          <w:rPr>
            <w:rStyle w:val="InternetLink"/>
            <w:rFonts w:ascii="Arial" w:hAnsi="Arial" w:cs="Arial"/>
            <w:color w:val="2153B0"/>
            <w:kern w:val="0"/>
            <w:sz w:val="20"/>
            <w:lang w:eastAsia="zh-CN"/>
          </w:rPr>
          <w:t>股份制企业</w:t>
        </w:r>
      </w:hyperlink>
      <w:r>
        <w:rPr>
          <w:rFonts w:ascii="SimHei" w:hAnsi="SimHei" w:cs="Arial" w:eastAsia="黑体"/>
          <w:color w:val="333333"/>
          <w:kern w:val="0"/>
          <w:sz w:val="20"/>
          <w:szCs w:val="20"/>
          <w:lang w:eastAsia="zh-CN"/>
        </w:rPr>
        <w:t>，尤其是</w:t>
      </w:r>
      <w:hyperlink r:id="rId52">
        <w:r>
          <w:rPr>
            <w:rStyle w:val="InternetLink"/>
            <w:rFonts w:ascii="Arial" w:hAnsi="Arial" w:cs="Arial"/>
            <w:color w:val="2153B0"/>
            <w:kern w:val="0"/>
            <w:sz w:val="20"/>
            <w:lang w:eastAsia="zh-CN"/>
          </w:rPr>
          <w:t>上市公司</w:t>
        </w:r>
      </w:hyperlink>
      <w:r>
        <w:rPr>
          <w:rFonts w:ascii="SimHei" w:hAnsi="SimHei" w:cs="Arial" w:eastAsia="黑体"/>
          <w:color w:val="333333"/>
          <w:kern w:val="0"/>
          <w:sz w:val="20"/>
          <w:szCs w:val="20"/>
          <w:lang w:eastAsia="zh-CN"/>
        </w:rPr>
        <w:t>。这种报酬方案适应规范化的</w:t>
      </w:r>
      <w:hyperlink r:id="rId53">
        <w:r>
          <w:rPr>
            <w:rStyle w:val="InternetLink"/>
            <w:rFonts w:ascii="Arial" w:hAnsi="Arial" w:cs="Arial"/>
            <w:color w:val="2153B0"/>
            <w:kern w:val="0"/>
            <w:sz w:val="20"/>
            <w:lang w:eastAsia="zh-CN"/>
          </w:rPr>
          <w:t>现代企业制度</w:t>
        </w:r>
      </w:hyperlink>
      <w:r>
        <w:rPr>
          <w:rFonts w:ascii="SimHei" w:hAnsi="SimHei" w:cs="Arial" w:eastAsia="黑体"/>
          <w:color w:val="333333"/>
          <w:kern w:val="0"/>
          <w:sz w:val="20"/>
          <w:szCs w:val="20"/>
          <w:lang w:eastAsia="zh-CN"/>
        </w:rPr>
        <w:t>要求。</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6</w:t>
      </w:r>
      <w:r>
        <w:rPr>
          <w:rFonts w:ascii="SimHei" w:hAnsi="SimHei" w:cs="Arial" w:eastAsia="黑体"/>
          <w:color w:val="333333"/>
          <w:kern w:val="0"/>
          <w:sz w:val="20"/>
          <w:szCs w:val="20"/>
          <w:lang w:eastAsia="zh-CN"/>
        </w:rPr>
        <w:t>）激励作用：从理论上说，这是一种有效的</w:t>
      </w:r>
      <w:hyperlink r:id="rId54">
        <w:r>
          <w:rPr>
            <w:rStyle w:val="InternetLink"/>
            <w:rFonts w:ascii="Arial" w:hAnsi="Arial" w:cs="Arial"/>
            <w:color w:val="2153B0"/>
            <w:kern w:val="0"/>
            <w:sz w:val="20"/>
            <w:lang w:eastAsia="zh-CN"/>
          </w:rPr>
          <w:t>报酬激励</w:t>
        </w:r>
      </w:hyperlink>
      <w:r>
        <w:rPr>
          <w:rFonts w:ascii="SimHei" w:hAnsi="SimHei" w:cs="Arial" w:eastAsia="黑体"/>
          <w:color w:val="333333"/>
          <w:kern w:val="0"/>
          <w:sz w:val="20"/>
          <w:szCs w:val="20"/>
          <w:lang w:eastAsia="zh-CN"/>
        </w:rPr>
        <w:t>方案，多种形式的、具有不同的激励约束作用的报酬组合保证了经营者行为的规范化、长期化。但该方案的具体操作相对复杂，对企业具备的条件要求相对苛刻。</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5</w:t>
      </w:r>
      <w:r>
        <w:rPr>
          <w:rFonts w:ascii="SimHei" w:hAnsi="SimHei" w:cs="Arial" w:eastAsia="黑体"/>
          <w:b/>
          <w:bCs/>
          <w:color w:val="333333"/>
          <w:kern w:val="0"/>
          <w:sz w:val="20"/>
          <w:szCs w:val="20"/>
          <w:lang w:eastAsia="zh-CN"/>
        </w:rPr>
        <w:t>、分配权型模式</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）报酬结构：基薪＋津贴＋以“分配权”、“分配权”</w:t>
      </w:r>
      <w:hyperlink r:id="rId55">
        <w:r>
          <w:rPr>
            <w:rStyle w:val="InternetLink"/>
            <w:rFonts w:ascii="Arial" w:hAnsi="Arial" w:cs="Arial"/>
            <w:color w:val="2153B0"/>
            <w:kern w:val="0"/>
            <w:sz w:val="20"/>
            <w:lang w:eastAsia="zh-CN"/>
          </w:rPr>
          <w:t>期权</w:t>
        </w:r>
      </w:hyperlink>
      <w:r>
        <w:rPr>
          <w:rFonts w:ascii="SimHei" w:hAnsi="SimHei" w:cs="Arial" w:eastAsia="黑体"/>
          <w:color w:val="333333"/>
          <w:kern w:val="0"/>
          <w:sz w:val="20"/>
          <w:szCs w:val="20"/>
          <w:lang w:eastAsia="zh-CN"/>
        </w:rPr>
        <w:t>形式体现的风险收入＋养老金计划</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）报酬数量：基薪取决于企业经营难度的责任，以“分配权”、“分配权”期权形式体现的风险收入取决于企业利润率之类的经营业绩。一般基薪应该为</w:t>
      </w:r>
      <w:hyperlink r:id="rId56">
        <w:r>
          <w:rPr>
            <w:rStyle w:val="InternetLink"/>
            <w:rFonts w:ascii="Arial" w:hAnsi="Arial" w:cs="Arial"/>
            <w:color w:val="2153B0"/>
            <w:kern w:val="0"/>
            <w:sz w:val="20"/>
            <w:lang w:eastAsia="zh-CN"/>
          </w:rPr>
          <w:t>职工平均工资</w:t>
        </w:r>
      </w:hyperlink>
      <w:r>
        <w:rPr>
          <w:rFonts w:ascii="SimHei" w:hAnsi="SimHei" w:cs="Arial" w:eastAsia="黑体"/>
          <w:color w:val="333333"/>
          <w:kern w:val="0"/>
          <w:sz w:val="20"/>
          <w:szCs w:val="20"/>
          <w:lang w:eastAsia="zh-CN"/>
        </w:rPr>
        <w:t>的</w:t>
      </w:r>
      <w:r>
        <w:rPr>
          <w:rFonts w:cs="Arial" w:ascii="SimHei" w:hAnsi="SimHei" w:eastAsia="黑体"/>
          <w:color w:val="333333"/>
          <w:kern w:val="0"/>
          <w:sz w:val="20"/>
          <w:szCs w:val="20"/>
          <w:lang w:eastAsia="zh-CN"/>
        </w:rPr>
        <w:t>2-4</w:t>
      </w:r>
      <w:r>
        <w:rPr>
          <w:rFonts w:ascii="SimHei" w:hAnsi="SimHei" w:cs="Arial" w:eastAsia="黑体"/>
          <w:color w:val="333333"/>
          <w:kern w:val="0"/>
          <w:sz w:val="20"/>
          <w:szCs w:val="20"/>
          <w:lang w:eastAsia="zh-CN"/>
        </w:rPr>
        <w:t>倍，但风险收入无法以职工平均工资为参照物，没必要进行封顶。只有在确定风险收入的考核指标时有必要把职工工资的增长率列入。</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）考核指标：确定基薪时要依据企业的资产规模、销售收入、职工人数等指标；确定风险收入时，要考虑净资产利润率之类的企业业绩指标。</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）适用对象：一般意义的国有企业的经营者，指总经理或兼职董事长，其他领导班子成员的报酬可通过给予不同数量的“分配权”或期权来体现。</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5</w:t>
      </w:r>
      <w:r>
        <w:rPr>
          <w:rFonts w:ascii="SimHei" w:hAnsi="SimHei" w:cs="Arial" w:eastAsia="黑体"/>
          <w:color w:val="333333"/>
          <w:kern w:val="0"/>
          <w:sz w:val="20"/>
          <w:szCs w:val="20"/>
          <w:lang w:eastAsia="zh-CN"/>
        </w:rPr>
        <w:t>）适用企业：不局限于上市公司和股份制企业，可在各类企业中实行。</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6</w:t>
      </w:r>
      <w:r>
        <w:rPr>
          <w:rFonts w:ascii="SimHei" w:hAnsi="SimHei" w:cs="Arial" w:eastAsia="黑体"/>
          <w:color w:val="333333"/>
          <w:kern w:val="0"/>
          <w:sz w:val="20"/>
          <w:szCs w:val="20"/>
          <w:lang w:eastAsia="zh-CN"/>
        </w:rPr>
        <w:t>）激励作用：把股权、股票期权的激励机理引入到非上市公司或股份制企业中，扩大其适用范围。这是一种理论创新，其效果还有待实践检验。</w:t>
      </w:r>
      <w:r>
        <w:rPr>
          <w:rFonts w:ascii="SimHei" w:hAnsi="SimHei" w:cs="Arial" w:eastAsia="黑体"/>
          <w:color w:val="333333"/>
          <w:kern w:val="0"/>
          <w:sz w:val="20"/>
          <w:szCs w:val="20"/>
          <w:lang w:eastAsia="zh-CN"/>
        </w:rPr>
        <w:t xml:space="preserve"> </w:t>
      </w:r>
    </w:p>
    <w:p>
      <w:pPr>
        <w:pStyle w:val="Normal"/>
        <w:widowControl/>
        <w:numPr>
          <w:ilvl w:val="0"/>
          <w:numId w:val="0"/>
        </w:numPr>
        <w:pBdr>
          <w:bottom w:val="single" w:sz="6" w:space="2" w:color="CEC39C"/>
        </w:pBdr>
        <w:spacing w:lineRule="atLeast" w:line="336" w:before="360" w:after="60"/>
        <w:jc w:val="start"/>
        <w:outlineLvl w:val="1"/>
        <w:rPr>
          <w:rFonts w:ascii="Arial" w:hAnsi="Arial" w:cs="Arial"/>
          <w:b/>
          <w:b/>
          <w:bCs/>
          <w:color w:val="333333"/>
          <w:kern w:val="0"/>
          <w:sz w:val="28"/>
          <w:szCs w:val="28"/>
          <w:lang w:eastAsia="zh-CN"/>
        </w:rPr>
      </w:pPr>
      <w:bookmarkStart w:id="3" w:name=".E5.B9.B4.E8.96.AA.E5.88.B6.E7.9A.84.E4."/>
      <w:bookmarkEnd w:id="3"/>
      <w:r>
        <w:rPr>
          <w:rFonts w:ascii="SimHei" w:hAnsi="SimHei" w:cs="Arial" w:eastAsia="黑体"/>
          <w:b/>
          <w:bCs/>
          <w:color w:val="333333"/>
          <w:kern w:val="0"/>
          <w:sz w:val="28"/>
          <w:szCs w:val="28"/>
          <w:lang w:eastAsia="zh-CN"/>
        </w:rPr>
        <w:t>年薪制的优缺点</w:t>
      </w:r>
      <w:r>
        <w:rPr>
          <w:rFonts w:ascii="SimHei" w:hAnsi="SimHei" w:cs="Arial" w:eastAsia="黑体"/>
          <w:b/>
          <w:bCs/>
          <w:color w:val="333333"/>
          <w:kern w:val="0"/>
          <w:sz w:val="28"/>
          <w:szCs w:val="28"/>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1</w:t>
      </w:r>
      <w:r>
        <w:rPr>
          <w:rFonts w:ascii="SimHei" w:hAnsi="SimHei" w:cs="Arial" w:eastAsia="黑体"/>
          <w:b/>
          <w:bCs/>
          <w:color w:val="333333"/>
          <w:kern w:val="0"/>
          <w:sz w:val="20"/>
          <w:szCs w:val="20"/>
          <w:lang w:eastAsia="zh-CN"/>
        </w:rPr>
        <w:t>、年薪制的优点</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）年薪制可以充分体现经营者的劳动特点。因此，企业可以根据经营者一个年度以及任期内的经营管理业绩，相应确定与其贡献相称的年度和长期报酬水平以及获得报酬的方式。</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年薪结构中含有较大的风险收入，有利于在责任、风险和收入对等的基础上加大激励力度，使经营者凭多种要素广泛深入地参与企业剩余收益分配，使经营者的实际贡献直接反映于当期各类年薪收入的浮动之中，并进一步影响其应得的长期收入。</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3</w:t>
      </w:r>
      <w:r>
        <w:rPr>
          <w:rFonts w:ascii="SimHei" w:hAnsi="SimHei" w:cs="Arial" w:eastAsia="黑体"/>
          <w:color w:val="333333"/>
          <w:kern w:val="0"/>
          <w:sz w:val="20"/>
          <w:szCs w:val="20"/>
          <w:lang w:eastAsia="zh-CN"/>
        </w:rPr>
        <w:t>）年薪制可以为广泛实施</w:t>
      </w:r>
      <w:hyperlink r:id="rId57">
        <w:r>
          <w:rPr>
            <w:rStyle w:val="InternetLink"/>
            <w:rFonts w:ascii="Arial" w:hAnsi="Arial" w:cs="Arial"/>
            <w:color w:val="2153B0"/>
            <w:kern w:val="0"/>
            <w:sz w:val="20"/>
            <w:lang w:eastAsia="zh-CN"/>
          </w:rPr>
          <w:t>股权激励</w:t>
        </w:r>
      </w:hyperlink>
      <w:r>
        <w:rPr>
          <w:rFonts w:ascii="SimHei" w:hAnsi="SimHei" w:cs="Arial" w:eastAsia="黑体"/>
          <w:color w:val="333333"/>
          <w:kern w:val="0"/>
          <w:sz w:val="20"/>
          <w:szCs w:val="20"/>
          <w:lang w:eastAsia="zh-CN"/>
        </w:rPr>
        <w:t>创造基础条件，企业既可以方便地把年薪收入的一部分直接转化为</w:t>
      </w:r>
      <w:hyperlink r:id="rId58">
        <w:r>
          <w:rPr>
            <w:rStyle w:val="InternetLink"/>
            <w:rFonts w:ascii="Arial" w:hAnsi="Arial" w:cs="Arial"/>
            <w:color w:val="2153B0"/>
            <w:kern w:val="0"/>
            <w:sz w:val="20"/>
            <w:lang w:eastAsia="zh-CN"/>
          </w:rPr>
          <w:t>股权激励</w:t>
        </w:r>
      </w:hyperlink>
      <w:r>
        <w:rPr>
          <w:rFonts w:ascii="SimHei" w:hAnsi="SimHei" w:cs="Arial" w:eastAsia="黑体"/>
          <w:color w:val="333333"/>
          <w:kern w:val="0"/>
          <w:sz w:val="20"/>
          <w:szCs w:val="20"/>
          <w:lang w:eastAsia="zh-CN"/>
        </w:rPr>
        <w:t>形式，又可以组合多种</w:t>
      </w:r>
      <w:hyperlink r:id="rId59">
        <w:r>
          <w:rPr>
            <w:rStyle w:val="InternetLink"/>
            <w:rFonts w:ascii="Arial" w:hAnsi="Arial" w:cs="Arial"/>
            <w:color w:val="2153B0"/>
            <w:kern w:val="0"/>
            <w:sz w:val="20"/>
            <w:lang w:eastAsia="zh-CN"/>
          </w:rPr>
          <w:t>股权激励</w:t>
        </w:r>
      </w:hyperlink>
      <w:r>
        <w:rPr>
          <w:rFonts w:ascii="SimHei" w:hAnsi="SimHei" w:cs="Arial" w:eastAsia="黑体"/>
          <w:color w:val="333333"/>
          <w:kern w:val="0"/>
          <w:sz w:val="20"/>
          <w:szCs w:val="20"/>
          <w:lang w:eastAsia="zh-CN"/>
        </w:rPr>
        <w:t>形式；把经营者报酬与资产所有者利益和企业发展前景紧密结合起来。</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4</w:t>
      </w:r>
      <w:r>
        <w:rPr>
          <w:rFonts w:ascii="SimHei" w:hAnsi="SimHei" w:cs="Arial" w:eastAsia="黑体"/>
          <w:color w:val="333333"/>
          <w:kern w:val="0"/>
          <w:sz w:val="20"/>
          <w:szCs w:val="20"/>
          <w:lang w:eastAsia="zh-CN"/>
        </w:rPr>
        <w:t>）高薪养廉。高薪不仅能对企业家产生激励，同时也对抑制“管理腐败”行为起了积极的预防作用。高薪本身构成了“管理腐败”的</w:t>
      </w:r>
      <w:hyperlink r:id="rId60">
        <w:r>
          <w:rPr>
            <w:rStyle w:val="InternetLink"/>
            <w:rFonts w:ascii="Arial" w:hAnsi="Arial" w:cs="Arial"/>
            <w:color w:val="2153B0"/>
            <w:kern w:val="0"/>
            <w:sz w:val="20"/>
            <w:lang w:eastAsia="zh-CN"/>
          </w:rPr>
          <w:t>机会成本</w:t>
        </w:r>
      </w:hyperlink>
      <w:r>
        <w:rPr>
          <w:rFonts w:ascii="SimHei" w:hAnsi="SimHei" w:cs="Arial" w:eastAsia="黑体"/>
          <w:color w:val="333333"/>
          <w:kern w:val="0"/>
          <w:sz w:val="20"/>
          <w:szCs w:val="20"/>
          <w:lang w:eastAsia="zh-CN"/>
        </w:rPr>
        <w:t>。所以，通过实行企业家年薪制可以使企业家取得较满意的收入，从而在一定程度上削弱了通过管理腐败来损害企业利益行为。</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b/>
          <w:bCs/>
          <w:color w:val="333333"/>
          <w:kern w:val="0"/>
          <w:sz w:val="20"/>
          <w:szCs w:val="20"/>
          <w:lang w:eastAsia="zh-CN"/>
        </w:rPr>
        <w:t>2</w:t>
      </w:r>
      <w:r>
        <w:rPr>
          <w:rFonts w:ascii="SimHei" w:hAnsi="SimHei" w:cs="Arial" w:eastAsia="黑体"/>
          <w:b/>
          <w:bCs/>
          <w:color w:val="333333"/>
          <w:kern w:val="0"/>
          <w:sz w:val="20"/>
          <w:szCs w:val="20"/>
          <w:lang w:eastAsia="zh-CN"/>
        </w:rPr>
        <w:t>、年薪制的缺点</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rFonts w:ascii="Arial" w:hAnsi="Arial" w:cs="Arial"/>
          <w:color w:val="333333"/>
          <w:kern w:val="0"/>
          <w:sz w:val="20"/>
          <w:szCs w:val="20"/>
          <w:lang w:eastAsia="zh-CN"/>
        </w:rPr>
      </w:pPr>
      <w:r>
        <w:rPr>
          <w:rFonts w:ascii="SimHei" w:hAnsi="SimHei" w:cs="Arial" w:eastAsia="黑体"/>
          <w:color w:val="333333"/>
          <w:kern w:val="0"/>
          <w:sz w:val="20"/>
          <w:szCs w:val="20"/>
          <w:lang w:eastAsia="zh-CN"/>
        </w:rPr>
        <w:t xml:space="preserve">　　“年薪制”的缺陷主要表现在</w:t>
      </w:r>
      <w:r>
        <w:rPr>
          <w:rFonts w:cs="Arial" w:ascii="SimHei" w:hAnsi="SimHei"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1</w:t>
      </w:r>
      <w:r>
        <w:rPr>
          <w:rFonts w:ascii="SimHei" w:hAnsi="SimHei" w:cs="Arial" w:eastAsia="黑体"/>
          <w:color w:val="333333"/>
          <w:kern w:val="0"/>
          <w:sz w:val="20"/>
          <w:szCs w:val="20"/>
          <w:lang w:eastAsia="zh-CN"/>
        </w:rPr>
        <w:t>）年薪制无法调动经营者的长期行为。公司高级管理人员时常需要独立地就公司的经营管理以及未来</w:t>
      </w:r>
      <w:hyperlink r:id="rId61">
        <w:r>
          <w:rPr>
            <w:rStyle w:val="InternetLink"/>
            <w:rFonts w:ascii="Arial" w:hAnsi="Arial" w:cs="Arial"/>
            <w:color w:val="2153B0"/>
            <w:kern w:val="0"/>
            <w:sz w:val="20"/>
            <w:lang w:eastAsia="zh-CN"/>
          </w:rPr>
          <w:t>发展战略</w:t>
        </w:r>
      </w:hyperlink>
      <w:r>
        <w:rPr>
          <w:rFonts w:ascii="SimHei" w:hAnsi="SimHei" w:cs="Arial" w:eastAsia="黑体"/>
          <w:color w:val="333333"/>
          <w:kern w:val="0"/>
          <w:sz w:val="20"/>
          <w:szCs w:val="20"/>
          <w:lang w:eastAsia="zh-CN"/>
        </w:rPr>
        <w:t>等问题进行决策，诸如公司购并、</w:t>
      </w:r>
      <w:hyperlink r:id="rId62">
        <w:r>
          <w:rPr>
            <w:rStyle w:val="InternetLink"/>
            <w:rFonts w:ascii="Arial" w:hAnsi="Arial" w:cs="Arial"/>
            <w:color w:val="2153B0"/>
            <w:kern w:val="0"/>
            <w:sz w:val="20"/>
            <w:lang w:eastAsia="zh-CN"/>
          </w:rPr>
          <w:t>公司重组</w:t>
        </w:r>
      </w:hyperlink>
      <w:r>
        <w:rPr>
          <w:rFonts w:ascii="SimHei" w:hAnsi="SimHei" w:cs="Arial" w:eastAsia="黑体"/>
          <w:color w:val="333333"/>
          <w:kern w:val="0"/>
          <w:sz w:val="20"/>
          <w:szCs w:val="20"/>
          <w:lang w:eastAsia="zh-CN"/>
        </w:rPr>
        <w:t>及重大</w:t>
      </w:r>
      <w:hyperlink r:id="rId63">
        <w:r>
          <w:rPr>
            <w:rStyle w:val="InternetLink"/>
            <w:rFonts w:ascii="Arial" w:hAnsi="Arial" w:cs="Arial"/>
            <w:color w:val="2153B0"/>
            <w:kern w:val="0"/>
            <w:sz w:val="20"/>
            <w:lang w:eastAsia="zh-CN"/>
          </w:rPr>
          <w:t>长期投资</w:t>
        </w:r>
      </w:hyperlink>
      <w:r>
        <w:rPr>
          <w:rFonts w:ascii="SimHei" w:hAnsi="SimHei" w:cs="Arial" w:eastAsia="黑体"/>
          <w:color w:val="333333"/>
          <w:kern w:val="0"/>
          <w:sz w:val="20"/>
          <w:szCs w:val="20"/>
          <w:lang w:eastAsia="zh-CN"/>
        </w:rPr>
        <w:t>等。这些重大决定给公司带来的影响是长期的。但在执行计划的当年，公司财务记录大多是执行计划的费用，计划带来的收益可能很少或者为零。那么处于对</w:t>
      </w:r>
      <w:hyperlink r:id="rId64">
        <w:r>
          <w:rPr>
            <w:rStyle w:val="InternetLink"/>
            <w:rFonts w:ascii="Arial" w:hAnsi="Arial" w:cs="Arial"/>
            <w:color w:val="2153B0"/>
            <w:kern w:val="0"/>
            <w:sz w:val="20"/>
            <w:lang w:eastAsia="zh-CN"/>
          </w:rPr>
          <w:t>个人利益</w:t>
        </w:r>
      </w:hyperlink>
      <w:r>
        <w:rPr>
          <w:rFonts w:ascii="SimHei" w:hAnsi="SimHei" w:cs="Arial" w:eastAsia="黑体"/>
          <w:color w:val="333333"/>
          <w:kern w:val="0"/>
          <w:sz w:val="20"/>
          <w:szCs w:val="20"/>
          <w:lang w:eastAsia="zh-CN"/>
        </w:rPr>
        <w:t>的考虑，高级管理人员可能倾向于放弃那些有利于公司长期发展的计划。</w:t>
      </w:r>
      <w:r>
        <w:rPr>
          <w:rFonts w:ascii="SimHei" w:hAnsi="SimHei" w:cs="Arial" w:eastAsia="黑体"/>
          <w:color w:val="333333"/>
          <w:kern w:val="0"/>
          <w:sz w:val="20"/>
          <w:szCs w:val="20"/>
          <w:lang w:eastAsia="zh-CN"/>
        </w:rPr>
        <w:t xml:space="preserve"> </w:t>
      </w:r>
    </w:p>
    <w:p>
      <w:pPr>
        <w:pStyle w:val="Normal"/>
        <w:widowControl/>
        <w:spacing w:lineRule="atLeast" w:line="336" w:before="240" w:after="240"/>
        <w:jc w:val="start"/>
        <w:rPr/>
      </w:pPr>
      <w:r>
        <w:rPr>
          <w:rFonts w:ascii="SimHei" w:hAnsi="SimHei" w:cs="Arial" w:eastAsia="黑体"/>
          <w:color w:val="333333"/>
          <w:kern w:val="0"/>
          <w:sz w:val="20"/>
          <w:szCs w:val="20"/>
          <w:lang w:eastAsia="zh-CN"/>
        </w:rPr>
        <w:t xml:space="preserve">　　</w:t>
      </w:r>
      <w:r>
        <w:rPr>
          <w:rFonts w:cs="Arial" w:ascii="SimHei" w:hAnsi="SimHei" w:eastAsia="黑体"/>
          <w:color w:val="333333"/>
          <w:kern w:val="0"/>
          <w:sz w:val="20"/>
          <w:szCs w:val="20"/>
          <w:lang w:eastAsia="zh-CN"/>
        </w:rPr>
        <w:t>2</w:t>
      </w:r>
      <w:r>
        <w:rPr>
          <w:rFonts w:ascii="SimHei" w:hAnsi="SimHei" w:cs="Arial" w:eastAsia="黑体"/>
          <w:color w:val="333333"/>
          <w:kern w:val="0"/>
          <w:sz w:val="20"/>
          <w:szCs w:val="20"/>
          <w:lang w:eastAsia="zh-CN"/>
        </w:rPr>
        <w:t>）年薪制只考虑了企业的年度收益，在信息不对称的情况下，会导致企业家行为短期化在缺乏动力激励的情况下，企业家也可能通过其他渠道获取收入，通过各种途径“</w:t>
      </w:r>
      <w:hyperlink r:id="rId65">
        <w:r>
          <w:rPr>
            <w:rStyle w:val="InternetLink"/>
            <w:rFonts w:ascii="Arial" w:hAnsi="Arial" w:cs="Arial"/>
            <w:color w:val="2153B0"/>
            <w:kern w:val="0"/>
            <w:sz w:val="20"/>
            <w:lang w:eastAsia="zh-CN"/>
          </w:rPr>
          <w:t>寻租</w:t>
        </w:r>
      </w:hyperlink>
      <w:r>
        <w:rPr>
          <w:rFonts w:ascii="SimHei" w:hAnsi="SimHei" w:cs="Arial" w:eastAsia="黑体"/>
          <w:color w:val="333333"/>
          <w:kern w:val="0"/>
          <w:sz w:val="20"/>
          <w:szCs w:val="20"/>
          <w:lang w:eastAsia="zh-CN"/>
        </w:rPr>
        <w:t>”。</w:t>
      </w:r>
      <w:r>
        <w:rPr>
          <w:rFonts w:ascii="SimHei" w:hAnsi="SimHei" w:cs="Arial" w:eastAsia="黑体"/>
          <w:color w:val="333333"/>
          <w:kern w:val="0"/>
          <w:sz w:val="20"/>
          <w:szCs w:val="20"/>
          <w:lang w:eastAsia="zh-CN"/>
        </w:rPr>
        <w:t xml:space="preserve"> </w:t>
      </w:r>
    </w:p>
    <w:p>
      <w:pPr>
        <w:pStyle w:val="Normal"/>
        <w:rPr>
          <w:rFonts w:ascii="Arial" w:hAnsi="Arial" w:cs="Arial"/>
          <w:color w:val="333333"/>
          <w:kern w:val="0"/>
          <w:sz w:val="20"/>
          <w:szCs w:val="20"/>
          <w:lang w:eastAsia="zh-CN"/>
        </w:rPr>
      </w:pPr>
      <w:r>
        <w:rPr>
          <w:rFonts w:cs="Arial" w:ascii="SimHei" w:hAnsi="SimHei" w:eastAsia="黑体"/>
          <w:color w:val="333333"/>
          <w:kern w:val="0"/>
          <w:sz w:val="20"/>
          <w:szCs w:val="20"/>
          <w:lang w:eastAsia="zh-CN"/>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Cambria">
    <w:charset w:val="00" w:characterSet="windows-1252"/>
    <w:family w:val="roman"/>
    <w:pitch w:val="variable"/>
  </w:font>
  <w:font w:name="Liberation Sans">
    <w:altName w:val="Arial"/>
    <w:charset w:val="01" w:characterSet="utf-8"/>
    <w:family w:val="swiss"/>
    <w:pitch w:val="variable"/>
  </w:font>
  <w:font w:name="黑体">
    <w:altName w:val="SimHei"/>
    <w:charset w:val="86"/>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2">
    <w:name w:val="Heading 2"/>
    <w:basedOn w:val="Normal"/>
    <w:next w:val="TextBody"/>
    <w:qFormat/>
    <w:pPr>
      <w:widowControl/>
      <w:numPr>
        <w:ilvl w:val="1"/>
        <w:numId w:val="1"/>
      </w:numPr>
      <w:pBdr>
        <w:bottom w:val="single" w:sz="6" w:space="2" w:color="CEC39C"/>
      </w:pBdr>
      <w:spacing w:lineRule="atLeast" w:line="336" w:before="360" w:after="60"/>
      <w:jc w:val="start"/>
      <w:outlineLvl w:val="1"/>
    </w:pPr>
    <w:rPr>
      <w:rFonts w:ascii="宋体;SimSun" w:hAnsi="宋体;SimSun" w:cs="宋体;SimSun"/>
      <w:b/>
      <w:bCs/>
      <w:kern w:val="0"/>
      <w:sz w:val="34"/>
      <w:szCs w:val="34"/>
    </w:rPr>
  </w:style>
  <w:style w:type="character" w:styleId="Style13">
    <w:name w:val="默认段落字体"/>
    <w:qFormat/>
    <w:rPr/>
  </w:style>
  <w:style w:type="character" w:styleId="InternetLink">
    <w:name w:val="Hyperlink"/>
    <w:rPr>
      <w:strike w:val="false"/>
      <w:dstrike w:val="false"/>
      <w:color w:val="2153B0"/>
      <w:u w:val="none"/>
    </w:rPr>
  </w:style>
  <w:style w:type="character" w:styleId="Char">
    <w:name w:val="页眉 Char"/>
    <w:qFormat/>
    <w:rPr>
      <w:kern w:val="2"/>
      <w:sz w:val="18"/>
      <w:szCs w:val="18"/>
    </w:rPr>
  </w:style>
  <w:style w:type="character" w:styleId="Char1">
    <w:name w:val="页脚 Char"/>
    <w:qFormat/>
    <w:rPr>
      <w:kern w:val="2"/>
      <w:sz w:val="18"/>
      <w:szCs w:val="18"/>
    </w:rPr>
  </w:style>
  <w:style w:type="character" w:styleId="Char2">
    <w:name w:val="副标题 Char"/>
    <w:qFormat/>
    <w:rPr>
      <w:rFonts w:ascii="Cambria" w:hAnsi="Cambria" w:cs="Times New Roman"/>
      <w:b/>
      <w:bCs/>
      <w:kern w:val="2"/>
      <w:sz w:val="32"/>
      <w:szCs w:val="32"/>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4">
    <w:name w:val="普通(网站)"/>
    <w:basedOn w:val="Normal"/>
    <w:qFormat/>
    <w:pPr>
      <w:widowControl/>
      <w:spacing w:before="240" w:after="24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ubtitle">
    <w:name w:val="Subtitle"/>
    <w:basedOn w:val="Normal"/>
    <w:next w:val="Normal"/>
    <w:qFormat/>
    <w:pPr>
      <w:spacing w:lineRule="auto" w:line="312" w:before="240" w:after="60"/>
      <w:jc w:val="center"/>
      <w:outlineLvl w:val="1"/>
    </w:pPr>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iki.mbalib.com/wiki/&#24037;&#36164;" TargetMode="External"/><Relationship Id="rId3" Type="http://schemas.openxmlformats.org/officeDocument/2006/relationships/hyperlink" Target="http://wiki.mbalib.com/wiki/&#32929;&#26435;&#28608;&#21169;" TargetMode="External"/><Relationship Id="rId4" Type="http://schemas.openxmlformats.org/officeDocument/2006/relationships/hyperlink" Target="http://wiki.mbalib.com/wiki/&#29616;&#20195;&#20225;&#19994;&#21046;&#24230;" TargetMode="External"/><Relationship Id="rId5" Type="http://schemas.openxmlformats.org/officeDocument/2006/relationships/hyperlink" Target="http://wiki.mbalib.com/wiki/&#32463;&#33829;&#26435;" TargetMode="External"/><Relationship Id="rId6" Type="http://schemas.openxmlformats.org/officeDocument/2006/relationships/hyperlink" Target="http://wiki.mbalib.com/wiki/&#20844;&#24320;&#25307;&#32856;" TargetMode="External"/><Relationship Id="rId7" Type="http://schemas.openxmlformats.org/officeDocument/2006/relationships/hyperlink" Target="http://wiki.mbalib.com/wiki/&#30417;&#30563;&#20307;&#31995;" TargetMode="External"/><Relationship Id="rId8" Type="http://schemas.openxmlformats.org/officeDocument/2006/relationships/hyperlink" Target="http://wiki.mbalib.com/wiki/&#36164;&#20135;" TargetMode="External"/><Relationship Id="rId9" Type="http://schemas.openxmlformats.org/officeDocument/2006/relationships/hyperlink" Target="http://wiki.mbalib.com/wiki/&#32463;&#33829;&#29366;&#20917;" TargetMode="External"/><Relationship Id="rId10" Type="http://schemas.openxmlformats.org/officeDocument/2006/relationships/hyperlink" Target="http://wiki.mbalib.com/wiki/&#20225;&#19994;&#32463;&#33829;&#29366;&#20917;" TargetMode="External"/><Relationship Id="rId11" Type="http://schemas.openxmlformats.org/officeDocument/2006/relationships/hyperlink" Target="http://wiki.mbalib.com/wiki/&#25216;&#26415;&#25913;&#36896;" TargetMode="External"/><Relationship Id="rId12" Type="http://schemas.openxmlformats.org/officeDocument/2006/relationships/hyperlink" Target="http://wiki.mbalib.com/wiki/&#20154;&#21147;&#36164;&#28304;" TargetMode="External"/><Relationship Id="rId13" Type="http://schemas.openxmlformats.org/officeDocument/2006/relationships/hyperlink" Target="http://wiki.mbalib.com/wiki/&#24037;&#20316;&#32489;&#25928;" TargetMode="External"/><Relationship Id="rId14" Type="http://schemas.openxmlformats.org/officeDocument/2006/relationships/hyperlink" Target="http://wiki.mbalib.com/wiki/&#20225;&#19994;&#23478;" TargetMode="External"/><Relationship Id="rId15" Type="http://schemas.openxmlformats.org/officeDocument/2006/relationships/hyperlink" Target="http://wiki.mbalib.com/wiki/&#23439;&#35266;&#32463;&#27982;" TargetMode="External"/><Relationship Id="rId16" Type="http://schemas.openxmlformats.org/officeDocument/2006/relationships/hyperlink" Target="http://wiki.mbalib.com/wiki/&#32463;&#33829;&#31649;&#29702;" TargetMode="External"/><Relationship Id="rId17" Type="http://schemas.openxmlformats.org/officeDocument/2006/relationships/hyperlink" Target="http://wiki.mbalib.com/wiki/&#21019;&#36896;&#24615;&#20154;&#25165;" TargetMode="External"/><Relationship Id="rId18" Type="http://schemas.openxmlformats.org/officeDocument/2006/relationships/hyperlink" Target="http://wiki.mbalib.com/wiki/&#39033;&#30446;&#31649;&#29702;" TargetMode="External"/><Relationship Id="rId19" Type="http://schemas.openxmlformats.org/officeDocument/2006/relationships/hyperlink" Target="http://wiki.mbalib.com/wiki/&#21019;&#36896;&#21147;" TargetMode="External"/><Relationship Id="rId20" Type="http://schemas.openxmlformats.org/officeDocument/2006/relationships/hyperlink" Target="http://wiki.mbalib.com/wiki/&#28608;&#21169;" TargetMode="External"/><Relationship Id="rId21" Type="http://schemas.openxmlformats.org/officeDocument/2006/relationships/hyperlink" Target="http://wiki.mbalib.com/wiki/&#31616;&#21333;&#31649;&#29702;" TargetMode="External"/><Relationship Id="rId22" Type="http://schemas.openxmlformats.org/officeDocument/2006/relationships/hyperlink" Target="http://wiki.mbalib.com/wiki/&#34218;&#37228;" TargetMode="External"/><Relationship Id="rId23" Type="http://schemas.openxmlformats.org/officeDocument/2006/relationships/hyperlink" Target="http://wiki.mbalib.com/wiki/&#22996;&#25176;&#20154;" TargetMode="External"/><Relationship Id="rId24" Type="http://schemas.openxmlformats.org/officeDocument/2006/relationships/hyperlink" Target="http://wiki.mbalib.com/wiki/&#21160;&#24577;&#22343;&#34913;" TargetMode="External"/><Relationship Id="rId25" Type="http://schemas.openxmlformats.org/officeDocument/2006/relationships/hyperlink" Target="http://wiki.mbalib.com/wiki/&#20195;&#29702;&#25104;&#26412;" TargetMode="External"/><Relationship Id="rId26" Type="http://schemas.openxmlformats.org/officeDocument/2006/relationships/hyperlink" Target="http://wiki.mbalib.com/wiki/&#22996;&#25176;&#20195;&#29702;" TargetMode="External"/><Relationship Id="rId27" Type="http://schemas.openxmlformats.org/officeDocument/2006/relationships/hyperlink" Target="http://wiki.mbalib.com/wiki/&#22996;&#25176;&#20154;" TargetMode="External"/><Relationship Id="rId28" Type="http://schemas.openxmlformats.org/officeDocument/2006/relationships/hyperlink" Target="http://wiki.mbalib.com/wiki/&#20225;&#19994;&#32463;&#27982;&#25928;&#30410;" TargetMode="External"/><Relationship Id="rId29" Type="http://schemas.openxmlformats.org/officeDocument/2006/relationships/hyperlink" Target="http://wiki.mbalib.com/wiki/&#33891;&#20107;&#38271;" TargetMode="External"/><Relationship Id="rId30" Type="http://schemas.openxmlformats.org/officeDocument/2006/relationships/hyperlink" Target="http://wiki.mbalib.com/wiki/&#22870;&#37329;" TargetMode="External"/><Relationship Id="rId31" Type="http://schemas.openxmlformats.org/officeDocument/2006/relationships/hyperlink" Target="http://wiki.mbalib.com/wiki/&#32929;&#31080;&#26399;&#26435;" TargetMode="External"/><Relationship Id="rId32" Type="http://schemas.openxmlformats.org/officeDocument/2006/relationships/hyperlink" Target="http://wiki.mbalib.com/wiki/&#27941;&#36148;" TargetMode="External"/><Relationship Id="rId33" Type="http://schemas.openxmlformats.org/officeDocument/2006/relationships/hyperlink" Target="http://wiki.mbalib.com/wiki/&#25903;&#20184;&#26041;&#24335;" TargetMode="External"/><Relationship Id="rId34" Type="http://schemas.openxmlformats.org/officeDocument/2006/relationships/hyperlink" Target="http://wiki.mbalib.com/wiki/&#39640;&#23618;&#31649;&#29702;&#20154;&#21592;" TargetMode="External"/><Relationship Id="rId35" Type="http://schemas.openxmlformats.org/officeDocument/2006/relationships/hyperlink" Target="http://wiki.mbalib.com/wiki/&#20859;&#32769;&#37329;&#35745;&#21010;" TargetMode="External"/><Relationship Id="rId36" Type="http://schemas.openxmlformats.org/officeDocument/2006/relationships/hyperlink" Target="http://wiki.mbalib.com/wiki/&#22269;&#26377;&#20225;&#19994;" TargetMode="External"/><Relationship Id="rId37" Type="http://schemas.openxmlformats.org/officeDocument/2006/relationships/hyperlink" Target="http://wiki.mbalib.com/wiki/&#25112;&#30053;" TargetMode="External"/><Relationship Id="rId38" Type="http://schemas.openxmlformats.org/officeDocument/2006/relationships/hyperlink" Target="http://wiki.mbalib.com/wiki/&#25511;&#32929;&#20844;&#21496;" TargetMode="External"/><Relationship Id="rId39" Type="http://schemas.openxmlformats.org/officeDocument/2006/relationships/hyperlink" Target="http://wiki.mbalib.com/wiki/&#20844;&#21153;&#21592;" TargetMode="External"/><Relationship Id="rId40" Type="http://schemas.openxmlformats.org/officeDocument/2006/relationships/hyperlink" Target="http://wiki.mbalib.com/wiki/&#28608;&#21169;&#21147;&#37327;" TargetMode="External"/><Relationship Id="rId41" Type="http://schemas.openxmlformats.org/officeDocument/2006/relationships/hyperlink" Target="http://wiki.mbalib.com/wiki/&#32463;&#33829;&#30446;&#26631;" TargetMode="External"/><Relationship Id="rId42" Type="http://schemas.openxmlformats.org/officeDocument/2006/relationships/hyperlink" Target="http://wiki.mbalib.com/wiki/&#36164;&#20135;&#21033;&#28070;&#29575;" TargetMode="External"/><Relationship Id="rId43" Type="http://schemas.openxmlformats.org/officeDocument/2006/relationships/hyperlink" Target="http://wiki.mbalib.com/wiki/&#22269;&#26377;&#20225;&#19994;" TargetMode="External"/><Relationship Id="rId44" Type="http://schemas.openxmlformats.org/officeDocument/2006/relationships/hyperlink" Target="http://wiki.mbalib.com/wiki/&#20928;&#36164;&#20135;&#22686;&#38271;&#29575;" TargetMode="External"/><Relationship Id="rId45" Type="http://schemas.openxmlformats.org/officeDocument/2006/relationships/hyperlink" Target="http://wiki.mbalib.com/wiki/&#38144;&#21806;&#25910;&#20837;" TargetMode="External"/><Relationship Id="rId46" Type="http://schemas.openxmlformats.org/officeDocument/2006/relationships/hyperlink" Target="http://wiki.mbalib.com/wiki/&#23376;&#20844;&#21496;" TargetMode="External"/><Relationship Id="rId47" Type="http://schemas.openxmlformats.org/officeDocument/2006/relationships/hyperlink" Target="http://wiki.mbalib.com/wiki/&#39033;&#30446;" TargetMode="External"/><Relationship Id="rId48" Type="http://schemas.openxmlformats.org/officeDocument/2006/relationships/hyperlink" Target="http://wiki.mbalib.com/wiki/&#32929;&#26435;" TargetMode="External"/><Relationship Id="rId49" Type="http://schemas.openxmlformats.org/officeDocument/2006/relationships/hyperlink" Target="http://wiki.mbalib.com/wiki/&#32844;&#24037;&#24179;&#22343;&#24037;&#36164;" TargetMode="External"/><Relationship Id="rId50" Type="http://schemas.openxmlformats.org/officeDocument/2006/relationships/hyperlink" Target="http://wiki.mbalib.com/wiki/&#38144;&#21806;&#25910;&#20837;" TargetMode="External"/><Relationship Id="rId51" Type="http://schemas.openxmlformats.org/officeDocument/2006/relationships/hyperlink" Target="http://wiki.mbalib.com/wiki/&#32929;&#20221;&#21046;&#20225;&#19994;" TargetMode="External"/><Relationship Id="rId52" Type="http://schemas.openxmlformats.org/officeDocument/2006/relationships/hyperlink" Target="http://wiki.mbalib.com/wiki/&#19978;&#24066;&#20844;&#21496;" TargetMode="External"/><Relationship Id="rId53" Type="http://schemas.openxmlformats.org/officeDocument/2006/relationships/hyperlink" Target="http://wiki.mbalib.com/wiki/&#29616;&#20195;&#20225;&#19994;&#21046;&#24230;" TargetMode="External"/><Relationship Id="rId54" Type="http://schemas.openxmlformats.org/officeDocument/2006/relationships/hyperlink" Target="http://wiki.mbalib.com/wiki/&#25253;&#37228;&#28608;&#21169;" TargetMode="External"/><Relationship Id="rId55" Type="http://schemas.openxmlformats.org/officeDocument/2006/relationships/hyperlink" Target="http://wiki.mbalib.com/wiki/&#26399;&#26435;" TargetMode="External"/><Relationship Id="rId56" Type="http://schemas.openxmlformats.org/officeDocument/2006/relationships/hyperlink" Target="http://wiki.mbalib.com/wiki/&#32844;&#24037;&#24179;&#22343;&#24037;&#36164;" TargetMode="External"/><Relationship Id="rId57" Type="http://schemas.openxmlformats.org/officeDocument/2006/relationships/hyperlink" Target="http://wiki.mbalib.com/wiki/&#32929;&#26435;&#28608;&#21169;" TargetMode="External"/><Relationship Id="rId58" Type="http://schemas.openxmlformats.org/officeDocument/2006/relationships/hyperlink" Target="http://wiki.mbalib.com/wiki/&#32929;&#26435;&#28608;&#21169;" TargetMode="External"/><Relationship Id="rId59" Type="http://schemas.openxmlformats.org/officeDocument/2006/relationships/hyperlink" Target="http://wiki.mbalib.com/wiki/&#32929;&#26435;&#28608;&#21169;" TargetMode="External"/><Relationship Id="rId60" Type="http://schemas.openxmlformats.org/officeDocument/2006/relationships/hyperlink" Target="http://wiki.mbalib.com/wiki/&#26426;&#20250;&#25104;&#26412;" TargetMode="External"/><Relationship Id="rId61" Type="http://schemas.openxmlformats.org/officeDocument/2006/relationships/hyperlink" Target="http://wiki.mbalib.com/wiki/&#21457;&#23637;&#25112;&#30053;" TargetMode="External"/><Relationship Id="rId62" Type="http://schemas.openxmlformats.org/officeDocument/2006/relationships/hyperlink" Target="http://wiki.mbalib.com/wiki/&#20844;&#21496;&#37325;&#32452;" TargetMode="External"/><Relationship Id="rId63" Type="http://schemas.openxmlformats.org/officeDocument/2006/relationships/hyperlink" Target="http://wiki.mbalib.com/wiki/&#38271;&#26399;&#25237;&#36164;" TargetMode="External"/><Relationship Id="rId64" Type="http://schemas.openxmlformats.org/officeDocument/2006/relationships/hyperlink" Target="http://wiki.mbalib.com/wiki/&#20010;&#20154;&#21033;&#30410;" TargetMode="External"/><Relationship Id="rId65" Type="http://schemas.openxmlformats.org/officeDocument/2006/relationships/hyperlink" Target="http://wiki.mbalib.com/wiki/&#23547;&#31199;" TargetMode="Externa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149</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2011-03-29T19:16:00Z</dcterms:created>
  <dc:creator>ZHCIQ</dc:creator>
  <dc:description/>
  <cp:keywords> </cp:keywords>
  <dc:language>en-US</dc:language>
  <cp:lastModifiedBy>www</cp:lastModifiedBy>
  <dcterms:modified xsi:type="dcterms:W3CDTF">2016-10-22T14:25:00Z</dcterms:modified>
  <cp:revision>4</cp:revision>
  <dc:subject/>
  <dc:title/>
</cp:coreProperties>
</file>