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0" w:right="0" w:firstLine="0"/>
        <w:jc w:val="center"/>
        <w:rPr>
          <w:rFonts w:ascii="PingFangSC" w:hAnsi="PingFangSC" w:eastAsia="PingFangSC" w:cs="PingFangSC"/>
          <w:i w:val="0"/>
          <w:caps w:val="0"/>
          <w:color w:val="222222"/>
          <w:spacing w:val="0"/>
          <w:sz w:val="44"/>
          <w:szCs w:val="44"/>
        </w:rPr>
      </w:pPr>
      <w:r>
        <w:rPr>
          <w:rFonts w:hint="default" w:ascii="SimHei" w:hAnsi="SimHei" w:eastAsia="黑体" w:cs="PingFangSC"/>
          <w:i w:val="0"/>
          <w:caps w:val="0"/>
          <w:color w:val="222222"/>
          <w:spacing w:val="0"/>
          <w:sz w:val="44"/>
          <w:szCs w:val="44"/>
          <w:shd w:val="clear" w:fill="FFFFFF"/>
        </w:rPr>
        <w:t>年薪制设计要点及细则参考</w:t>
      </w:r>
    </w:p>
    <w:p>
      <w:pPr>
        <w:rPr>
          <w:rFonts w:hint="eastAsia"/>
        </w:rPr>
      </w:pPr>
    </w:p>
    <w:p>
      <w:pPr>
        <w:rPr>
          <w:rFonts w:hint="eastAsia"/>
          <w:sz w:val="28"/>
          <w:szCs w:val="28"/>
        </w:rPr>
      </w:pPr>
      <w:r>
        <w:rPr>
          <w:rFonts w:hint="eastAsia" w:ascii="SimHei" w:hAnsi="SimHei" w:eastAsia="黑体"/>
          <w:sz w:val="28"/>
          <w:szCs w:val="28"/>
        </w:rPr>
        <w:t xml:space="preserve">年薪制设计要点 </w:t>
      </w:r>
    </w:p>
    <w:p>
      <w:pPr>
        <w:rPr>
          <w:rFonts w:hint="eastAsia"/>
          <w:sz w:val="28"/>
          <w:szCs w:val="28"/>
        </w:rPr>
      </w:pPr>
      <w:r>
        <w:rPr>
          <w:rFonts w:hint="eastAsia" w:ascii="SimHei" w:hAnsi="SimHei" w:eastAsia="黑体"/>
          <w:sz w:val="28"/>
          <w:szCs w:val="28"/>
        </w:rPr>
        <w:t>（与非年薪制考核设计的主要区别是绩效年薪的发放与公司的年度经营情况挂</w:t>
      </w:r>
      <w:bookmarkStart w:id="0" w:name="_GoBack"/>
      <w:bookmarkEnd w:id="0"/>
    </w:p>
    <w:p>
      <w:pPr>
        <w:rPr>
          <w:rFonts w:hint="eastAsia"/>
          <w:sz w:val="28"/>
          <w:szCs w:val="28"/>
        </w:rPr>
      </w:pPr>
      <w:r>
        <w:rPr>
          <w:rFonts w:hint="eastAsia" w:ascii="SimHei" w:hAnsi="SimHei" w:eastAsia="黑体"/>
          <w:sz w:val="28"/>
          <w:szCs w:val="28"/>
        </w:rPr>
        <w:t xml:space="preserve">钩，公司年度经营情况不好，甚至可以不发绩效年薪。） </w:t>
      </w:r>
    </w:p>
    <w:p>
      <w:pPr>
        <w:rPr>
          <w:rFonts w:hint="eastAsia"/>
          <w:sz w:val="28"/>
          <w:szCs w:val="28"/>
        </w:rPr>
      </w:pPr>
      <w:r>
        <w:rPr>
          <w:rFonts w:hint="eastAsia" w:ascii="SimHei" w:hAnsi="SimHei" w:eastAsia="黑体"/>
          <w:sz w:val="28"/>
          <w:szCs w:val="28"/>
        </w:rPr>
        <w:t xml:space="preserve">    一、标准年薪=固定年薪+绩效年薪 </w:t>
      </w:r>
    </w:p>
    <w:p>
      <w:pPr>
        <w:rPr>
          <w:rFonts w:hint="eastAsia"/>
          <w:sz w:val="28"/>
          <w:szCs w:val="28"/>
        </w:rPr>
      </w:pPr>
      <w:r>
        <w:rPr>
          <w:rFonts w:hint="eastAsia" w:ascii="SimHei" w:hAnsi="SimHei" w:eastAsia="黑体"/>
          <w:sz w:val="28"/>
          <w:szCs w:val="28"/>
        </w:rPr>
        <w:t xml:space="preserve">    二、不同职类、岗位层级，年薪的范围、构成</w:t>
      </w:r>
    </w:p>
    <w:p>
      <w:pPr>
        <w:rPr>
          <w:sz w:val="28"/>
          <w:szCs w:val="28"/>
        </w:rPr>
      </w:pPr>
      <w:r>
        <w:rPr>
          <w:rFonts w:ascii="SimHei" w:hAnsi="SimHei" w:eastAsia="黑体"/>
          <w:sz w:val="28"/>
          <w:szCs w:val="28"/>
        </w:rPr>
      </w:r>
    </w:p>
    <w:p>
      <w:pPr>
        <w:rPr>
          <w:rFonts w:hint="eastAsia"/>
          <w:sz w:val="28"/>
          <w:szCs w:val="28"/>
        </w:rPr>
      </w:pPr>
      <w:r>
        <w:rPr>
          <w:rFonts w:hint="eastAsia" w:ascii="SimHei" w:hAnsi="SimHei" w:eastAsia="黑体"/>
          <w:sz w:val="28"/>
          <w:szCs w:val="28"/>
        </w:rPr>
        <w:t xml:space="preserve">三、发放 </w:t>
      </w:r>
    </w:p>
    <w:p>
      <w:pPr>
        <w:rPr>
          <w:rFonts w:hint="eastAsia"/>
          <w:sz w:val="28"/>
          <w:szCs w:val="28"/>
        </w:rPr>
      </w:pPr>
      <w:r>
        <w:rPr>
          <w:rFonts w:hint="eastAsia" w:ascii="SimHei" w:hAnsi="SimHei" w:eastAsia="黑体"/>
          <w:sz w:val="28"/>
          <w:szCs w:val="28"/>
        </w:rPr>
        <w:t xml:space="preserve">    固定年薪（月）=标准年薪*固定年薪所占比例／12（含个人应缴纳各 项费用）； </w:t>
      </w:r>
    </w:p>
    <w:p>
      <w:pPr>
        <w:rPr>
          <w:rFonts w:hint="eastAsia"/>
          <w:sz w:val="28"/>
          <w:szCs w:val="28"/>
        </w:rPr>
      </w:pPr>
      <w:r>
        <w:rPr>
          <w:rFonts w:hint="eastAsia" w:ascii="SimHei" w:hAnsi="SimHei" w:eastAsia="黑体"/>
          <w:sz w:val="28"/>
          <w:szCs w:val="28"/>
        </w:rPr>
        <w:t xml:space="preserve">    绩效年薪（年）=标准年薪*绩效年薪所占比例*个人年度绩效考核指标达成率。 </w:t>
      </w:r>
    </w:p>
    <w:p>
      <w:pPr>
        <w:rPr>
          <w:rFonts w:hint="eastAsia"/>
          <w:sz w:val="28"/>
          <w:szCs w:val="28"/>
        </w:rPr>
      </w:pPr>
      <w:r>
        <w:rPr>
          <w:rFonts w:hint="eastAsia" w:ascii="SimHei" w:hAnsi="SimHei" w:eastAsia="黑体"/>
          <w:sz w:val="28"/>
          <w:szCs w:val="28"/>
        </w:rPr>
        <w:t xml:space="preserve">  四、年度绩效考核，每年出制定指标和标准，年末根据考核结果兑现绩效工</w:t>
      </w:r>
    </w:p>
    <w:p>
      <w:pPr>
        <w:rPr>
          <w:rFonts w:hint="eastAsia"/>
          <w:sz w:val="28"/>
          <w:szCs w:val="28"/>
        </w:rPr>
      </w:pPr>
      <w:r>
        <w:rPr>
          <w:rFonts w:hint="eastAsia" w:ascii="SimHei" w:hAnsi="SimHei" w:eastAsia="黑体"/>
          <w:sz w:val="28"/>
          <w:szCs w:val="28"/>
        </w:rPr>
        <w:t xml:space="preserve">资。 </w:t>
      </w:r>
    </w:p>
    <w:p>
      <w:pPr>
        <w:rPr>
          <w:rFonts w:hint="eastAsia"/>
          <w:sz w:val="28"/>
          <w:szCs w:val="28"/>
        </w:rPr>
      </w:pPr>
      <w:r>
        <w:rPr>
          <w:rFonts w:hint="eastAsia" w:ascii="SimHei" w:hAnsi="SimHei" w:eastAsia="黑体"/>
          <w:sz w:val="28"/>
          <w:szCs w:val="28"/>
        </w:rPr>
        <w:t xml:space="preserve">考核三方面： </w:t>
      </w:r>
    </w:p>
    <w:p>
      <w:pPr>
        <w:rPr>
          <w:rFonts w:hint="eastAsia"/>
          <w:sz w:val="28"/>
          <w:szCs w:val="28"/>
        </w:rPr>
      </w:pPr>
      <w:r>
        <w:rPr>
          <w:rFonts w:hint="eastAsia" w:ascii="SimHei" w:hAnsi="SimHei" w:eastAsia="黑体"/>
          <w:sz w:val="28"/>
          <w:szCs w:val="28"/>
        </w:rPr>
        <w:t>1、表现层：为企业规模和效益指标，可以占权重，也可以作为系数*考核总得分； 2、工作业绩：考核签约、收入、利润，以及重要业务项；</w:t>
      </w:r>
    </w:p>
    <w:p>
      <w:pPr>
        <w:rPr>
          <w:rFonts w:hint="eastAsia"/>
          <w:sz w:val="28"/>
          <w:szCs w:val="28"/>
        </w:rPr>
      </w:pPr>
      <w:r>
        <w:rPr>
          <w:rFonts w:hint="eastAsia" w:ascii="SimHei" w:hAnsi="SimHei" w:eastAsia="黑体"/>
          <w:sz w:val="28"/>
          <w:szCs w:val="28"/>
        </w:rPr>
        <w:t xml:space="preserve">3、管理能力：人力资源（保证人员的数量、效率等），或企业文化（保证价值观的传承统一）。 </w:t>
      </w:r>
    </w:p>
    <w:p>
      <w:pPr>
        <w:rPr>
          <w:rFonts w:hint="eastAsia"/>
          <w:sz w:val="28"/>
          <w:szCs w:val="28"/>
        </w:rPr>
      </w:pPr>
      <w:r>
        <w:rPr>
          <w:rFonts w:hint="eastAsia" w:ascii="SimHei" w:hAnsi="SimHei" w:eastAsia="黑体"/>
          <w:sz w:val="28"/>
          <w:szCs w:val="28"/>
        </w:rPr>
        <w:t>举例：公司总经理年度绩效考核指标设计</w:t>
      </w:r>
    </w:p>
    <w:p>
      <w:pPr>
        <w:rPr>
          <w:sz w:val="28"/>
          <w:szCs w:val="28"/>
        </w:rPr>
      </w:pPr>
      <w:r>
        <w:rPr>
          <w:rFonts w:ascii="SimHei" w:hAnsi="SimHei" w:eastAsia="黑体"/>
          <w:sz w:val="28"/>
          <w:szCs w:val="28"/>
        </w:rPr>
      </w:r>
    </w:p>
    <w:p>
      <w:pPr>
        <w:rPr>
          <w:rFonts w:hint="eastAsia"/>
          <w:sz w:val="28"/>
          <w:szCs w:val="28"/>
        </w:rPr>
      </w:pPr>
      <w:r>
        <w:rPr>
          <w:rFonts w:hint="eastAsia" w:ascii="SimHei" w:hAnsi="SimHei" w:eastAsia="黑体"/>
          <w:sz w:val="28"/>
          <w:szCs w:val="28"/>
        </w:rPr>
        <w:t xml:space="preserve">年薪制管理办法细则 </w:t>
      </w:r>
    </w:p>
    <w:p>
      <w:pPr>
        <w:rPr>
          <w:rFonts w:hint="eastAsia"/>
          <w:sz w:val="28"/>
          <w:szCs w:val="28"/>
        </w:rPr>
      </w:pPr>
      <w:r>
        <w:rPr>
          <w:rFonts w:hint="eastAsia" w:ascii="SimHei" w:hAnsi="SimHei" w:eastAsia="黑体"/>
          <w:sz w:val="28"/>
          <w:szCs w:val="28"/>
        </w:rPr>
        <w:t xml:space="preserve"> </w:t>
      </w:r>
    </w:p>
    <w:p>
      <w:pPr>
        <w:rPr>
          <w:rFonts w:hint="eastAsia"/>
          <w:sz w:val="28"/>
          <w:szCs w:val="28"/>
        </w:rPr>
      </w:pPr>
      <w:r>
        <w:rPr>
          <w:rFonts w:hint="eastAsia" w:ascii="SimHei" w:hAnsi="SimHei" w:eastAsia="黑体"/>
          <w:sz w:val="28"/>
          <w:szCs w:val="28"/>
        </w:rPr>
        <w:t xml:space="preserve">一、目的 </w:t>
      </w:r>
    </w:p>
    <w:p>
      <w:pPr>
        <w:rPr>
          <w:rFonts w:hint="eastAsia"/>
          <w:sz w:val="28"/>
          <w:szCs w:val="28"/>
        </w:rPr>
      </w:pPr>
      <w:r>
        <w:rPr>
          <w:rFonts w:hint="eastAsia" w:ascii="SimHei" w:hAnsi="SimHei" w:eastAsia="黑体"/>
          <w:sz w:val="28"/>
          <w:szCs w:val="28"/>
        </w:rPr>
        <w:t xml:space="preserve">    通过合理、有效激励，充分发挥和挖掘职业经理人及其他实行年薪制人员的潜能，为组织的发展和经营目标的实现提供制度保障。 二、原则 </w:t>
      </w:r>
    </w:p>
    <w:p>
      <w:pPr>
        <w:rPr>
          <w:rFonts w:hint="eastAsia"/>
          <w:sz w:val="28"/>
          <w:szCs w:val="28"/>
        </w:rPr>
      </w:pPr>
      <w:r>
        <w:rPr>
          <w:rFonts w:hint="eastAsia" w:ascii="SimHei" w:hAnsi="SimHei" w:eastAsia="黑体"/>
          <w:sz w:val="28"/>
          <w:szCs w:val="28"/>
        </w:rPr>
        <w:t xml:space="preserve">    激励与约束对称，责任、风险与利益分配对等的原则；     差距适度、兼顾公平，以经营业绩为考核依据的原则；     个人收入浮动与企业效益增减相一致。 三、试用范围 </w:t>
      </w:r>
    </w:p>
    <w:p>
      <w:pPr>
        <w:rPr>
          <w:rFonts w:hint="eastAsia"/>
          <w:sz w:val="28"/>
          <w:szCs w:val="28"/>
        </w:rPr>
      </w:pPr>
      <w:r>
        <w:rPr>
          <w:rFonts w:hint="eastAsia" w:ascii="SimHei" w:hAnsi="SimHei" w:eastAsia="黑体"/>
          <w:sz w:val="28"/>
          <w:szCs w:val="28"/>
        </w:rPr>
        <w:t xml:space="preserve">    适用于公司实行年薪制的职业经理人员以及有必要实行年薪制的人员（以下统称职业经理人） 四、定义说明 </w:t>
      </w:r>
    </w:p>
    <w:p>
      <w:pPr>
        <w:rPr>
          <w:rFonts w:hint="eastAsia"/>
          <w:sz w:val="28"/>
          <w:szCs w:val="28"/>
        </w:rPr>
      </w:pPr>
      <w:r>
        <w:rPr>
          <w:rFonts w:hint="eastAsia" w:ascii="SimHei" w:hAnsi="SimHei" w:eastAsia="黑体"/>
          <w:sz w:val="28"/>
          <w:szCs w:val="28"/>
        </w:rPr>
        <w:t xml:space="preserve">年薪制：是以年度为单位，依据公司的生产经营规模和经营业绩，确定并支付职业经理人员收入的一种分配方式。 </w:t>
      </w:r>
    </w:p>
    <w:p>
      <w:pPr>
        <w:rPr>
          <w:rFonts w:hint="eastAsia"/>
          <w:sz w:val="28"/>
          <w:szCs w:val="28"/>
        </w:rPr>
      </w:pPr>
      <w:r>
        <w:rPr>
          <w:rFonts w:hint="eastAsia" w:ascii="SimHei" w:hAnsi="SimHei" w:eastAsia="黑体"/>
          <w:sz w:val="28"/>
          <w:szCs w:val="28"/>
        </w:rPr>
        <w:t xml:space="preserve">年薪包=固定年薪+绩效年薪 </w:t>
      </w:r>
    </w:p>
    <w:p>
      <w:pPr>
        <w:rPr>
          <w:rFonts w:hint="eastAsia"/>
          <w:sz w:val="28"/>
          <w:szCs w:val="28"/>
        </w:rPr>
      </w:pPr>
      <w:r>
        <w:rPr>
          <w:rFonts w:hint="eastAsia" w:ascii="SimHei" w:hAnsi="SimHei" w:eastAsia="黑体"/>
          <w:sz w:val="28"/>
          <w:szCs w:val="28"/>
        </w:rPr>
        <w:t xml:space="preserve">    固定年薪：是为满足职业经理人员基本生活需要根据岗位职务而按月支付的月固定收入之和，它是职业经理人员年薪收入中相对固定的部分。 </w:t>
      </w:r>
    </w:p>
    <w:p>
      <w:pPr>
        <w:rPr>
          <w:rFonts w:hint="eastAsia"/>
          <w:sz w:val="28"/>
          <w:szCs w:val="28"/>
        </w:rPr>
      </w:pPr>
      <w:r>
        <w:rPr>
          <w:rFonts w:hint="eastAsia" w:ascii="SimHei" w:hAnsi="SimHei" w:eastAsia="黑体"/>
          <w:sz w:val="28"/>
          <w:szCs w:val="28"/>
        </w:rPr>
        <w:t xml:space="preserve">    绩效年薪：根据职业经理人员岗位在价值链中的作用，将组织经营状况、个人业绩状况与其年薪所得直接挂钩评估而确定的职业经理人员年薪收入，该部分按规定周期支付，属于年薪中非固定的部分。</w:t>
      </w:r>
    </w:p>
    <w:p>
      <w:pPr>
        <w:rPr>
          <w:rFonts w:hint="eastAsia"/>
          <w:sz w:val="28"/>
          <w:szCs w:val="28"/>
        </w:rPr>
      </w:pPr>
      <w:r>
        <w:rPr>
          <w:rFonts w:hint="eastAsia" w:ascii="SimHei" w:hAnsi="SimHei" w:eastAsia="黑体"/>
          <w:sz w:val="28"/>
          <w:szCs w:val="28"/>
        </w:rPr>
        <w:t xml:space="preserve">五、职责与权限 </w:t>
      </w:r>
    </w:p>
    <w:p>
      <w:pPr>
        <w:rPr>
          <w:rFonts w:hint="eastAsia"/>
          <w:sz w:val="28"/>
          <w:szCs w:val="28"/>
        </w:rPr>
      </w:pPr>
      <w:r>
        <w:rPr>
          <w:rFonts w:hint="eastAsia" w:ascii="SimHei" w:hAnsi="SimHei" w:eastAsia="黑体"/>
          <w:sz w:val="28"/>
          <w:szCs w:val="28"/>
        </w:rPr>
        <w:t xml:space="preserve">    经营管理委员会：负责《年薪制管理办法》、《年度经营管理目标考核方案》的审批以及标准年薪的确定和调整； </w:t>
      </w:r>
    </w:p>
    <w:p>
      <w:pPr>
        <w:rPr>
          <w:rFonts w:hint="eastAsia"/>
          <w:sz w:val="28"/>
          <w:szCs w:val="28"/>
        </w:rPr>
      </w:pPr>
      <w:r>
        <w:rPr>
          <w:rFonts w:hint="eastAsia" w:ascii="SimHei" w:hAnsi="SimHei" w:eastAsia="黑体"/>
          <w:sz w:val="28"/>
          <w:szCs w:val="28"/>
        </w:rPr>
        <w:t xml:space="preserve">    人力资源部：负责《年薪制管理办法》、《年度经营管理目标考核方案》的拟定和组织实施； </w:t>
      </w:r>
    </w:p>
    <w:p>
      <w:pPr>
        <w:rPr>
          <w:rFonts w:hint="eastAsia"/>
          <w:sz w:val="28"/>
          <w:szCs w:val="28"/>
        </w:rPr>
      </w:pPr>
      <w:r>
        <w:rPr>
          <w:rFonts w:hint="eastAsia" w:ascii="SimHei" w:hAnsi="SimHei" w:eastAsia="黑体"/>
          <w:sz w:val="28"/>
          <w:szCs w:val="28"/>
        </w:rPr>
        <w:t xml:space="preserve">    财务部及其他相关部门：参与《年度经营管理目标考核方案》的拟定与考核，对考核指标制定的合理性以及对本部门提供的考核数据的准确性负责。 六、年薪制构成 </w:t>
      </w:r>
    </w:p>
    <w:p>
      <w:pPr>
        <w:rPr>
          <w:rFonts w:hint="eastAsia"/>
          <w:sz w:val="28"/>
          <w:szCs w:val="28"/>
        </w:rPr>
      </w:pPr>
      <w:r>
        <w:rPr>
          <w:rFonts w:hint="eastAsia" w:ascii="SimHei" w:hAnsi="SimHei" w:eastAsia="黑体"/>
          <w:sz w:val="28"/>
          <w:szCs w:val="28"/>
        </w:rPr>
        <w:t xml:space="preserve">    1、不同职类、岗位层级，年薪的范围、构成及所占比例如下表：</w:t>
      </w:r>
    </w:p>
    <w:p>
      <w:pPr>
        <w:rPr>
          <w:sz w:val="28"/>
          <w:szCs w:val="28"/>
        </w:rPr>
      </w:pPr>
      <w:r>
        <w:rPr>
          <w:rFonts w:ascii="SimHei" w:hAnsi="SimHei" w:eastAsia="黑体"/>
          <w:sz w:val="28"/>
          <w:szCs w:val="28"/>
        </w:rPr>
      </w:r>
    </w:p>
    <w:p>
      <w:pPr>
        <w:rPr>
          <w:rFonts w:hint="eastAsia"/>
          <w:sz w:val="28"/>
          <w:szCs w:val="28"/>
        </w:rPr>
      </w:pPr>
      <w:r>
        <w:rPr>
          <w:rFonts w:hint="eastAsia" w:ascii="SimHei" w:hAnsi="SimHei" w:eastAsia="黑体"/>
          <w:sz w:val="28"/>
          <w:szCs w:val="28"/>
        </w:rPr>
        <w:t xml:space="preserve">说明：应缴个人所得税个人承担。 </w:t>
      </w:r>
    </w:p>
    <w:p>
      <w:pPr>
        <w:rPr>
          <w:rFonts w:hint="eastAsia"/>
          <w:sz w:val="28"/>
          <w:szCs w:val="28"/>
        </w:rPr>
      </w:pPr>
      <w:r>
        <w:rPr>
          <w:rFonts w:hint="eastAsia" w:ascii="SimHei" w:hAnsi="SimHei" w:eastAsia="黑体"/>
          <w:sz w:val="28"/>
          <w:szCs w:val="28"/>
        </w:rPr>
        <w:t xml:space="preserve">2、年薪的确定及计算 （1）标准年薪的确定与调整： </w:t>
      </w:r>
    </w:p>
    <w:p>
      <w:pPr>
        <w:rPr>
          <w:rFonts w:hint="eastAsia"/>
          <w:sz w:val="28"/>
          <w:szCs w:val="28"/>
        </w:rPr>
      </w:pPr>
      <w:r>
        <w:rPr>
          <w:rFonts w:hint="eastAsia" w:ascii="SimHei" w:hAnsi="SimHei" w:eastAsia="黑体"/>
          <w:sz w:val="28"/>
          <w:szCs w:val="28"/>
        </w:rPr>
        <w:t xml:space="preserve">    标准年薪由公司经营管理委员会会同人力资源部根据市场竞争环境、公司经营情况、战略定位每年随关键业绩指标、指标值、权重确定或调整一次，并在职业经理人员“年度经营管理目标考核方案”中载明。</w:t>
      </w:r>
    </w:p>
    <w:p>
      <w:pPr>
        <w:rPr>
          <w:rFonts w:hint="eastAsia"/>
          <w:sz w:val="28"/>
          <w:szCs w:val="28"/>
        </w:rPr>
      </w:pPr>
      <w:r>
        <w:rPr>
          <w:rFonts w:hint="eastAsia" w:ascii="SimHei" w:hAnsi="SimHei" w:eastAsia="黑体"/>
          <w:sz w:val="28"/>
          <w:szCs w:val="28"/>
        </w:rPr>
        <w:t xml:space="preserve">（2）年薪的计算 </w:t>
      </w:r>
    </w:p>
    <w:p>
      <w:pPr>
        <w:rPr>
          <w:rFonts w:hint="eastAsia"/>
          <w:sz w:val="28"/>
          <w:szCs w:val="28"/>
        </w:rPr>
      </w:pPr>
      <w:r>
        <w:rPr>
          <w:rFonts w:hint="eastAsia" w:ascii="SimHei" w:hAnsi="SimHei" w:eastAsia="黑体"/>
          <w:sz w:val="28"/>
          <w:szCs w:val="28"/>
        </w:rPr>
        <w:t xml:space="preserve">    固定年薪（月）=标准年薪*固定年薪所占比例／12（含个人应缴纳各 项费用）； </w:t>
      </w:r>
    </w:p>
    <w:p>
      <w:pPr>
        <w:rPr>
          <w:rFonts w:hint="eastAsia"/>
          <w:sz w:val="28"/>
          <w:szCs w:val="28"/>
        </w:rPr>
      </w:pPr>
      <w:r>
        <w:rPr>
          <w:rFonts w:hint="eastAsia" w:ascii="SimHei" w:hAnsi="SimHei" w:eastAsia="黑体"/>
          <w:sz w:val="28"/>
          <w:szCs w:val="28"/>
        </w:rPr>
        <w:t xml:space="preserve">  绩效年薪（年）=标准年薪*绩效年薪所占比例*个人绩效考核指标达成率。 3、绩效年薪的考核 </w:t>
      </w:r>
    </w:p>
    <w:p>
      <w:pPr>
        <w:rPr>
          <w:rFonts w:hint="eastAsia"/>
          <w:sz w:val="28"/>
          <w:szCs w:val="28"/>
        </w:rPr>
      </w:pPr>
      <w:r>
        <w:rPr>
          <w:rFonts w:hint="eastAsia" w:ascii="SimHei" w:hAnsi="SimHei" w:eastAsia="黑体"/>
          <w:sz w:val="28"/>
          <w:szCs w:val="28"/>
        </w:rPr>
        <w:t xml:space="preserve">     绩效年薪的考核根据个人《年度经营管理目标考核方案》考核确定个人绩效年薪实得绩效比例；在《年度经营管理目标考核方案》中，企业规模和效益指标所占比例不得低于30%。 4、年薪的发放 （1）基本年薪发放 </w:t>
      </w:r>
    </w:p>
    <w:p>
      <w:pPr>
        <w:rPr>
          <w:rFonts w:hint="eastAsia"/>
          <w:sz w:val="28"/>
          <w:szCs w:val="28"/>
        </w:rPr>
      </w:pPr>
      <w:r>
        <w:rPr>
          <w:rFonts w:hint="eastAsia" w:ascii="SimHei" w:hAnsi="SimHei" w:eastAsia="黑体"/>
          <w:sz w:val="28"/>
          <w:szCs w:val="28"/>
        </w:rPr>
        <w:t xml:space="preserve">    基本年薪按规定扣除相关应支付的费用，按月发放。 （2）绩效年薪发放 </w:t>
      </w:r>
    </w:p>
    <w:p>
      <w:pPr>
        <w:rPr>
          <w:rFonts w:hint="eastAsia"/>
          <w:sz w:val="28"/>
          <w:szCs w:val="28"/>
        </w:rPr>
      </w:pPr>
      <w:r>
        <w:rPr>
          <w:rFonts w:hint="eastAsia" w:ascii="SimHei" w:hAnsi="SimHei" w:eastAsia="黑体"/>
          <w:sz w:val="28"/>
          <w:szCs w:val="28"/>
        </w:rPr>
        <w:t xml:space="preserve">    绩效年薪核算：考核周期结束后由人力资源部组织完成考核评定，按考核周期绩效年薪的兑现比例进行核算，报经营管理委员会批准后核发； </w:t>
      </w:r>
    </w:p>
    <w:p>
      <w:pPr>
        <w:rPr>
          <w:rFonts w:hint="eastAsia"/>
          <w:sz w:val="28"/>
          <w:szCs w:val="28"/>
        </w:rPr>
      </w:pPr>
      <w:r>
        <w:rPr>
          <w:rFonts w:hint="eastAsia" w:ascii="SimHei" w:hAnsi="SimHei" w:eastAsia="黑体"/>
          <w:sz w:val="28"/>
          <w:szCs w:val="28"/>
        </w:rPr>
        <w:t xml:space="preserve">    绩效年薪发放规定：在年薪制人员服务满考核周期时按规定比例一次性发放；如果经双方协商一致，年薪制人员未服务满考核周期而离开公司，绩效年薪应兑现而尚未兑现部分可在考核周期结束后给予发放。   </w:t>
      </w:r>
    </w:p>
    <w:p>
      <w:pPr>
        <w:rPr>
          <w:rFonts w:hint="eastAsia"/>
          <w:sz w:val="28"/>
          <w:szCs w:val="28"/>
        </w:rPr>
      </w:pPr>
      <w:r>
        <w:rPr>
          <w:rFonts w:hint="eastAsia" w:ascii="SimHei" w:hAnsi="SimHei" w:eastAsia="黑体"/>
          <w:sz w:val="28"/>
          <w:szCs w:val="28"/>
        </w:rPr>
        <w:t xml:space="preserve">（3）年薪制人员实行年薪制后，不再享受适用于公司其他员工的工资性收入。年薪制人员的有关福利与个人应缴纳的各项社会保险费用包含在年薪中。 七、其他 </w:t>
      </w:r>
    </w:p>
    <w:p>
      <w:pPr>
        <w:rPr>
          <w:rFonts w:hint="eastAsia"/>
          <w:sz w:val="28"/>
          <w:szCs w:val="28"/>
        </w:rPr>
      </w:pPr>
      <w:r>
        <w:rPr>
          <w:rFonts w:hint="eastAsia" w:ascii="SimHei" w:hAnsi="SimHei" w:eastAsia="黑体"/>
          <w:sz w:val="28"/>
          <w:szCs w:val="28"/>
        </w:rPr>
        <w:t>1、本制度由行政人事部负责解释； 2、本制度自20</w:t>
      </w:r>
      <w:r>
        <w:rPr>
          <w:rFonts w:hint="eastAsia" w:ascii="SimHei" w:hAnsi="SimHei" w:eastAsia="黑体"/>
          <w:sz w:val="28"/>
          <w:szCs w:val="28"/>
          <w:lang w:val="en-US" w:eastAsia="zh-CN"/>
        </w:rPr>
        <w:t>XX</w:t>
      </w:r>
      <w:r>
        <w:rPr>
          <w:rFonts w:hint="eastAsia" w:ascii="SimHei" w:hAnsi="SimHei" w:eastAsia="黑体"/>
          <w:sz w:val="28"/>
          <w:szCs w:val="28"/>
        </w:rPr>
        <w:t>年**月**日起执行；</w:t>
      </w:r>
    </w:p>
    <w:p>
      <w:pPr>
        <w:rPr>
          <w:rFonts w:hint="eastAsia"/>
          <w:sz w:val="28"/>
          <w:szCs w:val="28"/>
        </w:rPr>
      </w:pPr>
      <w:r>
        <w:rPr>
          <w:rFonts w:hint="eastAsia" w:ascii="SimHei" w:hAnsi="SimHei" w:eastAsia="黑体"/>
          <w:sz w:val="28"/>
          <w:szCs w:val="28"/>
        </w:rPr>
        <w:t>3、《年度经营管理目标考核方案》是本制度的附件，在遵循本制度的前提下，每年度拟定一次。</w:t>
      </w:r>
    </w:p>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000000"/>
    <w:rsid w:val="053A2E7B"/>
    <w:rsid w:val="4303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1601</Words>
  <Characters>1610</Characters>
  <Lines>0</Lines>
  <Paragraphs>0</Paragraphs>
  <TotalTime>0</TotalTime>
  <ScaleCrop>false</ScaleCrop>
  <LinksUpToDate>false</LinksUpToDate>
  <CharactersWithSpaces>1749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王佩</cp:lastModifiedBy>
  <dcterms:modified xsi:type="dcterms:W3CDTF">2022-07-26T06:39:45Z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FBC7259BC7BD40438AC9E47BE78DD0A6</vt:lpwstr>
  </property>
</Properties>
</file>