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宋体" w:eastAsia="黑体"/>
          <w:b/>
          <w:bCs/>
          <w:sz w:val="28"/>
          <w:szCs w:val="28"/>
        </w:rPr>
      </w:pPr>
      <w:r>
        <w:rPr>
          <w:rFonts w:hint="eastAsia" w:ascii="SimHei" w:hAnsi="SimHei" w:eastAsia="黑体"/>
          <w:b/>
          <w:bCs/>
          <w:sz w:val="28"/>
          <w:szCs w:val="28"/>
        </w:rPr>
        <w:t>集团企业经营者</w:t>
      </w:r>
    </w:p>
    <w:p>
      <w:pPr>
        <w:spacing w:line="360" w:lineRule="auto"/>
        <w:jc w:val="center"/>
        <w:rPr>
          <w:rFonts w:hint="eastAsia" w:ascii="宋体" w:hAnsi="宋体"/>
          <w:b/>
          <w:bCs/>
          <w:sz w:val="32"/>
          <w:szCs w:val="32"/>
        </w:rPr>
      </w:pPr>
      <w:r>
        <w:rPr>
          <w:rFonts w:hint="eastAsia" w:ascii="SimHei" w:hAnsi="SimHei" w:eastAsia="黑体"/>
          <w:b/>
          <w:bCs/>
          <w:sz w:val="28"/>
          <w:szCs w:val="28"/>
        </w:rPr>
        <w:t>业绩考核与年薪制管理暂行办法</w:t>
      </w: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24"/>
          <w:szCs w:val="22"/>
        </w:rPr>
      </w:pPr>
      <w:r>
        <w:rPr>
          <w:rFonts w:hint="eastAsia" w:ascii="SimHei" w:hAnsi="SimHei" w:eastAsia="黑体"/>
          <w:b/>
          <w:bCs/>
          <w:sz w:val="24"/>
          <w:szCs w:val="22"/>
        </w:rPr>
        <w:t>第一章  总  则</w:t>
      </w:r>
    </w:p>
    <w:p>
      <w:pPr>
        <w:spacing w:line="620" w:lineRule="exact"/>
        <w:ind w:firstLine="617" w:firstLineChars="256"/>
        <w:rPr>
          <w:rFonts w:hint="eastAsia" w:ascii="仿宋_GB2312" w:eastAsia="仿宋_GB2312"/>
          <w:sz w:val="28"/>
          <w:szCs w:val="28"/>
        </w:rPr>
      </w:pPr>
      <w:r>
        <w:rPr>
          <w:rFonts w:hint="eastAsia" w:ascii="SimHei" w:hAnsi="SimHei" w:eastAsia="黑体"/>
          <w:b/>
          <w:bCs/>
          <w:sz w:val="24"/>
          <w:szCs w:val="22"/>
        </w:rPr>
        <w:t xml:space="preserve">第一条 </w:t>
      </w:r>
      <w:r>
        <w:rPr>
          <w:rFonts w:hint="eastAsia" w:ascii="SimHei" w:eastAsia="黑体" w:hAnsi="SimHei"/>
          <w:sz w:val="28"/>
          <w:szCs w:val="28"/>
        </w:rPr>
        <w:t>某集团所属企业业绩考核和经营者年薪管理工作，建立和完善对经营者的激励约束机制，调动经营者管理积极性，根据《企业国有资产监督管理暂行条例》，参照河南省人民政府国有资产监督管理委员会《关于印发〈河南省省属国有企业负责人经营业绩考核暂行办法〉的通知》（豫国资文〔2004〕2号）和《关于印发〈省属国有企业负责人薪酬管理办法（试行）〉的通知》（豫国资文〔2004〕182号）的有关规定，某集团管控体制的有关要求，制定本办法。</w:t>
      </w:r>
    </w:p>
    <w:p>
      <w:pPr>
        <w:spacing w:line="600" w:lineRule="exact"/>
        <w:ind w:firstLine="482" w:firstLineChars="200"/>
        <w:rPr>
          <w:rFonts w:hint="eastAsia" w:ascii="仿宋_GB2312" w:eastAsia="仿宋_GB2312"/>
          <w:sz w:val="28"/>
          <w:szCs w:val="28"/>
        </w:rPr>
      </w:pPr>
      <w:r>
        <w:rPr>
          <w:rFonts w:hint="eastAsia" w:ascii="SimHei" w:hAnsi="SimHei" w:eastAsia="黑体"/>
          <w:b/>
          <w:bCs/>
          <w:sz w:val="24"/>
          <w:szCs w:val="22"/>
        </w:rPr>
        <w:t xml:space="preserve">第二条 </w:t>
      </w:r>
      <w:r>
        <w:rPr>
          <w:rFonts w:hint="eastAsia" w:ascii="SimHei" w:eastAsia="黑体" w:hAnsi="SimHei"/>
          <w:sz w:val="28"/>
          <w:szCs w:val="28"/>
        </w:rPr>
        <w:t>某集团所属企业经营者年薪制是以会计年度为单位，某集团所属企业的经营业绩和经营者所承担的责任、风险等因素确定其薪酬标准的收入分配制度。</w:t>
      </w:r>
    </w:p>
    <w:p>
      <w:pPr>
        <w:spacing w:line="360" w:lineRule="auto"/>
        <w:ind w:firstLine="463" w:firstLineChars="192"/>
        <w:rPr>
          <w:rFonts w:hint="eastAsia" w:ascii="仿宋_GB2312" w:eastAsia="仿宋_GB2312"/>
          <w:sz w:val="28"/>
          <w:szCs w:val="28"/>
        </w:rPr>
      </w:pPr>
      <w:r>
        <w:rPr>
          <w:rFonts w:hint="eastAsia" w:ascii="SimHei" w:hAnsi="SimHei" w:eastAsia="黑体"/>
          <w:b/>
          <w:bCs/>
          <w:sz w:val="24"/>
          <w:szCs w:val="22"/>
        </w:rPr>
        <w:t xml:space="preserve">第三条 </w:t>
      </w:r>
      <w:r>
        <w:rPr>
          <w:rFonts w:hint="eastAsia" w:ascii="SimHei" w:eastAsia="黑体" w:hAnsi="SimHei"/>
          <w:sz w:val="28"/>
          <w:szCs w:val="28"/>
        </w:rPr>
        <w:t>某集团所属各业务板块（含专业化公司、事业部，下同）及其所属单位、某集团总部的现任正副处级领导班子成员。</w:t>
      </w:r>
    </w:p>
    <w:p>
      <w:pPr>
        <w:spacing w:line="360" w:lineRule="auto"/>
        <w:jc w:val="center"/>
        <w:rPr>
          <w:rFonts w:hint="eastAsia" w:ascii="仿宋_GB2312" w:eastAsia="仿宋_GB2312"/>
          <w:sz w:val="28"/>
          <w:szCs w:val="28"/>
        </w:rPr>
      </w:pPr>
      <w:r>
        <w:rPr>
          <w:rFonts w:hint="eastAsia" w:ascii="SimHei" w:hAnsi="SimHei" w:eastAsia="黑体"/>
          <w:b/>
          <w:bCs/>
          <w:sz w:val="24"/>
          <w:szCs w:val="22"/>
        </w:rPr>
        <w:t>第二章  经营者业绩考核原则</w:t>
      </w:r>
    </w:p>
    <w:p>
      <w:pPr>
        <w:spacing w:line="560" w:lineRule="exact"/>
        <w:ind w:firstLine="540" w:firstLineChars="192"/>
        <w:rPr>
          <w:rFonts w:hint="eastAsia" w:ascii="仿宋_GB2312" w:hAnsi="宋体" w:eastAsia="仿宋_GB2312"/>
          <w:b/>
          <w:bCs/>
          <w:sz w:val="24"/>
          <w:szCs w:val="22"/>
        </w:rPr>
      </w:pPr>
      <w:r>
        <w:rPr>
          <w:rFonts w:hint="eastAsia" w:ascii="SimHei" w:eastAsia="黑体" w:hAnsi="SimHei"/>
          <w:b/>
          <w:sz w:val="28"/>
          <w:szCs w:val="28"/>
        </w:rPr>
        <w:t xml:space="preserve">第四条 </w:t>
      </w:r>
      <w:r>
        <w:rPr>
          <w:rFonts w:hint="eastAsia" w:ascii="SimHei" w:eastAsia="黑体" w:hAnsi="SimHei"/>
          <w:sz w:val="28"/>
          <w:szCs w:val="28"/>
        </w:rPr>
        <w:t>考核下属企业经营者的经营业绩，实行阶段考核与年度考核相结合，企业绩效评价与经营者个人业绩考核相结合，考核结果与薪酬分配相结合的考核制度。</w:t>
      </w:r>
    </w:p>
    <w:p>
      <w:pPr>
        <w:pStyle w:val="7"/>
        <w:adjustRightInd w:val="0"/>
        <w:spacing w:before="0" w:beforeAutospacing="0" w:after="0" w:afterAutospacing="0" w:line="560" w:lineRule="exact"/>
        <w:ind w:firstLine="736" w:firstLineChars="262"/>
        <w:jc w:val="both"/>
        <w:rPr>
          <w:rFonts w:hint="eastAsia" w:ascii="仿宋_GB2312" w:hAnsi="Times New Roman" w:eastAsia="仿宋_GB2312"/>
          <w:kern w:val="2"/>
          <w:sz w:val="28"/>
          <w:szCs w:val="28"/>
        </w:rPr>
      </w:pPr>
      <w:r>
        <w:rPr>
          <w:rFonts w:hint="eastAsia" w:ascii="SimHei" w:hAnsi="SimHei" w:eastAsia="黑体"/>
          <w:b/>
          <w:kern w:val="2"/>
          <w:sz w:val="28"/>
          <w:szCs w:val="28"/>
        </w:rPr>
        <w:t>第五条</w:t>
      </w:r>
      <w:r>
        <w:rPr>
          <w:rFonts w:hint="eastAsia" w:ascii="SimHei" w:hAnsi="SimHei" w:eastAsia="黑体"/>
          <w:kern w:val="2"/>
          <w:sz w:val="28"/>
          <w:szCs w:val="28"/>
        </w:rPr>
        <w:t xml:space="preserve"> 实施经营者业绩考核工作遵循以下原则：</w:t>
      </w:r>
    </w:p>
    <w:p>
      <w:pPr>
        <w:pStyle w:val="7"/>
        <w:adjustRightInd w:val="0"/>
        <w:spacing w:before="0" w:beforeAutospacing="0" w:after="0" w:afterAutospacing="0" w:line="560" w:lineRule="exact"/>
        <w:ind w:firstLine="733" w:firstLineChars="262"/>
        <w:jc w:val="both"/>
        <w:rPr>
          <w:rFonts w:hint="eastAsia" w:ascii="仿宋_GB2312" w:hAnsi="Times New Roman" w:eastAsia="仿宋_GB2312"/>
          <w:kern w:val="2"/>
          <w:sz w:val="28"/>
          <w:szCs w:val="28"/>
        </w:rPr>
      </w:pPr>
      <w:r>
        <w:rPr>
          <w:rFonts w:hint="eastAsia" w:ascii="SimHei" w:hAnsi="SimHei" w:eastAsia="黑体"/>
          <w:kern w:val="2"/>
          <w:sz w:val="28"/>
          <w:szCs w:val="28"/>
        </w:rPr>
        <w:t>某集团资产保值增值、资本收益最大化和可持续发展的要求，依照《公司法》赋予的权利，对所属企业经营者的经营业绩进行考核。</w:t>
      </w:r>
    </w:p>
    <w:p>
      <w:pPr>
        <w:pStyle w:val="7"/>
        <w:adjustRightInd w:val="0"/>
        <w:spacing w:before="0" w:beforeAutospacing="0" w:after="0" w:afterAutospacing="0" w:line="560" w:lineRule="exact"/>
        <w:ind w:firstLine="733" w:firstLineChars="262"/>
        <w:jc w:val="both"/>
        <w:rPr>
          <w:rFonts w:hint="eastAsia" w:ascii="仿宋_GB2312" w:hAnsi="Times New Roman" w:eastAsia="仿宋_GB2312"/>
          <w:kern w:val="2"/>
          <w:sz w:val="28"/>
          <w:szCs w:val="28"/>
        </w:rPr>
      </w:pPr>
      <w:r>
        <w:rPr>
          <w:rFonts w:hint="eastAsia" w:ascii="SimHei" w:eastAsia="黑体" w:hAnsi="SimHei"/>
          <w:sz w:val="28"/>
          <w:szCs w:val="28"/>
        </w:rPr>
        <w:t>（</w:t>
      </w:r>
      <w:r>
        <w:rPr>
          <w:rFonts w:hint="eastAsia" w:ascii="SimHei" w:hAnsi="SimHei" w:eastAsia="黑体"/>
          <w:kern w:val="2"/>
          <w:sz w:val="28"/>
          <w:szCs w:val="28"/>
        </w:rPr>
        <w:t>二）按照“直接考核一级，监督检查两级”的原则，某集团对业务群、业务群对所属单位两级考核。集团直接考核各业务板块及直属单位的经营业绩；由业务板块负责对其下属单位进行考核，某集团审计审核后备案。</w:t>
      </w:r>
    </w:p>
    <w:p>
      <w:pPr>
        <w:pStyle w:val="7"/>
        <w:adjustRightInd w:val="0"/>
        <w:spacing w:before="0" w:beforeAutospacing="0" w:after="0" w:afterAutospacing="0" w:line="560" w:lineRule="exact"/>
        <w:ind w:firstLine="733" w:firstLineChars="262"/>
        <w:jc w:val="both"/>
        <w:rPr>
          <w:rFonts w:hint="eastAsia" w:ascii="仿宋_GB2312" w:eastAsia="仿宋_GB2312"/>
          <w:sz w:val="28"/>
          <w:szCs w:val="28"/>
        </w:rPr>
      </w:pPr>
      <w:r>
        <w:rPr>
          <w:rFonts w:hint="eastAsia" w:ascii="SimHei" w:hAnsi="SimHei" w:eastAsia="黑体"/>
          <w:kern w:val="2"/>
          <w:sz w:val="28"/>
          <w:szCs w:val="28"/>
        </w:rPr>
        <w:t>（三）</w:t>
      </w:r>
      <w:r>
        <w:rPr>
          <w:rFonts w:hint="eastAsia" w:ascii="SimHei" w:eastAsia="黑体" w:hAnsi="SimHei"/>
          <w:sz w:val="28"/>
          <w:szCs w:val="28"/>
        </w:rPr>
        <w:t>按照责权利相统一的要求，通过业绩考核，建立对企业经营者激励与约束机制，</w:t>
      </w:r>
      <w:r>
        <w:rPr>
          <w:rFonts w:ascii="SimHei" w:eastAsia="黑体" w:hAnsi="SimHei"/>
          <w:sz w:val="28"/>
          <w:szCs w:val="28"/>
        </w:rPr>
        <w:t>并作为</w:t>
      </w:r>
      <w:r>
        <w:rPr>
          <w:rFonts w:hint="eastAsia" w:ascii="SimHei" w:eastAsia="黑体" w:hAnsi="SimHei"/>
          <w:sz w:val="28"/>
          <w:szCs w:val="28"/>
        </w:rPr>
        <w:t>其</w:t>
      </w:r>
      <w:r>
        <w:rPr>
          <w:rFonts w:ascii="SimHei" w:eastAsia="黑体" w:hAnsi="SimHei"/>
          <w:sz w:val="28"/>
          <w:szCs w:val="28"/>
        </w:rPr>
        <w:t>职务任免的参考依据。</w:t>
      </w:r>
      <w:r>
        <w:rPr>
          <w:rFonts w:hint="eastAsia" w:ascii="SimHei" w:eastAsia="黑体" w:hAnsi="SimHei"/>
          <w:sz w:val="28"/>
          <w:szCs w:val="28"/>
        </w:rPr>
        <w:t>建立健全科学合理、可追溯的经营业绩目标责任制。</w:t>
      </w:r>
    </w:p>
    <w:p>
      <w:pPr>
        <w:spacing w:line="360" w:lineRule="auto"/>
        <w:jc w:val="center"/>
        <w:rPr>
          <w:rFonts w:hint="eastAsia" w:ascii="宋体" w:hAnsi="宋体"/>
          <w:b/>
          <w:bCs/>
          <w:sz w:val="24"/>
          <w:szCs w:val="22"/>
        </w:rPr>
      </w:pPr>
      <w:r>
        <w:rPr>
          <w:rFonts w:hint="eastAsia" w:ascii="SimHei" w:hAnsi="SimHei" w:eastAsia="黑体"/>
          <w:b/>
          <w:bCs/>
          <w:sz w:val="24"/>
          <w:szCs w:val="22"/>
        </w:rPr>
        <w:t>第三章  年度业绩考核</w:t>
      </w:r>
    </w:p>
    <w:p>
      <w:pPr>
        <w:pStyle w:val="7"/>
        <w:adjustRightInd w:val="0"/>
        <w:spacing w:before="0" w:beforeAutospacing="0" w:after="0" w:afterAutospacing="0" w:line="560" w:lineRule="exact"/>
        <w:ind w:firstLine="736" w:firstLineChars="262"/>
        <w:jc w:val="both"/>
        <w:rPr>
          <w:rFonts w:hint="eastAsia" w:ascii="仿宋_GB2312" w:eastAsia="仿宋_GB2312"/>
          <w:sz w:val="28"/>
          <w:szCs w:val="28"/>
        </w:rPr>
      </w:pPr>
      <w:r>
        <w:rPr>
          <w:rFonts w:hint="eastAsia" w:ascii="SimHei" w:hAnsi="SimHei" w:eastAsia="黑体"/>
          <w:b/>
          <w:kern w:val="2"/>
          <w:sz w:val="28"/>
          <w:szCs w:val="28"/>
        </w:rPr>
        <w:t xml:space="preserve">第六条 </w:t>
      </w:r>
      <w:r>
        <w:rPr>
          <w:rFonts w:hint="eastAsia" w:ascii="SimHei" w:hAnsi="SimHei" w:eastAsia="黑体"/>
          <w:kern w:val="2"/>
          <w:sz w:val="28"/>
          <w:szCs w:val="28"/>
        </w:rPr>
        <w:t>根据各业务板块及所属单位</w:t>
      </w:r>
      <w:r>
        <w:rPr>
          <w:rFonts w:hint="eastAsia" w:ascii="SimHei" w:eastAsia="黑体" w:hAnsi="SimHei"/>
          <w:sz w:val="28"/>
          <w:szCs w:val="28"/>
        </w:rPr>
        <w:t>的业务定位、经营范围和工作性质，</w:t>
      </w:r>
      <w:r>
        <w:rPr>
          <w:rFonts w:hint="eastAsia" w:ascii="SimHei" w:hAnsi="SimHei" w:eastAsia="黑体"/>
          <w:kern w:val="2"/>
          <w:sz w:val="28"/>
          <w:szCs w:val="28"/>
        </w:rPr>
        <w:t>集团统一</w:t>
      </w:r>
      <w:r>
        <w:rPr>
          <w:rFonts w:hint="eastAsia" w:ascii="SimHei" w:eastAsia="黑体" w:hAnsi="SimHei"/>
          <w:sz w:val="28"/>
          <w:szCs w:val="28"/>
        </w:rPr>
        <w:t>设置考核要素，分配考核权重，下达考核指标，建立统一的业绩考核体系，某集团对所属企业的考核导向。具体考核体系和考核计分办法每年初下达。</w:t>
      </w:r>
    </w:p>
    <w:p>
      <w:pPr>
        <w:pStyle w:val="7"/>
        <w:adjustRightInd w:val="0"/>
        <w:spacing w:before="0" w:beforeAutospacing="0" w:after="0" w:afterAutospacing="0" w:line="560" w:lineRule="exact"/>
        <w:ind w:firstLine="733" w:firstLineChars="262"/>
        <w:jc w:val="both"/>
        <w:rPr>
          <w:rFonts w:hint="eastAsia" w:ascii="仿宋_GB2312" w:eastAsia="仿宋_GB2312"/>
          <w:sz w:val="28"/>
          <w:szCs w:val="28"/>
        </w:rPr>
      </w:pPr>
      <w:r>
        <w:rPr>
          <w:rFonts w:hint="eastAsia" w:ascii="SimHei" w:eastAsia="黑体" w:hAnsi="SimHei"/>
          <w:sz w:val="28"/>
          <w:szCs w:val="28"/>
        </w:rPr>
        <w:t>某集团业绩考核体系要求，闭合分解考核指标，制定业绩考核细则，建立业务群对所属单位业绩考核体系，某集团主管部门备案。</w:t>
      </w:r>
    </w:p>
    <w:p>
      <w:pPr>
        <w:pStyle w:val="7"/>
        <w:adjustRightInd w:val="0"/>
        <w:spacing w:before="0" w:beforeAutospacing="0" w:after="0" w:afterAutospacing="0" w:line="560" w:lineRule="exact"/>
        <w:ind w:firstLine="736" w:firstLineChars="262"/>
        <w:jc w:val="both"/>
        <w:rPr>
          <w:rFonts w:hint="eastAsia" w:ascii="仿宋_GB2312" w:hAnsi="Times New Roman" w:eastAsia="仿宋_GB2312"/>
          <w:kern w:val="2"/>
          <w:sz w:val="28"/>
          <w:szCs w:val="28"/>
        </w:rPr>
      </w:pPr>
      <w:r>
        <w:rPr>
          <w:rFonts w:hint="eastAsia" w:ascii="SimHei" w:hAnsi="SimHei" w:eastAsia="黑体"/>
          <w:b/>
          <w:kern w:val="2"/>
          <w:sz w:val="28"/>
          <w:szCs w:val="28"/>
        </w:rPr>
        <w:t xml:space="preserve">第七条 </w:t>
      </w:r>
      <w:r>
        <w:rPr>
          <w:rFonts w:hint="eastAsia" w:ascii="SimHei" w:hAnsi="SimHei" w:eastAsia="黑体"/>
          <w:kern w:val="2"/>
          <w:sz w:val="28"/>
          <w:szCs w:val="28"/>
        </w:rPr>
        <w:t>年度经营业绩考核的内容和权责以签订经营业绩责任书的形式下达。</w:t>
      </w:r>
    </w:p>
    <w:p>
      <w:pPr>
        <w:pStyle w:val="7"/>
        <w:adjustRightInd w:val="0"/>
        <w:spacing w:before="0" w:beforeAutospacing="0" w:after="0" w:afterAutospacing="0" w:line="560" w:lineRule="exact"/>
        <w:ind w:firstLine="736" w:firstLineChars="262"/>
        <w:jc w:val="both"/>
        <w:rPr>
          <w:rFonts w:hint="eastAsia" w:ascii="仿宋_GB2312" w:hAnsi="Times New Roman" w:eastAsia="仿宋_GB2312"/>
          <w:kern w:val="2"/>
          <w:sz w:val="28"/>
          <w:szCs w:val="28"/>
        </w:rPr>
      </w:pPr>
      <w:r>
        <w:rPr>
          <w:rFonts w:hint="eastAsia" w:ascii="SimHei" w:hAnsi="SimHei" w:eastAsia="黑体"/>
          <w:b/>
          <w:kern w:val="2"/>
          <w:sz w:val="28"/>
          <w:szCs w:val="28"/>
        </w:rPr>
        <w:t xml:space="preserve">第八条 </w:t>
      </w:r>
      <w:r>
        <w:rPr>
          <w:rFonts w:hint="eastAsia" w:ascii="SimHei" w:hAnsi="SimHei" w:eastAsia="黑体"/>
          <w:kern w:val="2"/>
          <w:sz w:val="28"/>
          <w:szCs w:val="28"/>
        </w:rPr>
        <w:t>年度经营业绩责任书包括下列内容：</w:t>
      </w:r>
    </w:p>
    <w:p>
      <w:pPr>
        <w:pStyle w:val="7"/>
        <w:adjustRightInd w:val="0"/>
        <w:spacing w:before="0" w:beforeAutospacing="0" w:after="0" w:afterAutospacing="0" w:line="560" w:lineRule="exact"/>
        <w:ind w:firstLine="733" w:firstLineChars="262"/>
        <w:jc w:val="both"/>
        <w:rPr>
          <w:rFonts w:hint="eastAsia" w:ascii="仿宋_GB2312" w:hAnsi="Times New Roman" w:eastAsia="仿宋_GB2312"/>
          <w:kern w:val="2"/>
          <w:sz w:val="28"/>
          <w:szCs w:val="28"/>
        </w:rPr>
      </w:pPr>
      <w:r>
        <w:rPr>
          <w:rFonts w:hint="eastAsia" w:ascii="SimHei" w:hAnsi="SimHei" w:eastAsia="黑体"/>
          <w:kern w:val="2"/>
          <w:sz w:val="28"/>
          <w:szCs w:val="28"/>
        </w:rPr>
        <w:t>(一)双方的单位名称、职务和姓名；</w:t>
      </w:r>
    </w:p>
    <w:p>
      <w:pPr>
        <w:pStyle w:val="7"/>
        <w:adjustRightInd w:val="0"/>
        <w:spacing w:before="0" w:beforeAutospacing="0" w:after="0" w:afterAutospacing="0" w:line="560" w:lineRule="exact"/>
        <w:ind w:firstLine="733" w:firstLineChars="262"/>
        <w:jc w:val="both"/>
        <w:rPr>
          <w:rFonts w:hint="eastAsia" w:ascii="仿宋_GB2312" w:hAnsi="Times New Roman" w:eastAsia="仿宋_GB2312"/>
          <w:kern w:val="2"/>
          <w:sz w:val="28"/>
          <w:szCs w:val="28"/>
        </w:rPr>
      </w:pPr>
      <w:r>
        <w:rPr>
          <w:rFonts w:hint="eastAsia" w:ascii="SimHei" w:hAnsi="SimHei" w:eastAsia="黑体"/>
          <w:kern w:val="2"/>
          <w:sz w:val="28"/>
          <w:szCs w:val="28"/>
        </w:rPr>
        <w:t>(二)考核内容及指标；</w:t>
      </w:r>
    </w:p>
    <w:p>
      <w:pPr>
        <w:pStyle w:val="7"/>
        <w:adjustRightInd w:val="0"/>
        <w:spacing w:before="0" w:beforeAutospacing="0" w:after="0" w:afterAutospacing="0" w:line="560" w:lineRule="exact"/>
        <w:ind w:firstLine="733" w:firstLineChars="262"/>
        <w:jc w:val="both"/>
        <w:rPr>
          <w:rFonts w:hint="eastAsia" w:ascii="仿宋_GB2312" w:hAnsi="Times New Roman" w:eastAsia="仿宋_GB2312"/>
          <w:kern w:val="2"/>
          <w:sz w:val="28"/>
          <w:szCs w:val="28"/>
        </w:rPr>
      </w:pPr>
      <w:r>
        <w:rPr>
          <w:rFonts w:hint="eastAsia" w:ascii="SimHei" w:hAnsi="SimHei" w:eastAsia="黑体"/>
          <w:kern w:val="2"/>
          <w:sz w:val="28"/>
          <w:szCs w:val="28"/>
        </w:rPr>
        <w:t>(三)考核与奖惩；</w:t>
      </w:r>
    </w:p>
    <w:p>
      <w:pPr>
        <w:pStyle w:val="7"/>
        <w:adjustRightInd w:val="0"/>
        <w:spacing w:before="0" w:beforeAutospacing="0" w:after="0" w:afterAutospacing="0" w:line="560" w:lineRule="exact"/>
        <w:ind w:firstLine="733" w:firstLineChars="262"/>
        <w:jc w:val="both"/>
        <w:rPr>
          <w:rFonts w:hint="eastAsia" w:ascii="仿宋_GB2312" w:hAnsi="Times New Roman" w:eastAsia="仿宋_GB2312"/>
          <w:kern w:val="2"/>
          <w:sz w:val="28"/>
          <w:szCs w:val="28"/>
        </w:rPr>
      </w:pPr>
      <w:r>
        <w:rPr>
          <w:rFonts w:hint="eastAsia" w:ascii="SimHei" w:hAnsi="SimHei" w:eastAsia="黑体"/>
          <w:kern w:val="2"/>
          <w:sz w:val="28"/>
          <w:szCs w:val="28"/>
        </w:rPr>
        <w:t>(四)责任书的变更、解除和终止；</w:t>
      </w:r>
    </w:p>
    <w:p>
      <w:pPr>
        <w:pStyle w:val="7"/>
        <w:adjustRightInd w:val="0"/>
        <w:spacing w:before="0" w:beforeAutospacing="0" w:after="0" w:afterAutospacing="0" w:line="560" w:lineRule="exact"/>
        <w:ind w:firstLine="733" w:firstLineChars="262"/>
        <w:jc w:val="both"/>
        <w:rPr>
          <w:rFonts w:hint="eastAsia" w:ascii="仿宋_GB2312" w:hAnsi="Times New Roman" w:eastAsia="仿宋_GB2312"/>
          <w:kern w:val="2"/>
          <w:sz w:val="28"/>
          <w:szCs w:val="28"/>
        </w:rPr>
      </w:pPr>
      <w:r>
        <w:rPr>
          <w:rFonts w:hint="eastAsia" w:ascii="SimHei" w:hAnsi="SimHei" w:eastAsia="黑体"/>
          <w:kern w:val="2"/>
          <w:sz w:val="28"/>
          <w:szCs w:val="28"/>
        </w:rPr>
        <w:t>(五)其他需要规定的事项。</w:t>
      </w:r>
    </w:p>
    <w:p>
      <w:pPr>
        <w:pStyle w:val="7"/>
        <w:spacing w:before="0" w:beforeAutospacing="0" w:after="0" w:afterAutospacing="0" w:line="480" w:lineRule="auto"/>
        <w:ind w:firstLine="736" w:firstLineChars="262"/>
        <w:jc w:val="both"/>
        <w:rPr>
          <w:sz w:val="24"/>
          <w:szCs w:val="22"/>
        </w:rPr>
      </w:pPr>
      <w:r>
        <w:rPr>
          <w:rFonts w:hint="eastAsia" w:ascii="SimHei" w:hAnsi="SimHei" w:eastAsia="黑体"/>
          <w:b/>
          <w:kern w:val="2"/>
          <w:sz w:val="28"/>
          <w:szCs w:val="28"/>
        </w:rPr>
        <w:t xml:space="preserve">第九条 </w:t>
      </w:r>
      <w:r>
        <w:rPr>
          <w:rFonts w:hint="eastAsia" w:ascii="SimHei" w:eastAsia="黑体" w:hAnsi="SimHei"/>
          <w:sz w:val="28"/>
          <w:szCs w:val="28"/>
        </w:rPr>
        <w:t>年度经营业绩责任书一经签定，原则上不允许随意更改。如遇不可抗拒因素影响，确需调整经营指标时，由集团业务主管部门调研论证，某集团研究批准。</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建立重大安全生产事故、质量事故和重大经济损失等重要情况报告制度。发生上述情况时，某集团综合考核部门报告。</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建立企业经营业绩审计制度。由集团监察审计部牵头，经济运行部、财务资产部、规划发展部等部门参与，对所属企业业绩考核指标完成情况进行审计，依据审计结果，评价企业年度经营业绩。</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企业虚报、瞒报财务状况的，除由有关部门依照《中华人民共和国会计法》、《企业会计准则》等有关法律法规处理外，酌情扣发企业负责人及相关责任人的绩效年薪或经济责任保证金；情节严重的，给予纪律处分；触犯刑律的，依法移送司法机关追究刑事责任。</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某集团规章制度，导致重大决策失误、重大安全与质量责任事故、重大违纪事件，给企业造成重大不良影响或资产流失的，除由有关部门依法处理外，酌情扣发其绩效年薪或经济责任保证金；情节严重的，给予纪律处分。触犯刑律的，依法移送司法机关追究刑事责任。</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集团将所属企业年度经营业绩考核结果分为</w:t>
      </w:r>
      <w:r>
        <w:rPr>
          <w:rFonts w:ascii="SimHei" w:eastAsia="黑体" w:hAnsi="SimHei"/>
          <w:sz w:val="28"/>
          <w:szCs w:val="28"/>
        </w:rPr>
        <w:t>A、B、C、D、E五个</w:t>
      </w:r>
      <w:r>
        <w:rPr>
          <w:rFonts w:hint="eastAsia" w:ascii="SimHei" w:eastAsia="黑体" w:hAnsi="SimHei"/>
          <w:sz w:val="28"/>
          <w:szCs w:val="28"/>
        </w:rPr>
        <w:t>档次</w:t>
      </w:r>
      <w:r>
        <w:rPr>
          <w:rFonts w:ascii="SimHei" w:eastAsia="黑体" w:hAnsi="SimHei"/>
          <w:sz w:val="28"/>
          <w:szCs w:val="28"/>
        </w:rPr>
        <w:t>。</w:t>
      </w:r>
      <w:r>
        <w:rPr>
          <w:rFonts w:hint="eastAsia" w:ascii="SimHei" w:eastAsia="黑体" w:hAnsi="SimHei"/>
          <w:sz w:val="28"/>
          <w:szCs w:val="28"/>
        </w:rPr>
        <w:t>依据不同的业绩档次分别核定企业经营者薪酬。</w:t>
      </w:r>
    </w:p>
    <w:p>
      <w:pPr>
        <w:spacing w:line="560" w:lineRule="exact"/>
        <w:jc w:val="center"/>
        <w:rPr>
          <w:rFonts w:hint="eastAsia" w:ascii="仿宋_GB2312" w:hAnsi="宋体" w:eastAsia="仿宋_GB2312"/>
          <w:b/>
          <w:bCs/>
          <w:sz w:val="24"/>
          <w:szCs w:val="22"/>
        </w:rPr>
      </w:pPr>
      <w:r>
        <w:rPr>
          <w:rFonts w:hint="eastAsia" w:ascii="SimHei" w:hAnsi="SimHei" w:eastAsia="黑体"/>
          <w:b/>
          <w:bCs/>
          <w:sz w:val="24"/>
          <w:szCs w:val="22"/>
        </w:rPr>
        <w:t>第四章  经营者年薪管理原则</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集团对所属企业经营者年薪管理遵循下列原则：</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（一）坚持激励与约束相统一，报酬与风险、责任相一致，年薪收入与经营业绩挂钩；</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（二）坚持效率优先、兼顾公平，某集团各业务板块、煤矿单位与非煤单位、重危化工单位与一般生产经营单位经营者收入合理的比例关系。</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（三）坚持收入申报和监督检查相结合，依法规范下属企业经营者收入行为，某集团经营者年薪管理制度的严肃性。</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集团对所属企业经营者年薪实行集中统一管理。某集团根据业绩考核结果直接核定；专业化公司和事业部所属单位由业务板块进行业绩考核后集中上报考核结果，由集团统一确定其经营者薪酬。</w:t>
      </w:r>
    </w:p>
    <w:p>
      <w:pPr>
        <w:spacing w:line="560" w:lineRule="exact"/>
        <w:ind w:firstLine="716" w:firstLineChars="256"/>
        <w:rPr>
          <w:rFonts w:hint="eastAsia" w:ascii="仿宋_GB2312" w:hAnsi="宋体" w:eastAsia="仿宋_GB2312"/>
          <w:kern w:val="0"/>
          <w:sz w:val="28"/>
          <w:szCs w:val="28"/>
        </w:rPr>
      </w:pPr>
    </w:p>
    <w:p>
      <w:pPr>
        <w:spacing w:line="560" w:lineRule="exact"/>
        <w:jc w:val="center"/>
        <w:rPr>
          <w:rFonts w:hint="eastAsia" w:ascii="仿宋_GB2312" w:hAnsi="宋体" w:eastAsia="仿宋_GB2312"/>
          <w:kern w:val="0"/>
          <w:sz w:val="28"/>
          <w:szCs w:val="28"/>
        </w:rPr>
      </w:pPr>
      <w:r>
        <w:rPr>
          <w:rFonts w:hint="eastAsia" w:ascii="SimHei" w:hAnsi="SimHei" w:eastAsia="黑体"/>
          <w:b/>
          <w:bCs/>
          <w:sz w:val="24"/>
          <w:szCs w:val="22"/>
        </w:rPr>
        <w:t>第五章  经营者年薪构成及确定</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经营管理者年薪由基础年薪和绩效年薪两部分构成。</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基础年薪</w:t>
      </w:r>
    </w:p>
    <w:p>
      <w:pPr>
        <w:spacing w:line="20" w:lineRule="atLeast"/>
        <w:ind w:firstLine="719" w:firstLineChars="257"/>
        <w:rPr>
          <w:rFonts w:hint="eastAsia" w:ascii="仿宋_GB2312" w:hAnsi="宋体" w:eastAsia="仿宋_GB2312"/>
          <w:kern w:val="0"/>
          <w:sz w:val="28"/>
          <w:szCs w:val="28"/>
        </w:rPr>
      </w:pPr>
      <w:r>
        <w:rPr>
          <w:rFonts w:hint="eastAsia" w:ascii="SimHei" w:hAnsi="SimHei" w:eastAsia="黑体"/>
          <w:kern w:val="0"/>
          <w:sz w:val="28"/>
          <w:szCs w:val="28"/>
        </w:rPr>
        <w:t>基础年薪是企业经营者年度的基本收入。根据经营者承担的责任、企业经营规模、难度和职工工资水平等因素，采用分类评价的办法确定。</w:t>
      </w:r>
    </w:p>
    <w:p>
      <w:pPr>
        <w:spacing w:line="20" w:lineRule="atLeast"/>
        <w:ind w:firstLine="719" w:firstLineChars="257"/>
        <w:rPr>
          <w:rFonts w:hint="eastAsia" w:ascii="仿宋_GB2312" w:hAnsi="宋体" w:eastAsia="仿宋_GB2312"/>
          <w:kern w:val="0"/>
          <w:sz w:val="28"/>
          <w:szCs w:val="28"/>
        </w:rPr>
      </w:pPr>
      <w:r>
        <w:rPr>
          <w:rFonts w:hint="eastAsia" w:ascii="SimHei" w:hAnsi="SimHei" w:eastAsia="黑体"/>
          <w:kern w:val="0"/>
          <w:sz w:val="28"/>
          <w:szCs w:val="28"/>
        </w:rPr>
        <w:t>（一）各业务板块及所属生产经营单位、集团直属生产经营单位</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经营者基础年薪标准，以本企业年度在岗职工平均工资为基数，结合本企业资产经营规模、销售收入（产销量）规模和安全管理难度等因素综合确定。计算公式为：</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W=W0×G×R</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W—企业经营者正职基础年薪。</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W0—基础年薪系数。</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基础年薪系数＝资产规模系数+销售收入（产量）规模系数+安全难度系数。经营者基础年薪系数按照按下表每年度确定一次。</w:t>
      </w:r>
    </w:p>
    <w:tbl>
      <w:tblPr>
        <w:tblStyle w:val="8"/>
        <w:tblpPr w:leftFromText="180" w:rightFromText="180" w:vertAnchor="text" w:horzAnchor="margin" w:tblpXSpec="center" w:tblpY="1"/>
        <w:tblW w:w="90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0"/>
        <w:gridCol w:w="807"/>
        <w:gridCol w:w="1008"/>
        <w:gridCol w:w="1320"/>
        <w:gridCol w:w="900"/>
        <w:gridCol w:w="1080"/>
        <w:gridCol w:w="754"/>
        <w:gridCol w:w="100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trPr>
        <w:tc>
          <w:tcPr>
            <w:tcW w:w="3025" w:type="dxa"/>
            <w:gridSpan w:val="3"/>
            <w:noWrap w:val="0"/>
            <w:vAlign w:val="top"/>
          </w:tcPr>
          <w:p>
            <w:pPr>
              <w:spacing w:line="20" w:lineRule="atLeast"/>
              <w:jc w:val="center"/>
              <w:rPr>
                <w:rFonts w:hint="eastAsia" w:ascii="宋体" w:hAnsi="宋体"/>
                <w:sz w:val="16"/>
                <w:szCs w:val="18"/>
              </w:rPr>
            </w:pPr>
            <w:r>
              <w:rPr>
                <w:rFonts w:hint="eastAsia" w:ascii="SimHei" w:hAnsi="SimHei" w:eastAsia="黑体"/>
                <w:sz w:val="16"/>
                <w:szCs w:val="18"/>
              </w:rPr>
              <w:t>资产规模系数</w:t>
            </w:r>
          </w:p>
          <w:p>
            <w:pPr>
              <w:spacing w:line="20" w:lineRule="atLeast"/>
              <w:jc w:val="center"/>
              <w:rPr>
                <w:rFonts w:hint="eastAsia" w:ascii="宋体" w:hAnsi="宋体"/>
                <w:sz w:val="16"/>
                <w:szCs w:val="18"/>
              </w:rPr>
            </w:pPr>
            <w:r>
              <w:rPr>
                <w:rFonts w:hint="eastAsia" w:ascii="SimHei" w:hAnsi="SimHei" w:eastAsia="黑体"/>
                <w:sz w:val="16"/>
                <w:szCs w:val="18"/>
              </w:rPr>
              <w:t>（权重30%）</w:t>
            </w:r>
          </w:p>
        </w:tc>
        <w:tc>
          <w:tcPr>
            <w:tcW w:w="3300" w:type="dxa"/>
            <w:gridSpan w:val="3"/>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销售收入（产量）规模系数</w:t>
            </w:r>
          </w:p>
          <w:p>
            <w:pPr>
              <w:spacing w:line="20" w:lineRule="atLeast"/>
              <w:jc w:val="center"/>
              <w:rPr>
                <w:rFonts w:hint="eastAsia" w:ascii="宋体" w:hAnsi="宋体"/>
                <w:sz w:val="16"/>
                <w:szCs w:val="18"/>
              </w:rPr>
            </w:pPr>
            <w:r>
              <w:rPr>
                <w:rFonts w:hint="eastAsia" w:ascii="SimHei" w:hAnsi="SimHei" w:eastAsia="黑体"/>
                <w:sz w:val="16"/>
                <w:szCs w:val="18"/>
              </w:rPr>
              <w:t>（权重30%）</w:t>
            </w:r>
          </w:p>
        </w:tc>
        <w:tc>
          <w:tcPr>
            <w:tcW w:w="2772" w:type="dxa"/>
            <w:gridSpan w:val="3"/>
            <w:noWrap w:val="0"/>
            <w:vAlign w:val="top"/>
          </w:tcPr>
          <w:p>
            <w:pPr>
              <w:spacing w:line="20" w:lineRule="atLeast"/>
              <w:jc w:val="center"/>
              <w:rPr>
                <w:rFonts w:hint="eastAsia" w:ascii="宋体" w:hAnsi="宋体"/>
                <w:sz w:val="16"/>
                <w:szCs w:val="18"/>
              </w:rPr>
            </w:pPr>
            <w:r>
              <w:rPr>
                <w:rFonts w:hint="eastAsia" w:ascii="SimHei" w:hAnsi="SimHei" w:eastAsia="黑体"/>
                <w:sz w:val="16"/>
                <w:szCs w:val="18"/>
              </w:rPr>
              <w:t>安全难度系数</w:t>
            </w:r>
          </w:p>
          <w:p>
            <w:pPr>
              <w:spacing w:line="20" w:lineRule="atLeast"/>
              <w:jc w:val="center"/>
              <w:rPr>
                <w:rFonts w:hint="eastAsia" w:ascii="宋体" w:hAnsi="宋体"/>
                <w:sz w:val="16"/>
                <w:szCs w:val="18"/>
              </w:rPr>
            </w:pPr>
            <w:r>
              <w:rPr>
                <w:rFonts w:hint="eastAsia" w:ascii="SimHei" w:hAnsi="SimHei" w:eastAsia="黑体"/>
                <w:sz w:val="16"/>
                <w:szCs w:val="18"/>
              </w:rPr>
              <w:t>（权重40%）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trPr>
        <w:tc>
          <w:tcPr>
            <w:tcW w:w="121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资产规模</w:t>
            </w:r>
          </w:p>
        </w:tc>
        <w:tc>
          <w:tcPr>
            <w:tcW w:w="807"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设计系数</w:t>
            </w:r>
          </w:p>
        </w:tc>
        <w:tc>
          <w:tcPr>
            <w:tcW w:w="1008" w:type="dxa"/>
            <w:noWrap w:val="0"/>
            <w:vAlign w:val="center"/>
          </w:tcPr>
          <w:p>
            <w:pPr>
              <w:spacing w:line="20" w:lineRule="atLeast"/>
              <w:jc w:val="center"/>
              <w:rPr>
                <w:rFonts w:ascii="宋体" w:hAnsi="宋体"/>
                <w:sz w:val="16"/>
                <w:szCs w:val="18"/>
              </w:rPr>
            </w:pPr>
            <w:r>
              <w:rPr>
                <w:rFonts w:hint="eastAsia" w:ascii="SimHei" w:hAnsi="SimHei" w:eastAsia="黑体"/>
                <w:sz w:val="16"/>
                <w:szCs w:val="18"/>
              </w:rPr>
              <w:t>规模系数</w:t>
            </w:r>
          </w:p>
        </w:tc>
        <w:tc>
          <w:tcPr>
            <w:tcW w:w="1320" w:type="dxa"/>
            <w:noWrap w:val="0"/>
            <w:vAlign w:val="center"/>
          </w:tcPr>
          <w:p>
            <w:pPr>
              <w:spacing w:line="20" w:lineRule="atLeast"/>
              <w:jc w:val="center"/>
              <w:rPr>
                <w:rFonts w:ascii="宋体" w:hAnsi="宋体"/>
                <w:sz w:val="16"/>
                <w:szCs w:val="18"/>
              </w:rPr>
            </w:pPr>
            <w:r>
              <w:rPr>
                <w:rFonts w:hint="eastAsia" w:ascii="SimHei" w:hAnsi="SimHei" w:eastAsia="黑体"/>
                <w:sz w:val="16"/>
                <w:szCs w:val="18"/>
              </w:rPr>
              <w:t>销售规模</w:t>
            </w:r>
          </w:p>
        </w:tc>
        <w:tc>
          <w:tcPr>
            <w:tcW w:w="900" w:type="dxa"/>
            <w:noWrap w:val="0"/>
            <w:vAlign w:val="center"/>
          </w:tcPr>
          <w:p>
            <w:pPr>
              <w:spacing w:line="20" w:lineRule="atLeast"/>
              <w:jc w:val="center"/>
              <w:rPr>
                <w:rFonts w:ascii="宋体" w:hAnsi="宋体"/>
                <w:sz w:val="16"/>
                <w:szCs w:val="18"/>
              </w:rPr>
            </w:pPr>
            <w:r>
              <w:rPr>
                <w:rFonts w:hint="eastAsia" w:ascii="SimHei" w:hAnsi="SimHei" w:eastAsia="黑体"/>
                <w:sz w:val="16"/>
                <w:szCs w:val="18"/>
              </w:rPr>
              <w:t>设计系数</w:t>
            </w:r>
          </w:p>
        </w:tc>
        <w:tc>
          <w:tcPr>
            <w:tcW w:w="108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规模系数</w:t>
            </w:r>
          </w:p>
        </w:tc>
        <w:tc>
          <w:tcPr>
            <w:tcW w:w="754"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安全难度</w:t>
            </w:r>
          </w:p>
        </w:tc>
        <w:tc>
          <w:tcPr>
            <w:tcW w:w="1008" w:type="dxa"/>
            <w:noWrap/>
            <w:tcMar>
              <w:top w:w="15" w:type="dxa"/>
              <w:left w:w="15" w:type="dxa"/>
              <w:bottom w:w="0" w:type="dxa"/>
              <w:right w:w="15" w:type="dxa"/>
            </w:tcMar>
            <w:vAlign w:val="center"/>
          </w:tcPr>
          <w:p>
            <w:pPr>
              <w:spacing w:line="20" w:lineRule="atLeast"/>
              <w:jc w:val="center"/>
              <w:rPr>
                <w:rFonts w:ascii="宋体" w:hAnsi="宋体"/>
                <w:sz w:val="16"/>
                <w:szCs w:val="18"/>
              </w:rPr>
            </w:pPr>
            <w:r>
              <w:rPr>
                <w:rFonts w:hint="eastAsia" w:ascii="SimHei" w:hAnsi="SimHei" w:eastAsia="黑体"/>
                <w:sz w:val="16"/>
                <w:szCs w:val="18"/>
              </w:rPr>
              <w:t>设计系数</w:t>
            </w:r>
          </w:p>
        </w:tc>
        <w:tc>
          <w:tcPr>
            <w:tcW w:w="1010" w:type="dxa"/>
            <w:noWrap/>
            <w:tcMar>
              <w:top w:w="15" w:type="dxa"/>
              <w:left w:w="15" w:type="dxa"/>
              <w:bottom w:w="0" w:type="dxa"/>
              <w:right w:w="15" w:type="dxa"/>
            </w:tcMar>
            <w:vAlign w:val="center"/>
          </w:tcPr>
          <w:p>
            <w:pPr>
              <w:spacing w:line="20" w:lineRule="atLeast"/>
              <w:jc w:val="center"/>
              <w:rPr>
                <w:rFonts w:ascii="宋体" w:hAnsi="宋体"/>
                <w:sz w:val="16"/>
                <w:szCs w:val="18"/>
              </w:rPr>
            </w:pPr>
            <w:r>
              <w:rPr>
                <w:rFonts w:hint="eastAsia" w:ascii="SimHei" w:hAnsi="SimHei" w:eastAsia="黑体"/>
                <w:sz w:val="16"/>
                <w:szCs w:val="18"/>
              </w:rPr>
              <w:t>难度系数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trPr>
        <w:tc>
          <w:tcPr>
            <w:tcW w:w="121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30亿元以上</w:t>
            </w:r>
          </w:p>
        </w:tc>
        <w:tc>
          <w:tcPr>
            <w:tcW w:w="807"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1.9-2</w:t>
            </w:r>
          </w:p>
        </w:tc>
        <w:tc>
          <w:tcPr>
            <w:tcW w:w="1008"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0.57-0.6</w:t>
            </w:r>
          </w:p>
        </w:tc>
        <w:tc>
          <w:tcPr>
            <w:tcW w:w="132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70亿元以上</w:t>
            </w:r>
          </w:p>
          <w:p>
            <w:pPr>
              <w:spacing w:line="20" w:lineRule="atLeast"/>
              <w:jc w:val="center"/>
              <w:rPr>
                <w:rFonts w:hint="eastAsia" w:ascii="宋体" w:hAnsi="宋体"/>
                <w:sz w:val="16"/>
                <w:szCs w:val="18"/>
              </w:rPr>
            </w:pPr>
            <w:r>
              <w:rPr>
                <w:rFonts w:hint="eastAsia" w:ascii="SimHei" w:hAnsi="SimHei" w:eastAsia="黑体"/>
                <w:sz w:val="16"/>
                <w:szCs w:val="18"/>
              </w:rPr>
              <w:t>（300万吨以上）</w:t>
            </w:r>
          </w:p>
        </w:tc>
        <w:tc>
          <w:tcPr>
            <w:tcW w:w="90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1.9-2</w:t>
            </w:r>
          </w:p>
        </w:tc>
        <w:tc>
          <w:tcPr>
            <w:tcW w:w="108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0.57-0.6</w:t>
            </w:r>
          </w:p>
        </w:tc>
        <w:tc>
          <w:tcPr>
            <w:tcW w:w="754"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井下一类</w:t>
            </w:r>
          </w:p>
        </w:tc>
        <w:tc>
          <w:tcPr>
            <w:tcW w:w="1008"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1.8-2</w:t>
            </w:r>
          </w:p>
        </w:tc>
        <w:tc>
          <w:tcPr>
            <w:tcW w:w="1010"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0.72-0.8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trPr>
        <w:tc>
          <w:tcPr>
            <w:tcW w:w="121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20-30亿元</w:t>
            </w:r>
          </w:p>
        </w:tc>
        <w:tc>
          <w:tcPr>
            <w:tcW w:w="807"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1.7-1.8</w:t>
            </w:r>
          </w:p>
        </w:tc>
        <w:tc>
          <w:tcPr>
            <w:tcW w:w="1008"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0.51-0.54</w:t>
            </w:r>
          </w:p>
        </w:tc>
        <w:tc>
          <w:tcPr>
            <w:tcW w:w="132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30-70亿元</w:t>
            </w:r>
          </w:p>
          <w:p>
            <w:pPr>
              <w:spacing w:line="20" w:lineRule="atLeast"/>
              <w:rPr>
                <w:rFonts w:hint="eastAsia" w:ascii="宋体" w:hAnsi="宋体"/>
                <w:sz w:val="16"/>
                <w:szCs w:val="18"/>
              </w:rPr>
            </w:pPr>
            <w:r>
              <w:rPr>
                <w:rFonts w:hint="eastAsia" w:ascii="SimHei" w:hAnsi="SimHei" w:eastAsia="黑体"/>
                <w:sz w:val="16"/>
                <w:szCs w:val="18"/>
              </w:rPr>
              <w:t>（240-300万吨）</w:t>
            </w:r>
          </w:p>
        </w:tc>
        <w:tc>
          <w:tcPr>
            <w:tcW w:w="90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1.7-1.8</w:t>
            </w:r>
          </w:p>
        </w:tc>
        <w:tc>
          <w:tcPr>
            <w:tcW w:w="108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0.51-0.54</w:t>
            </w:r>
          </w:p>
        </w:tc>
        <w:tc>
          <w:tcPr>
            <w:tcW w:w="754"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井下二类</w:t>
            </w:r>
          </w:p>
        </w:tc>
        <w:tc>
          <w:tcPr>
            <w:tcW w:w="1008"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1.7-1.8</w:t>
            </w:r>
          </w:p>
        </w:tc>
        <w:tc>
          <w:tcPr>
            <w:tcW w:w="1010"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0.68-0.72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trPr>
        <w:tc>
          <w:tcPr>
            <w:tcW w:w="121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10-20亿元</w:t>
            </w:r>
          </w:p>
        </w:tc>
        <w:tc>
          <w:tcPr>
            <w:tcW w:w="807"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1.5-1.6</w:t>
            </w:r>
          </w:p>
        </w:tc>
        <w:tc>
          <w:tcPr>
            <w:tcW w:w="1008"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0.45-0.48</w:t>
            </w:r>
          </w:p>
        </w:tc>
        <w:tc>
          <w:tcPr>
            <w:tcW w:w="132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10-30亿元</w:t>
            </w:r>
          </w:p>
          <w:p>
            <w:pPr>
              <w:spacing w:line="20" w:lineRule="atLeast"/>
              <w:jc w:val="center"/>
              <w:rPr>
                <w:rFonts w:hint="eastAsia" w:ascii="宋体" w:hAnsi="宋体"/>
                <w:sz w:val="16"/>
                <w:szCs w:val="18"/>
              </w:rPr>
            </w:pPr>
            <w:r>
              <w:rPr>
                <w:rFonts w:hint="eastAsia" w:ascii="SimHei" w:hAnsi="SimHei" w:eastAsia="黑体"/>
                <w:sz w:val="16"/>
                <w:szCs w:val="18"/>
              </w:rPr>
              <w:t>（180-240万吨）</w:t>
            </w:r>
          </w:p>
        </w:tc>
        <w:tc>
          <w:tcPr>
            <w:tcW w:w="90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1.5-1.6</w:t>
            </w:r>
          </w:p>
        </w:tc>
        <w:tc>
          <w:tcPr>
            <w:tcW w:w="108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0.45-0.48</w:t>
            </w:r>
          </w:p>
        </w:tc>
        <w:tc>
          <w:tcPr>
            <w:tcW w:w="754"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井下三类</w:t>
            </w:r>
          </w:p>
        </w:tc>
        <w:tc>
          <w:tcPr>
            <w:tcW w:w="1008"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1.6-1.7</w:t>
            </w:r>
          </w:p>
        </w:tc>
        <w:tc>
          <w:tcPr>
            <w:tcW w:w="1010"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0.64-0.68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trPr>
        <w:tc>
          <w:tcPr>
            <w:tcW w:w="121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3-10亿元</w:t>
            </w:r>
          </w:p>
        </w:tc>
        <w:tc>
          <w:tcPr>
            <w:tcW w:w="807"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1.3-1.4</w:t>
            </w:r>
          </w:p>
        </w:tc>
        <w:tc>
          <w:tcPr>
            <w:tcW w:w="1008"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0.39-0.42</w:t>
            </w:r>
          </w:p>
        </w:tc>
        <w:tc>
          <w:tcPr>
            <w:tcW w:w="132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5-10亿元</w:t>
            </w:r>
          </w:p>
          <w:p>
            <w:pPr>
              <w:spacing w:line="20" w:lineRule="atLeast"/>
              <w:jc w:val="center"/>
              <w:rPr>
                <w:rFonts w:hint="eastAsia" w:ascii="宋体" w:hAnsi="宋体"/>
                <w:sz w:val="16"/>
                <w:szCs w:val="18"/>
              </w:rPr>
            </w:pPr>
            <w:r>
              <w:rPr>
                <w:rFonts w:hint="eastAsia" w:ascii="SimHei" w:hAnsi="SimHei" w:eastAsia="黑体"/>
                <w:sz w:val="16"/>
                <w:szCs w:val="18"/>
              </w:rPr>
              <w:t>（120-180万吨）</w:t>
            </w:r>
          </w:p>
        </w:tc>
        <w:tc>
          <w:tcPr>
            <w:tcW w:w="90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1.3-1.4</w:t>
            </w:r>
          </w:p>
        </w:tc>
        <w:tc>
          <w:tcPr>
            <w:tcW w:w="108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0.39-0.42</w:t>
            </w:r>
          </w:p>
        </w:tc>
        <w:tc>
          <w:tcPr>
            <w:tcW w:w="754"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地面一类</w:t>
            </w:r>
          </w:p>
        </w:tc>
        <w:tc>
          <w:tcPr>
            <w:tcW w:w="1008"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1.4-1.6</w:t>
            </w:r>
          </w:p>
        </w:tc>
        <w:tc>
          <w:tcPr>
            <w:tcW w:w="1010"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0.56-0.64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trPr>
        <w:tc>
          <w:tcPr>
            <w:tcW w:w="121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1-3亿元</w:t>
            </w:r>
          </w:p>
        </w:tc>
        <w:tc>
          <w:tcPr>
            <w:tcW w:w="807"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1.1-1.2</w:t>
            </w:r>
          </w:p>
        </w:tc>
        <w:tc>
          <w:tcPr>
            <w:tcW w:w="1008"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0.33-0.36</w:t>
            </w:r>
          </w:p>
        </w:tc>
        <w:tc>
          <w:tcPr>
            <w:tcW w:w="132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2-5亿元</w:t>
            </w:r>
          </w:p>
          <w:p>
            <w:pPr>
              <w:spacing w:line="20" w:lineRule="atLeast"/>
              <w:jc w:val="center"/>
              <w:rPr>
                <w:rFonts w:hint="eastAsia" w:ascii="宋体" w:hAnsi="宋体"/>
                <w:sz w:val="16"/>
                <w:szCs w:val="18"/>
              </w:rPr>
            </w:pPr>
            <w:r>
              <w:rPr>
                <w:rFonts w:hint="eastAsia" w:ascii="SimHei" w:hAnsi="SimHei" w:eastAsia="黑体"/>
                <w:sz w:val="16"/>
                <w:szCs w:val="18"/>
              </w:rPr>
              <w:t>（60-120万吨）</w:t>
            </w:r>
          </w:p>
        </w:tc>
        <w:tc>
          <w:tcPr>
            <w:tcW w:w="90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1.1-1.2</w:t>
            </w:r>
          </w:p>
        </w:tc>
        <w:tc>
          <w:tcPr>
            <w:tcW w:w="108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0.33-0.36</w:t>
            </w:r>
          </w:p>
        </w:tc>
        <w:tc>
          <w:tcPr>
            <w:tcW w:w="754"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地面二类</w:t>
            </w:r>
          </w:p>
        </w:tc>
        <w:tc>
          <w:tcPr>
            <w:tcW w:w="1008"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1.2-1.4</w:t>
            </w:r>
          </w:p>
        </w:tc>
        <w:tc>
          <w:tcPr>
            <w:tcW w:w="1010" w:type="dxa"/>
            <w:noWrap/>
            <w:tcMar>
              <w:top w:w="15" w:type="dxa"/>
              <w:left w:w="15" w:type="dxa"/>
              <w:bottom w:w="0" w:type="dxa"/>
              <w:right w:w="15" w:type="dxa"/>
            </w:tcMar>
            <w:vAlign w:val="center"/>
          </w:tcPr>
          <w:p>
            <w:pPr>
              <w:spacing w:line="20" w:lineRule="atLeast"/>
              <w:ind w:firstLine="80" w:firstLineChars="50"/>
              <w:rPr>
                <w:rFonts w:hint="eastAsia" w:ascii="宋体" w:hAnsi="宋体"/>
                <w:sz w:val="16"/>
                <w:szCs w:val="18"/>
              </w:rPr>
            </w:pPr>
            <w:r>
              <w:rPr>
                <w:rFonts w:hint="eastAsia" w:ascii="SimHei" w:hAnsi="SimHei" w:eastAsia="黑体"/>
                <w:sz w:val="16"/>
                <w:szCs w:val="18"/>
              </w:rPr>
              <w:t>0.48-0.56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trPr>
        <w:tc>
          <w:tcPr>
            <w:tcW w:w="121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1亿元以下</w:t>
            </w:r>
          </w:p>
        </w:tc>
        <w:tc>
          <w:tcPr>
            <w:tcW w:w="807"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1-1.1</w:t>
            </w:r>
          </w:p>
        </w:tc>
        <w:tc>
          <w:tcPr>
            <w:tcW w:w="1008"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0.3-0.33</w:t>
            </w:r>
          </w:p>
        </w:tc>
        <w:tc>
          <w:tcPr>
            <w:tcW w:w="132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2亿元以下</w:t>
            </w:r>
          </w:p>
          <w:p>
            <w:pPr>
              <w:spacing w:line="20" w:lineRule="atLeast"/>
              <w:jc w:val="center"/>
              <w:rPr>
                <w:rFonts w:hint="eastAsia" w:ascii="宋体" w:hAnsi="宋体"/>
                <w:sz w:val="16"/>
                <w:szCs w:val="18"/>
              </w:rPr>
            </w:pPr>
            <w:r>
              <w:rPr>
                <w:rFonts w:hint="eastAsia" w:ascii="SimHei" w:hAnsi="SimHei" w:eastAsia="黑体"/>
                <w:sz w:val="16"/>
                <w:szCs w:val="18"/>
              </w:rPr>
              <w:t>（60万吨以下）</w:t>
            </w:r>
          </w:p>
        </w:tc>
        <w:tc>
          <w:tcPr>
            <w:tcW w:w="90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1-1.1</w:t>
            </w:r>
          </w:p>
        </w:tc>
        <w:tc>
          <w:tcPr>
            <w:tcW w:w="1080" w:type="dxa"/>
            <w:noWrap w:val="0"/>
            <w:vAlign w:val="center"/>
          </w:tcPr>
          <w:p>
            <w:pPr>
              <w:spacing w:line="20" w:lineRule="atLeast"/>
              <w:jc w:val="center"/>
              <w:rPr>
                <w:rFonts w:hint="eastAsia" w:ascii="宋体" w:hAnsi="宋体"/>
                <w:sz w:val="16"/>
                <w:szCs w:val="18"/>
              </w:rPr>
            </w:pPr>
            <w:r>
              <w:rPr>
                <w:rFonts w:hint="eastAsia" w:ascii="SimHei" w:hAnsi="SimHei" w:eastAsia="黑体"/>
                <w:sz w:val="16"/>
                <w:szCs w:val="18"/>
              </w:rPr>
              <w:t>0.3-0.33</w:t>
            </w:r>
          </w:p>
        </w:tc>
        <w:tc>
          <w:tcPr>
            <w:tcW w:w="754"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地面三类</w:t>
            </w:r>
          </w:p>
        </w:tc>
        <w:tc>
          <w:tcPr>
            <w:tcW w:w="1008"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1-1.2</w:t>
            </w:r>
          </w:p>
        </w:tc>
        <w:tc>
          <w:tcPr>
            <w:tcW w:w="1010" w:type="dxa"/>
            <w:noWrap/>
            <w:tcMar>
              <w:top w:w="15" w:type="dxa"/>
              <w:left w:w="15" w:type="dxa"/>
              <w:bottom w:w="0" w:type="dxa"/>
              <w:right w:w="15" w:type="dxa"/>
            </w:tcMar>
            <w:vAlign w:val="center"/>
          </w:tcPr>
          <w:p>
            <w:pPr>
              <w:spacing w:line="20" w:lineRule="atLeast"/>
              <w:jc w:val="center"/>
              <w:rPr>
                <w:rFonts w:hint="eastAsia" w:ascii="宋体" w:hAnsi="宋体"/>
                <w:sz w:val="16"/>
                <w:szCs w:val="18"/>
              </w:rPr>
            </w:pPr>
            <w:r>
              <w:rPr>
                <w:rFonts w:hint="eastAsia" w:ascii="SimHei" w:hAnsi="SimHei" w:eastAsia="黑体"/>
                <w:sz w:val="16"/>
                <w:szCs w:val="18"/>
              </w:rPr>
              <w:t>0.4-0.48</w:t>
            </w:r>
          </w:p>
        </w:tc>
      </w:tr>
    </w:tbl>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G—企业在岗职工平均工资。某集团在岗职工平均工资的1.3倍时，某集团在岗职工平均工资的1.3倍执行（下同）。</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R—基础年薪调节系数。根据地质条件、煤炭质量、机械化程度、资产负债率、期末职工人数、退休人员占职工比例、在岗职工平均工资水平，结合宏观经济形势、集团整体效益以及其它不确定因素进行确定。基础年薪调节系数R取值范围1.0-1.3。</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（二）各业务板块及所属经费事业单位、集团直属经费事业单位</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经营者正职的基础年薪按本单位在岗职工人均工资水平的1.5倍执行。</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某集团总部机关</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某集团在岗职工平均工资的1.5倍执行。</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绩效年薪</w:t>
      </w:r>
    </w:p>
    <w:p>
      <w:pPr>
        <w:spacing w:line="360" w:lineRule="auto"/>
        <w:ind w:firstLine="719" w:firstLineChars="257"/>
        <w:rPr>
          <w:rFonts w:hint="eastAsia" w:ascii="仿宋_GB2312" w:hAnsi="宋体" w:eastAsia="仿宋_GB2312"/>
          <w:kern w:val="0"/>
          <w:sz w:val="28"/>
          <w:szCs w:val="28"/>
        </w:rPr>
      </w:pPr>
      <w:r>
        <w:rPr>
          <w:rFonts w:hint="eastAsia" w:ascii="SimHei" w:hAnsi="SimHei" w:eastAsia="黑体"/>
          <w:kern w:val="0"/>
          <w:sz w:val="28"/>
          <w:szCs w:val="28"/>
        </w:rPr>
        <w:t>绩效年薪是依据经营者年度经营业绩考核结果所确定的报酬。绩效年薪以基础年薪（在岗职工平均工资）为基数，根据年度业绩考核得分和档次，分类进行确定。</w:t>
      </w:r>
    </w:p>
    <w:p>
      <w:pPr>
        <w:spacing w:line="360" w:lineRule="auto"/>
        <w:ind w:firstLine="719" w:firstLineChars="257"/>
        <w:rPr>
          <w:rFonts w:hint="eastAsia" w:ascii="仿宋_GB2312" w:hAnsi="宋体" w:eastAsia="仿宋_GB2312"/>
          <w:kern w:val="0"/>
          <w:sz w:val="28"/>
          <w:szCs w:val="28"/>
        </w:rPr>
      </w:pPr>
      <w:r>
        <w:rPr>
          <w:rFonts w:hint="eastAsia" w:ascii="SimHei" w:hAnsi="SimHei" w:eastAsia="黑体"/>
          <w:kern w:val="0"/>
          <w:sz w:val="28"/>
          <w:szCs w:val="28"/>
        </w:rPr>
        <w:t>（一）各业务板块及所属生产经营单位、集团直属生产经营单位</w:t>
      </w:r>
    </w:p>
    <w:p>
      <w:pPr>
        <w:ind w:firstLine="786" w:firstLineChars="281"/>
        <w:rPr>
          <w:rFonts w:hint="eastAsia" w:ascii="仿宋_GB2312" w:hAnsi="宋体" w:eastAsia="仿宋_GB2312"/>
          <w:kern w:val="0"/>
          <w:sz w:val="28"/>
          <w:szCs w:val="28"/>
        </w:rPr>
      </w:pPr>
      <w:r>
        <w:rPr>
          <w:rFonts w:hint="eastAsia" w:ascii="SimHei" w:hAnsi="SimHei" w:eastAsia="黑体"/>
          <w:kern w:val="0"/>
          <w:sz w:val="28"/>
          <w:szCs w:val="28"/>
        </w:rPr>
        <w:t>当考核结果为E级时，绩效年薪为0；</w:t>
      </w:r>
    </w:p>
    <w:p>
      <w:pPr>
        <w:ind w:firstLine="786" w:firstLineChars="281"/>
        <w:rPr>
          <w:rFonts w:hint="eastAsia" w:ascii="仿宋_GB2312" w:hAnsi="宋体" w:eastAsia="仿宋_GB2312"/>
          <w:kern w:val="0"/>
          <w:sz w:val="28"/>
          <w:szCs w:val="28"/>
        </w:rPr>
      </w:pPr>
      <w:r>
        <w:rPr>
          <w:rFonts w:hint="eastAsia" w:ascii="SimHei" w:hAnsi="SimHei" w:eastAsia="黑体"/>
          <w:kern w:val="0"/>
          <w:sz w:val="28"/>
          <w:szCs w:val="28"/>
        </w:rPr>
        <w:t>当考核结果为D级时，绩效年薪=基薪×（考核分数-D级起点分数）/10，绩效年薪在0到1倍基薪之间；</w:t>
      </w:r>
    </w:p>
    <w:p>
      <w:pPr>
        <w:ind w:firstLine="786" w:firstLineChars="281"/>
        <w:rPr>
          <w:rFonts w:hint="eastAsia" w:ascii="仿宋_GB2312" w:hAnsi="宋体" w:eastAsia="仿宋_GB2312"/>
          <w:kern w:val="0"/>
          <w:sz w:val="28"/>
          <w:szCs w:val="28"/>
        </w:rPr>
      </w:pPr>
      <w:r>
        <w:rPr>
          <w:rFonts w:hint="eastAsia" w:ascii="SimHei" w:hAnsi="SimHei" w:eastAsia="黑体"/>
          <w:kern w:val="0"/>
          <w:sz w:val="28"/>
          <w:szCs w:val="28"/>
        </w:rPr>
        <w:t>当考核结果为C级时，绩效年薪=基薪×[1+0.5×（考核分数- C级起点分数）/10]，绩效年薪在1到1.5倍基薪之间；</w:t>
      </w:r>
    </w:p>
    <w:p>
      <w:pPr>
        <w:ind w:firstLine="786" w:firstLineChars="281"/>
        <w:rPr>
          <w:rFonts w:hint="eastAsia" w:ascii="仿宋_GB2312" w:hAnsi="宋体" w:eastAsia="仿宋_GB2312"/>
          <w:kern w:val="0"/>
          <w:sz w:val="28"/>
          <w:szCs w:val="28"/>
        </w:rPr>
      </w:pPr>
      <w:r>
        <w:rPr>
          <w:rFonts w:hint="eastAsia" w:ascii="SimHei" w:hAnsi="SimHei" w:eastAsia="黑体"/>
          <w:kern w:val="0"/>
          <w:sz w:val="28"/>
          <w:szCs w:val="28"/>
        </w:rPr>
        <w:t>当考核结果为B级时，绩效年薪=基薪×[1.5+0.5×（考核分数- B级起点分数）/10]，绩效年薪在1.5到2倍基薪之间；</w:t>
      </w:r>
    </w:p>
    <w:p>
      <w:pPr>
        <w:ind w:firstLine="786" w:firstLineChars="281"/>
        <w:rPr>
          <w:rFonts w:hint="eastAsia" w:ascii="仿宋_GB2312" w:hAnsi="宋体" w:eastAsia="仿宋_GB2312"/>
          <w:kern w:val="0"/>
          <w:sz w:val="28"/>
          <w:szCs w:val="28"/>
        </w:rPr>
      </w:pPr>
      <w:r>
        <w:rPr>
          <w:rFonts w:hint="eastAsia" w:ascii="SimHei" w:hAnsi="SimHei" w:eastAsia="黑体"/>
          <w:kern w:val="0"/>
          <w:sz w:val="28"/>
          <w:szCs w:val="28"/>
        </w:rPr>
        <w:t>当考核结果为A级时，绩效年薪=基础年薪×[2+（考核分数- A级起点分数）/10]，绩效年薪在2到3倍基薪之间。</w:t>
      </w:r>
    </w:p>
    <w:p>
      <w:pPr>
        <w:spacing w:line="360" w:lineRule="auto"/>
        <w:ind w:firstLine="719" w:firstLineChars="257"/>
        <w:rPr>
          <w:rFonts w:hint="eastAsia" w:ascii="仿宋_GB2312" w:hAnsi="宋体" w:eastAsia="仿宋_GB2312"/>
          <w:kern w:val="0"/>
          <w:sz w:val="28"/>
          <w:szCs w:val="28"/>
        </w:rPr>
      </w:pPr>
      <w:r>
        <w:rPr>
          <w:rFonts w:hint="eastAsia" w:ascii="SimHei" w:hAnsi="SimHei" w:eastAsia="黑体"/>
          <w:kern w:val="0"/>
          <w:sz w:val="28"/>
          <w:szCs w:val="28"/>
        </w:rPr>
        <w:t>（二）各业务板块及所属经费事业单位、集团直属经费事业单位</w:t>
      </w:r>
    </w:p>
    <w:p>
      <w:pPr>
        <w:spacing w:line="360" w:lineRule="auto"/>
        <w:ind w:firstLine="719" w:firstLineChars="257"/>
        <w:rPr>
          <w:rFonts w:hint="eastAsia" w:ascii="仿宋_GB2312" w:hAnsi="宋体" w:eastAsia="仿宋_GB2312"/>
          <w:kern w:val="0"/>
          <w:sz w:val="28"/>
          <w:szCs w:val="28"/>
        </w:rPr>
      </w:pPr>
      <w:r>
        <w:rPr>
          <w:rFonts w:hint="eastAsia" w:ascii="SimHei" w:hAnsi="SimHei" w:eastAsia="黑体"/>
          <w:kern w:val="0"/>
          <w:sz w:val="28"/>
          <w:szCs w:val="28"/>
        </w:rPr>
        <w:t>经营者正职核定</w:t>
      </w:r>
      <w:r>
        <w:rPr>
          <w:rFonts w:ascii="SimHei" w:hAnsi="SimHei" w:eastAsia="黑体"/>
          <w:kern w:val="0"/>
          <w:sz w:val="28"/>
          <w:szCs w:val="28"/>
        </w:rPr>
        <w:t>绩效年薪</w:t>
      </w:r>
      <w:r>
        <w:rPr>
          <w:rFonts w:hint="eastAsia" w:ascii="SimHei" w:hAnsi="SimHei" w:eastAsia="黑体"/>
          <w:kern w:val="0"/>
          <w:sz w:val="28"/>
          <w:szCs w:val="28"/>
        </w:rPr>
        <w:t>为本单位在岗职工人均工资水平的2倍。</w:t>
      </w:r>
    </w:p>
    <w:p>
      <w:pPr>
        <w:spacing w:line="560" w:lineRule="exact"/>
        <w:ind w:firstLine="786" w:firstLineChars="281"/>
        <w:rPr>
          <w:rFonts w:hint="eastAsia" w:ascii="仿宋_GB2312" w:hAnsi="宋体" w:eastAsia="仿宋_GB2312"/>
          <w:kern w:val="0"/>
          <w:sz w:val="28"/>
          <w:szCs w:val="28"/>
        </w:rPr>
      </w:pPr>
      <w:r>
        <w:rPr>
          <w:rFonts w:hint="eastAsia" w:ascii="SimHei" w:hAnsi="SimHei" w:eastAsia="黑体"/>
          <w:kern w:val="0"/>
          <w:sz w:val="28"/>
          <w:szCs w:val="28"/>
        </w:rPr>
        <w:t>年度实得绩效年薪=核定绩效年薪</w:t>
      </w:r>
      <w:r>
        <w:rPr>
          <w:rFonts w:ascii="SimHei" w:hAnsi="SimHei" w:eastAsia="黑体"/>
          <w:kern w:val="0"/>
          <w:sz w:val="28"/>
          <w:szCs w:val="28"/>
        </w:rPr>
        <w:t>×</w:t>
      </w:r>
      <w:r>
        <w:rPr>
          <w:rFonts w:hint="eastAsia" w:ascii="SimHei" w:hAnsi="SimHei" w:eastAsia="黑体"/>
          <w:kern w:val="0"/>
          <w:sz w:val="28"/>
          <w:szCs w:val="28"/>
        </w:rPr>
        <w:t>年度考核得分/100。</w:t>
      </w:r>
    </w:p>
    <w:p>
      <w:pPr>
        <w:spacing w:line="360" w:lineRule="auto"/>
        <w:ind w:firstLine="719" w:firstLineChars="257"/>
        <w:rPr>
          <w:rFonts w:hint="eastAsia" w:ascii="仿宋_GB2312" w:hAnsi="宋体" w:eastAsia="仿宋_GB2312"/>
          <w:kern w:val="0"/>
          <w:sz w:val="28"/>
          <w:szCs w:val="28"/>
        </w:rPr>
      </w:pPr>
      <w:r>
        <w:rPr>
          <w:rFonts w:hint="eastAsia" w:ascii="SimHei" w:hAnsi="SimHei" w:eastAsia="黑体"/>
          <w:kern w:val="0"/>
          <w:sz w:val="28"/>
          <w:szCs w:val="28"/>
        </w:rPr>
        <w:t>某集团总部机关</w:t>
      </w:r>
    </w:p>
    <w:p>
      <w:pPr>
        <w:spacing w:line="360" w:lineRule="auto"/>
        <w:ind w:firstLine="719" w:firstLineChars="257"/>
        <w:rPr>
          <w:rFonts w:hint="eastAsia" w:ascii="仿宋_GB2312" w:hAnsi="宋体" w:eastAsia="仿宋_GB2312"/>
          <w:kern w:val="0"/>
          <w:sz w:val="28"/>
          <w:szCs w:val="28"/>
        </w:rPr>
      </w:pPr>
      <w:r>
        <w:rPr>
          <w:rFonts w:hint="eastAsia" w:ascii="SimHei" w:hAnsi="SimHei" w:eastAsia="黑体"/>
          <w:kern w:val="0"/>
          <w:sz w:val="28"/>
          <w:szCs w:val="28"/>
        </w:rPr>
        <w:t>集团总部机关处级人员的绩效年薪按基础年薪的2倍执行。</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绩效年薪浮动</w:t>
      </w:r>
    </w:p>
    <w:p>
      <w:pPr>
        <w:spacing w:line="360" w:lineRule="auto"/>
        <w:ind w:firstLine="719" w:firstLineChars="257"/>
        <w:rPr>
          <w:rFonts w:hint="eastAsia" w:ascii="仿宋_GB2312" w:hAnsi="宋体" w:eastAsia="仿宋_GB2312"/>
          <w:kern w:val="0"/>
          <w:sz w:val="28"/>
          <w:szCs w:val="28"/>
        </w:rPr>
      </w:pPr>
      <w:r>
        <w:rPr>
          <w:rFonts w:hint="eastAsia" w:ascii="SimHei" w:hAnsi="SimHei" w:eastAsia="黑体"/>
          <w:kern w:val="0"/>
          <w:sz w:val="28"/>
          <w:szCs w:val="28"/>
        </w:rPr>
        <w:t>（一）“五好”党组织创建业绩浮动。某集团对各企业“五好”党组织创建考核结果和业绩档次，对经营者绩效年薪的30%进行浮动。</w:t>
      </w:r>
    </w:p>
    <w:p>
      <w:pPr>
        <w:pStyle w:val="2"/>
        <w:tabs>
          <w:tab w:val="left" w:pos="1440"/>
        </w:tabs>
        <w:spacing w:line="640" w:lineRule="exact"/>
        <w:ind w:firstLine="828" w:firstLineChars="296"/>
        <w:rPr>
          <w:rFonts w:hint="eastAsia" w:ascii="仿宋_GB2312" w:hAnsi="宋体" w:eastAsia="仿宋_GB2312"/>
          <w:kern w:val="0"/>
          <w:sz w:val="28"/>
          <w:szCs w:val="28"/>
        </w:rPr>
      </w:pPr>
      <w:r>
        <w:rPr>
          <w:rFonts w:hint="eastAsia" w:ascii="SimHei" w:hAnsi="SimHei" w:eastAsia="黑体"/>
          <w:kern w:val="0"/>
          <w:sz w:val="28"/>
          <w:szCs w:val="28"/>
        </w:rPr>
        <w:t>（二）安全业绩浮动。与集团签定年度《安全生产责任状》的单位,依照年度责任状履行情况的考核评价结果，对经营者绩效年薪给予浮动奖励或扣罚，奖励或扣罚的标准控制在绩效年薪的正负30%以内。年度内凡发生一次3人以上死亡或10人以上重伤安全责任事故或直接经济损失500万元以上的非伤亡事故（包括直接经济损失500万元以上的重大经济案件和其它重大责任事件），否决单位经营者绩效年薪。</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建立企业经营者特别奖励制度。根据年度经营业绩考核结果，对业绩排序同类前三名的企业经营者除年薪激励外，另给予特别奖励。年度经营业绩同类排名第一，给予企业经营者奖励5万元；排名第二，奖励4万元；排名第三，奖励3万元。</w:t>
      </w:r>
    </w:p>
    <w:p>
      <w:pPr>
        <w:pStyle w:val="7"/>
        <w:adjustRightInd w:val="0"/>
        <w:spacing w:before="0" w:beforeAutospacing="0" w:after="0" w:afterAutospacing="0" w:line="560" w:lineRule="exact"/>
        <w:jc w:val="both"/>
        <w:rPr>
          <w:rFonts w:hint="eastAsia" w:ascii="仿宋_GB2312" w:eastAsia="仿宋_GB2312"/>
          <w:sz w:val="28"/>
          <w:szCs w:val="28"/>
        </w:rPr>
      </w:pPr>
    </w:p>
    <w:p>
      <w:pPr>
        <w:tabs>
          <w:tab w:val="left" w:pos="1272"/>
        </w:tabs>
        <w:spacing w:line="360" w:lineRule="auto"/>
        <w:jc w:val="center"/>
        <w:rPr>
          <w:rFonts w:hint="eastAsia" w:ascii="宋体" w:hAnsi="宋体"/>
          <w:b/>
          <w:bCs/>
          <w:sz w:val="24"/>
          <w:szCs w:val="22"/>
        </w:rPr>
      </w:pPr>
      <w:r>
        <w:rPr>
          <w:rFonts w:hint="eastAsia" w:ascii="SimHei" w:hAnsi="SimHei" w:eastAsia="黑体"/>
          <w:b/>
          <w:bCs/>
          <w:sz w:val="24"/>
          <w:szCs w:val="22"/>
        </w:rPr>
        <w:t>第六章</w:t>
      </w:r>
      <w:r>
        <w:rPr>
          <w:rFonts w:hint="eastAsia" w:ascii="SimHei" w:hAnsi="SimHei" w:eastAsia="黑体"/>
          <w:b/>
          <w:sz w:val="24"/>
          <w:szCs w:val="28"/>
        </w:rPr>
        <w:t xml:space="preserve">  </w:t>
      </w:r>
      <w:r>
        <w:rPr>
          <w:rFonts w:hint="eastAsia" w:ascii="SimHei" w:hAnsi="SimHei" w:eastAsia="黑体"/>
          <w:b/>
          <w:bCs/>
          <w:sz w:val="24"/>
          <w:szCs w:val="22"/>
        </w:rPr>
        <w:t>经营者年薪兑付</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企业经营者基础年薪由本企业按月预付，某集团于每年初核定。</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企业经营者绩效年薪年度考核兑现。由集团根据各企业年度业绩考核结果，确定经营者年度总收入，并扣减经营者年度已领收入后兑付。</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hAnsi="SimHei" w:eastAsia="黑体"/>
          <w:sz w:val="22"/>
          <w:szCs w:val="22"/>
        </w:rPr>
        <w:t xml:space="preserve"> </w:t>
      </w:r>
      <w:r>
        <w:rPr>
          <w:rFonts w:hint="eastAsia" w:ascii="SimHei" w:eastAsia="黑体" w:hAnsi="SimHei"/>
          <w:sz w:val="28"/>
          <w:szCs w:val="28"/>
        </w:rPr>
        <w:t>建立经营者经济责任保证金制度。经济责任保证金按经营者本人年度总收入的10%缴纳。某集团设专账管理。经营者副职的经济责任保证金由本企业代扣代缴，企业自行建账管理。</w:t>
      </w:r>
    </w:p>
    <w:p>
      <w:pPr>
        <w:pStyle w:val="7"/>
        <w:adjustRightInd w:val="0"/>
        <w:spacing w:before="0" w:beforeAutospacing="0" w:after="0" w:afterAutospacing="0" w:line="560" w:lineRule="exact"/>
        <w:ind w:firstLine="786" w:firstLineChars="281"/>
        <w:jc w:val="both"/>
        <w:rPr>
          <w:rFonts w:hint="eastAsia" w:ascii="仿宋_GB2312" w:eastAsia="仿宋_GB2312"/>
          <w:sz w:val="28"/>
          <w:szCs w:val="22"/>
        </w:rPr>
      </w:pPr>
      <w:r>
        <w:rPr>
          <w:rFonts w:hint="eastAsia" w:ascii="SimHei" w:eastAsia="黑体" w:hAnsi="SimHei"/>
          <w:sz w:val="28"/>
          <w:szCs w:val="22"/>
        </w:rPr>
        <w:t>经济责任保证金返还与企业经营者正职离任审计结果挂钩，延期到本届班子任期结束后的下一年清结。经营者在任期内有严重违纪、违规的，某集团审计结果，扣罚经营者经济责任保证金。</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企业经营者的住房公积金和各项社会保险、统筹及企业年金等费用，应由个人承担的部分，由企业从其基础年薪中代扣代缴；应由企业承担的部分，由企业支付。</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企业经营者的年薪收入为税前收入，应依法交纳个人所得税。</w:t>
      </w:r>
    </w:p>
    <w:p>
      <w:pPr>
        <w:spacing w:line="20" w:lineRule="atLeast"/>
        <w:ind w:firstLine="616" w:firstLineChars="257"/>
        <w:rPr>
          <w:rFonts w:hint="eastAsia" w:ascii="仿宋_GB2312" w:hAnsi="宋体" w:eastAsia="仿宋_GB2312"/>
          <w:sz w:val="24"/>
          <w:szCs w:val="24"/>
        </w:rPr>
      </w:pPr>
    </w:p>
    <w:p>
      <w:pPr>
        <w:tabs>
          <w:tab w:val="left" w:pos="1272"/>
        </w:tabs>
        <w:spacing w:line="360" w:lineRule="auto"/>
        <w:jc w:val="center"/>
        <w:rPr>
          <w:rFonts w:hint="eastAsia" w:ascii="宋体" w:hAnsi="宋体"/>
          <w:b/>
          <w:bCs/>
          <w:sz w:val="24"/>
          <w:szCs w:val="22"/>
        </w:rPr>
      </w:pPr>
      <w:r>
        <w:rPr>
          <w:rFonts w:hint="eastAsia" w:ascii="SimHei" w:hAnsi="SimHei" w:eastAsia="黑体"/>
          <w:b/>
          <w:bCs/>
          <w:sz w:val="24"/>
          <w:szCs w:val="22"/>
        </w:rPr>
        <w:t>第七章  年薪管理与监督</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集团根据下属企业年度经营业绩确定其法定代表人（经营者正职）的年度总收入。各业务板块经营者副职（处级）按经营者正职年薪收入90%的标准执行，副处级按不超过处级80%的标准执行。其他企业的经营者副职由本企业根据每一位成员的任职岗位、责任、风险、业绩等因素研究决定，原则上不超过经营者正职的80%。</w:t>
      </w:r>
    </w:p>
    <w:p>
      <w:pPr>
        <w:pStyle w:val="7"/>
        <w:adjustRightInd w:val="0"/>
        <w:spacing w:before="0" w:beforeAutospacing="0" w:after="0" w:afterAutospacing="0" w:line="560" w:lineRule="exact"/>
        <w:ind w:firstLine="786" w:firstLineChars="281"/>
        <w:jc w:val="both"/>
        <w:rPr>
          <w:rFonts w:hint="eastAsia" w:ascii="仿宋_GB2312" w:eastAsia="仿宋_GB2312"/>
          <w:sz w:val="28"/>
          <w:szCs w:val="28"/>
        </w:rPr>
      </w:pPr>
      <w:r>
        <w:rPr>
          <w:rFonts w:hint="eastAsia" w:ascii="SimHei" w:eastAsia="黑体" w:hAnsi="SimHei"/>
          <w:sz w:val="28"/>
          <w:szCs w:val="28"/>
        </w:rPr>
        <w:t>某集团副总师年薪标准为基数，结合企业年度业绩考核结果浮动分配。其年薪收入=集团副总师年薪标准×企业年度业绩考核得分/100。</w:t>
      </w:r>
    </w:p>
    <w:p>
      <w:pPr>
        <w:pStyle w:val="7"/>
        <w:adjustRightInd w:val="0"/>
        <w:spacing w:before="0" w:beforeAutospacing="0" w:after="0" w:afterAutospacing="0" w:line="560" w:lineRule="exact"/>
        <w:ind w:firstLine="786" w:firstLineChars="281"/>
        <w:jc w:val="both"/>
        <w:rPr>
          <w:rFonts w:hint="eastAsia" w:ascii="仿宋_GB2312" w:eastAsia="仿宋_GB2312"/>
          <w:sz w:val="28"/>
          <w:szCs w:val="28"/>
        </w:rPr>
      </w:pPr>
      <w:r>
        <w:rPr>
          <w:rFonts w:hint="eastAsia" w:ascii="SimHei" w:eastAsia="黑体" w:hAnsi="SimHei"/>
          <w:sz w:val="28"/>
          <w:szCs w:val="28"/>
        </w:rPr>
        <w:t>集团总部机关副处级按处级80%的标准执行。</w:t>
      </w:r>
    </w:p>
    <w:p>
      <w:pPr>
        <w:pStyle w:val="7"/>
        <w:adjustRightInd w:val="0"/>
        <w:spacing w:before="0" w:beforeAutospacing="0" w:after="0" w:afterAutospacing="0" w:line="560" w:lineRule="exact"/>
        <w:ind w:firstLine="786" w:firstLineChars="281"/>
        <w:jc w:val="both"/>
        <w:rPr>
          <w:rFonts w:hint="eastAsia" w:ascii="仿宋_GB2312" w:eastAsia="仿宋_GB2312"/>
          <w:sz w:val="28"/>
          <w:szCs w:val="28"/>
        </w:rPr>
      </w:pPr>
      <w:r>
        <w:rPr>
          <w:rFonts w:hint="eastAsia" w:ascii="SimHei" w:eastAsia="黑体" w:hAnsi="SimHei"/>
          <w:sz w:val="28"/>
          <w:szCs w:val="28"/>
        </w:rPr>
        <w:t>某集团总部部门负责人标准执行。</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某集团兑现年薪。总会计师按委派单位同职级经营者副职标准执行，副总会计师按委派单位经营者副职的80%执行。</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副处级以上调研员给予每年一次的综合性奖励。奖励标准不超过同职级在岗人员的80%，由所在企业根据本人业绩考核结果决定。调研员工作任务应由所在企业给予安排，年终由本人提交个人业绩报告，企业主要负责人审定，报集团主管部门备案。不接受工作任务或无业绩考核报告的不予兑现奖励。</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某集团下属企业担任2个及以上职务的企业负责人，按其主要从事岗位，只能在一个企业领取薪酬，不得在兼职单位领取违反本规定以外的任何收入。</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企业经营者在一个会计年度内发生岗位变动的，按任职时段计算其当年薪酬，并从岗位变化次月执行相应薪酬标准。</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某集团所属企业经营者，某集团考核结果和有关规定领取薪酬。除集团考核兑现的安全风险抵押金、信访稳定抵押金、党风廉政建设抵押金、上级发放的科技成果奖、先进表彰奖和入井津贴外，企业经营者领取的其它收入一律视为经营者领取的预支年薪，某集团考核确定的总收入中扣除。</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建立企业经营者收入申报制度。集团所属企业必须建立健全经营者收入台账，如实登记经营者领取收入。某集团申报。</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由经济运行部牵头，监察审计部、人力资源部、财务资产部参与，某集团所属企业经营者薪酬政策执行情况进行监督检查。对存在下列情况者，视情节轻重予以处理。</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（一）对于擅自扩大年薪发放范围的，责令收回违规人员已发放年薪，并扣减企业年度经营业绩考核得分5分；</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（二）对于超考核标准发放年薪收入的，责令收回超标准发放部分，并扣减企业年度经营业绩考核得分5分；</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（三）对于经营者台账登记不实、弄虚作假的，责令补齐经营者收入台账，并扣减企业年度经营业绩考核得分4分。</w:t>
      </w:r>
    </w:p>
    <w:p>
      <w:pPr>
        <w:spacing w:line="560" w:lineRule="exact"/>
        <w:ind w:firstLine="716" w:firstLineChars="256"/>
        <w:rPr>
          <w:rFonts w:hint="eastAsia" w:ascii="仿宋_GB2312" w:hAnsi="宋体" w:eastAsia="仿宋_GB2312"/>
          <w:kern w:val="0"/>
          <w:sz w:val="28"/>
          <w:szCs w:val="28"/>
        </w:rPr>
      </w:pPr>
      <w:r>
        <w:rPr>
          <w:rFonts w:hint="eastAsia" w:ascii="SimHei" w:hAnsi="SimHei" w:eastAsia="黑体"/>
          <w:kern w:val="0"/>
          <w:sz w:val="28"/>
          <w:szCs w:val="28"/>
        </w:rPr>
        <w:t>（四）对于在规定范围之外违规发放奖金的，除将违规收入作为年度已领收入，在年度兑现时扣除外，另扣减企业年度经营业绩考核得分4分。</w:t>
      </w:r>
    </w:p>
    <w:p>
      <w:pPr>
        <w:spacing w:line="560" w:lineRule="exact"/>
        <w:ind w:firstLine="716" w:firstLineChars="256"/>
        <w:rPr>
          <w:rFonts w:hint="eastAsia" w:ascii="仿宋_GB2312" w:hAnsi="宋体" w:eastAsia="仿宋_GB2312"/>
          <w:kern w:val="0"/>
          <w:sz w:val="28"/>
          <w:szCs w:val="28"/>
        </w:rPr>
      </w:pPr>
    </w:p>
    <w:p>
      <w:pPr>
        <w:tabs>
          <w:tab w:val="left" w:pos="1272"/>
        </w:tabs>
        <w:spacing w:line="360" w:lineRule="auto"/>
        <w:jc w:val="center"/>
        <w:rPr>
          <w:rFonts w:hint="eastAsia" w:ascii="仿宋_GB2312" w:hAnsi="宋体" w:eastAsia="仿宋_GB2312"/>
          <w:kern w:val="0"/>
          <w:sz w:val="28"/>
          <w:szCs w:val="28"/>
        </w:rPr>
      </w:pPr>
      <w:r>
        <w:rPr>
          <w:rFonts w:hint="eastAsia" w:ascii="SimHei" w:hAnsi="SimHei" w:eastAsia="黑体"/>
          <w:kern w:val="0"/>
          <w:sz w:val="28"/>
          <w:szCs w:val="28"/>
        </w:rPr>
        <w:t>第八章  附  则</w:t>
      </w:r>
    </w:p>
    <w:p>
      <w:pPr>
        <w:pStyle w:val="7"/>
        <w:numPr>
          <w:ilvl w:val="0"/>
          <w:numId w:val="1"/>
        </w:numPr>
        <w:tabs>
          <w:tab w:val="left" w:pos="0"/>
          <w:tab w:val="clear" w:pos="3002"/>
        </w:tabs>
        <w:adjustRightInd w:val="0"/>
        <w:spacing w:before="0" w:beforeAutospacing="0" w:after="0" w:afterAutospacing="0" w:line="560" w:lineRule="exact"/>
        <w:ind w:left="0" w:firstLine="900"/>
        <w:jc w:val="both"/>
        <w:rPr>
          <w:rFonts w:hint="eastAsia" w:ascii="仿宋_GB2312" w:eastAsia="仿宋_GB2312"/>
          <w:sz w:val="28"/>
          <w:szCs w:val="28"/>
        </w:rPr>
      </w:pPr>
      <w:r>
        <w:rPr>
          <w:rFonts w:hint="eastAsia" w:ascii="SimHei" w:eastAsia="黑体" w:hAnsi="SimHei"/>
          <w:sz w:val="28"/>
          <w:szCs w:val="28"/>
        </w:rPr>
        <w:t xml:space="preserve"> 本办法自</w:t>
      </w:r>
      <w:r>
        <w:rPr>
          <w:rFonts w:hint="eastAsia" w:ascii="SimHei" w:eastAsia="黑体" w:hAnsi="SimHei"/>
          <w:sz w:val="28"/>
          <w:szCs w:val="28"/>
          <w:lang w:val="en-US" w:eastAsia="zh-CN"/>
        </w:rPr>
        <w:t xml:space="preserve">  </w:t>
      </w:r>
      <w:r>
        <w:rPr>
          <w:rFonts w:hint="eastAsia" w:ascii="SimHei" w:eastAsia="黑体" w:hAnsi="SimHei"/>
          <w:sz w:val="28"/>
          <w:szCs w:val="28"/>
        </w:rPr>
        <w:t>年1月1日起执行。某集团签定《</w:t>
      </w:r>
      <w:r>
        <w:rPr>
          <w:rFonts w:hint="eastAsia" w:ascii="SimHei" w:eastAsia="黑体" w:hAnsi="SimHei"/>
          <w:sz w:val="28"/>
          <w:szCs w:val="28"/>
          <w:lang w:val="en-US" w:eastAsia="zh-CN"/>
        </w:rPr>
        <w:t xml:space="preserve">  </w:t>
      </w:r>
      <w:bookmarkStart w:id="0" w:name="_GoBack"/>
      <w:bookmarkEnd w:id="0"/>
      <w:r>
        <w:rPr>
          <w:rFonts w:hint="eastAsia" w:ascii="SimHei" w:eastAsia="黑体" w:hAnsi="SimHei"/>
          <w:sz w:val="28"/>
          <w:szCs w:val="28"/>
        </w:rPr>
        <w:t>年经营业绩责任书》的企业，其经营者年薪仍按责任书规定的标准进行考核兑现。</w:t>
      </w:r>
    </w:p>
    <w:p>
      <w:pPr>
        <w:spacing w:line="560" w:lineRule="exact"/>
        <w:ind w:firstLine="716" w:firstLineChars="256"/>
        <w:rPr>
          <w:rFonts w:hint="eastAsia" w:ascii="仿宋_GB2312" w:hAnsi="宋体" w:eastAsia="仿宋_GB2312"/>
          <w:kern w:val="0"/>
          <w:sz w:val="28"/>
          <w:szCs w:val="28"/>
        </w:rPr>
      </w:pPr>
    </w:p>
    <w:p>
      <w:pPr>
        <w:rPr>
          <w:sz w:val="20"/>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345DD"/>
    <w:multiLevelType w:val="multilevel"/>
    <w:tmpl w:val="321345DD"/>
    <w:lvl w:ilvl="0" w:tentative="0">
      <w:start w:val="10"/>
      <w:numFmt w:val="japaneseCounting"/>
      <w:lvlText w:val="第%1条"/>
      <w:lvlJc w:val="left"/>
      <w:pPr>
        <w:tabs>
          <w:tab w:val="left" w:pos="3002"/>
        </w:tabs>
        <w:ind w:left="3002" w:hanging="2160"/>
      </w:pPr>
      <w:rPr>
        <w:rFonts w:hint="default" w:hAnsi="Times New Roman"/>
        <w:b/>
      </w:rPr>
    </w:lvl>
    <w:lvl w:ilvl="1" w:tentative="0">
      <w:start w:val="1"/>
      <w:numFmt w:val="lowerLetter"/>
      <w:lvlText w:val="%2)"/>
      <w:lvlJc w:val="left"/>
      <w:pPr>
        <w:tabs>
          <w:tab w:val="left" w:pos="1682"/>
        </w:tabs>
        <w:ind w:left="1682" w:hanging="420"/>
      </w:pPr>
    </w:lvl>
    <w:lvl w:ilvl="2" w:tentative="0">
      <w:start w:val="1"/>
      <w:numFmt w:val="lowerRoman"/>
      <w:lvlText w:val="%3."/>
      <w:lvlJc w:val="right"/>
      <w:pPr>
        <w:tabs>
          <w:tab w:val="left" w:pos="2102"/>
        </w:tabs>
        <w:ind w:left="2102" w:hanging="420"/>
      </w:pPr>
    </w:lvl>
    <w:lvl w:ilvl="3" w:tentative="0">
      <w:start w:val="1"/>
      <w:numFmt w:val="decimal"/>
      <w:lvlText w:val="%4."/>
      <w:lvlJc w:val="left"/>
      <w:pPr>
        <w:tabs>
          <w:tab w:val="left" w:pos="2522"/>
        </w:tabs>
        <w:ind w:left="2522" w:hanging="420"/>
      </w:pPr>
    </w:lvl>
    <w:lvl w:ilvl="4" w:tentative="0">
      <w:start w:val="1"/>
      <w:numFmt w:val="lowerLetter"/>
      <w:lvlText w:val="%5)"/>
      <w:lvlJc w:val="left"/>
      <w:pPr>
        <w:tabs>
          <w:tab w:val="left" w:pos="2942"/>
        </w:tabs>
        <w:ind w:left="2942" w:hanging="420"/>
      </w:pPr>
    </w:lvl>
    <w:lvl w:ilvl="5" w:tentative="0">
      <w:start w:val="1"/>
      <w:numFmt w:val="lowerRoman"/>
      <w:lvlText w:val="%6."/>
      <w:lvlJc w:val="right"/>
      <w:pPr>
        <w:tabs>
          <w:tab w:val="left" w:pos="3362"/>
        </w:tabs>
        <w:ind w:left="3362" w:hanging="420"/>
      </w:pPr>
    </w:lvl>
    <w:lvl w:ilvl="6" w:tentative="0">
      <w:start w:val="1"/>
      <w:numFmt w:val="decimal"/>
      <w:lvlText w:val="%7."/>
      <w:lvlJc w:val="left"/>
      <w:pPr>
        <w:tabs>
          <w:tab w:val="left" w:pos="3782"/>
        </w:tabs>
        <w:ind w:left="3782" w:hanging="420"/>
      </w:pPr>
    </w:lvl>
    <w:lvl w:ilvl="7" w:tentative="0">
      <w:start w:val="1"/>
      <w:numFmt w:val="lowerLetter"/>
      <w:lvlText w:val="%8)"/>
      <w:lvlJc w:val="left"/>
      <w:pPr>
        <w:tabs>
          <w:tab w:val="left" w:pos="4202"/>
        </w:tabs>
        <w:ind w:left="4202" w:hanging="420"/>
      </w:pPr>
    </w:lvl>
    <w:lvl w:ilvl="8" w:tentative="0">
      <w:start w:val="1"/>
      <w:numFmt w:val="lowerRoman"/>
      <w:lvlText w:val="%9."/>
      <w:lvlJc w:val="right"/>
      <w:pPr>
        <w:tabs>
          <w:tab w:val="left" w:pos="4622"/>
        </w:tabs>
        <w:ind w:left="46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YWJkZDE5ODY5MTMyOTgzOWI4Zjc2ZTUxNzVhZjIifQ=="/>
  </w:docVars>
  <w:rsids>
    <w:rsidRoot w:val="00C04F09"/>
    <w:rsid w:val="000042BB"/>
    <w:rsid w:val="00014C27"/>
    <w:rsid w:val="00016602"/>
    <w:rsid w:val="00024D2E"/>
    <w:rsid w:val="00045DA2"/>
    <w:rsid w:val="00066684"/>
    <w:rsid w:val="00071363"/>
    <w:rsid w:val="00086B60"/>
    <w:rsid w:val="00096FEE"/>
    <w:rsid w:val="000A04C9"/>
    <w:rsid w:val="000A1BA5"/>
    <w:rsid w:val="000C6A9F"/>
    <w:rsid w:val="000C6DCC"/>
    <w:rsid w:val="000D1CF0"/>
    <w:rsid w:val="000E1879"/>
    <w:rsid w:val="000E3567"/>
    <w:rsid w:val="000F18C9"/>
    <w:rsid w:val="00103131"/>
    <w:rsid w:val="00116428"/>
    <w:rsid w:val="001229B4"/>
    <w:rsid w:val="00131ABD"/>
    <w:rsid w:val="001401A5"/>
    <w:rsid w:val="00141387"/>
    <w:rsid w:val="00143023"/>
    <w:rsid w:val="00152C74"/>
    <w:rsid w:val="00155E18"/>
    <w:rsid w:val="00173F06"/>
    <w:rsid w:val="00177FDB"/>
    <w:rsid w:val="00193FC8"/>
    <w:rsid w:val="001B681F"/>
    <w:rsid w:val="001E43D9"/>
    <w:rsid w:val="00225925"/>
    <w:rsid w:val="00232BEB"/>
    <w:rsid w:val="00280429"/>
    <w:rsid w:val="00280785"/>
    <w:rsid w:val="00282CE0"/>
    <w:rsid w:val="002B6C63"/>
    <w:rsid w:val="002B7619"/>
    <w:rsid w:val="002C6655"/>
    <w:rsid w:val="002D4BC3"/>
    <w:rsid w:val="002F046C"/>
    <w:rsid w:val="002F44B4"/>
    <w:rsid w:val="0032463A"/>
    <w:rsid w:val="00327E54"/>
    <w:rsid w:val="003348E9"/>
    <w:rsid w:val="003447CC"/>
    <w:rsid w:val="00371B24"/>
    <w:rsid w:val="00377AE4"/>
    <w:rsid w:val="0038129B"/>
    <w:rsid w:val="003A0D44"/>
    <w:rsid w:val="003A4201"/>
    <w:rsid w:val="003A7416"/>
    <w:rsid w:val="003A7A6D"/>
    <w:rsid w:val="003C0BA8"/>
    <w:rsid w:val="003D18C5"/>
    <w:rsid w:val="003F2D9E"/>
    <w:rsid w:val="00407252"/>
    <w:rsid w:val="004106B4"/>
    <w:rsid w:val="00426356"/>
    <w:rsid w:val="00430085"/>
    <w:rsid w:val="00433B89"/>
    <w:rsid w:val="0043579F"/>
    <w:rsid w:val="00481124"/>
    <w:rsid w:val="0048417E"/>
    <w:rsid w:val="00487E5C"/>
    <w:rsid w:val="00496E59"/>
    <w:rsid w:val="004B2AE7"/>
    <w:rsid w:val="004D3E12"/>
    <w:rsid w:val="004D594B"/>
    <w:rsid w:val="004E1F41"/>
    <w:rsid w:val="004F0C99"/>
    <w:rsid w:val="004F5ABA"/>
    <w:rsid w:val="004F71C6"/>
    <w:rsid w:val="00504299"/>
    <w:rsid w:val="005064B7"/>
    <w:rsid w:val="00516412"/>
    <w:rsid w:val="00532B4F"/>
    <w:rsid w:val="00557944"/>
    <w:rsid w:val="005674B7"/>
    <w:rsid w:val="00571AD0"/>
    <w:rsid w:val="00590261"/>
    <w:rsid w:val="0059086B"/>
    <w:rsid w:val="00591D59"/>
    <w:rsid w:val="005A3632"/>
    <w:rsid w:val="005A555C"/>
    <w:rsid w:val="005B175F"/>
    <w:rsid w:val="005B79C4"/>
    <w:rsid w:val="005D1564"/>
    <w:rsid w:val="005E734B"/>
    <w:rsid w:val="00620C73"/>
    <w:rsid w:val="00622B39"/>
    <w:rsid w:val="006451E6"/>
    <w:rsid w:val="00665AFA"/>
    <w:rsid w:val="00673B50"/>
    <w:rsid w:val="00685957"/>
    <w:rsid w:val="006A34A8"/>
    <w:rsid w:val="006B2527"/>
    <w:rsid w:val="006C0AA9"/>
    <w:rsid w:val="006D2426"/>
    <w:rsid w:val="006D329E"/>
    <w:rsid w:val="00725844"/>
    <w:rsid w:val="00753E03"/>
    <w:rsid w:val="007A26B8"/>
    <w:rsid w:val="007A7FDC"/>
    <w:rsid w:val="007B63BE"/>
    <w:rsid w:val="007C2948"/>
    <w:rsid w:val="007E5076"/>
    <w:rsid w:val="007E5F31"/>
    <w:rsid w:val="008108CC"/>
    <w:rsid w:val="00825036"/>
    <w:rsid w:val="008345C3"/>
    <w:rsid w:val="00835061"/>
    <w:rsid w:val="00844D24"/>
    <w:rsid w:val="00847088"/>
    <w:rsid w:val="00847E77"/>
    <w:rsid w:val="00850FD5"/>
    <w:rsid w:val="00867A29"/>
    <w:rsid w:val="00874533"/>
    <w:rsid w:val="008955F8"/>
    <w:rsid w:val="008C3B5F"/>
    <w:rsid w:val="008C3D1F"/>
    <w:rsid w:val="008D6F53"/>
    <w:rsid w:val="008F2652"/>
    <w:rsid w:val="008F68F3"/>
    <w:rsid w:val="009033F1"/>
    <w:rsid w:val="009163F2"/>
    <w:rsid w:val="00927FA9"/>
    <w:rsid w:val="00930B7F"/>
    <w:rsid w:val="00932CD1"/>
    <w:rsid w:val="0093640D"/>
    <w:rsid w:val="00943488"/>
    <w:rsid w:val="009506EC"/>
    <w:rsid w:val="009617D9"/>
    <w:rsid w:val="009847DE"/>
    <w:rsid w:val="009A034E"/>
    <w:rsid w:val="009A06E5"/>
    <w:rsid w:val="009C1611"/>
    <w:rsid w:val="009C1B2E"/>
    <w:rsid w:val="009D252F"/>
    <w:rsid w:val="009D2AEF"/>
    <w:rsid w:val="009E1D15"/>
    <w:rsid w:val="009E1F69"/>
    <w:rsid w:val="009F5723"/>
    <w:rsid w:val="00A16592"/>
    <w:rsid w:val="00A259A6"/>
    <w:rsid w:val="00A4288D"/>
    <w:rsid w:val="00A4623A"/>
    <w:rsid w:val="00A642EB"/>
    <w:rsid w:val="00A743D8"/>
    <w:rsid w:val="00A76576"/>
    <w:rsid w:val="00A9630D"/>
    <w:rsid w:val="00AA3F48"/>
    <w:rsid w:val="00AA5EA6"/>
    <w:rsid w:val="00AC005C"/>
    <w:rsid w:val="00AD00C0"/>
    <w:rsid w:val="00AF1589"/>
    <w:rsid w:val="00AF35FC"/>
    <w:rsid w:val="00AF7954"/>
    <w:rsid w:val="00B00258"/>
    <w:rsid w:val="00B060AD"/>
    <w:rsid w:val="00B122D2"/>
    <w:rsid w:val="00B13D86"/>
    <w:rsid w:val="00B1464F"/>
    <w:rsid w:val="00B22990"/>
    <w:rsid w:val="00B22DA6"/>
    <w:rsid w:val="00B65280"/>
    <w:rsid w:val="00B73232"/>
    <w:rsid w:val="00B809B1"/>
    <w:rsid w:val="00B84285"/>
    <w:rsid w:val="00B84B0C"/>
    <w:rsid w:val="00B8523E"/>
    <w:rsid w:val="00B923EC"/>
    <w:rsid w:val="00B9435E"/>
    <w:rsid w:val="00BA1783"/>
    <w:rsid w:val="00BA4F04"/>
    <w:rsid w:val="00BC2834"/>
    <w:rsid w:val="00BD364F"/>
    <w:rsid w:val="00BE11E4"/>
    <w:rsid w:val="00BF5D6E"/>
    <w:rsid w:val="00BF6E59"/>
    <w:rsid w:val="00C04F09"/>
    <w:rsid w:val="00C11BCA"/>
    <w:rsid w:val="00C2650F"/>
    <w:rsid w:val="00C33EA7"/>
    <w:rsid w:val="00C34DD1"/>
    <w:rsid w:val="00C44AA0"/>
    <w:rsid w:val="00C70688"/>
    <w:rsid w:val="00C717CF"/>
    <w:rsid w:val="00C7350E"/>
    <w:rsid w:val="00C777E1"/>
    <w:rsid w:val="00C83618"/>
    <w:rsid w:val="00CA1A4D"/>
    <w:rsid w:val="00CA4D92"/>
    <w:rsid w:val="00CE2A44"/>
    <w:rsid w:val="00D25497"/>
    <w:rsid w:val="00D2627A"/>
    <w:rsid w:val="00D31DB7"/>
    <w:rsid w:val="00D33CA0"/>
    <w:rsid w:val="00D616DA"/>
    <w:rsid w:val="00D62CEF"/>
    <w:rsid w:val="00D751AF"/>
    <w:rsid w:val="00D906FA"/>
    <w:rsid w:val="00DA6D3A"/>
    <w:rsid w:val="00DC112E"/>
    <w:rsid w:val="00DC588F"/>
    <w:rsid w:val="00DD7168"/>
    <w:rsid w:val="00DF1F52"/>
    <w:rsid w:val="00E1379B"/>
    <w:rsid w:val="00E21909"/>
    <w:rsid w:val="00E2219B"/>
    <w:rsid w:val="00E43E18"/>
    <w:rsid w:val="00E4750F"/>
    <w:rsid w:val="00E546A8"/>
    <w:rsid w:val="00E5505D"/>
    <w:rsid w:val="00E73122"/>
    <w:rsid w:val="00E96F26"/>
    <w:rsid w:val="00E970E1"/>
    <w:rsid w:val="00EA2414"/>
    <w:rsid w:val="00EA78D1"/>
    <w:rsid w:val="00EC1FCF"/>
    <w:rsid w:val="00ED10AC"/>
    <w:rsid w:val="00EE4459"/>
    <w:rsid w:val="00EE77D3"/>
    <w:rsid w:val="00F233E5"/>
    <w:rsid w:val="00F30D50"/>
    <w:rsid w:val="00F45243"/>
    <w:rsid w:val="00F52DF0"/>
    <w:rsid w:val="00F55C82"/>
    <w:rsid w:val="00F55FEA"/>
    <w:rsid w:val="00F565DD"/>
    <w:rsid w:val="00F755EE"/>
    <w:rsid w:val="00F834DE"/>
    <w:rsid w:val="00FA26DD"/>
    <w:rsid w:val="00FC0625"/>
    <w:rsid w:val="00FC1C4B"/>
    <w:rsid w:val="00FD75FC"/>
    <w:rsid w:val="00FE22CF"/>
    <w:rsid w:val="00FE2372"/>
    <w:rsid w:val="00FF514B"/>
    <w:rsid w:val="00FF6099"/>
    <w:rsid w:val="2559252F"/>
    <w:rsid w:val="2B42503A"/>
    <w:rsid w:val="548C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720" w:firstLineChars="257"/>
    </w:pPr>
    <w:rPr>
      <w:sz w:val="28"/>
      <w:szCs w:val="27"/>
    </w:rPr>
  </w:style>
  <w:style w:type="paragraph" w:styleId="3">
    <w:name w:val="Body Text Indent 2"/>
    <w:basedOn w:val="1"/>
    <w:uiPriority w:val="0"/>
    <w:pPr>
      <w:spacing w:after="120" w:line="480" w:lineRule="auto"/>
      <w:ind w:left="420" w:leftChars="2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widowControl/>
      <w:spacing w:before="100" w:beforeAutospacing="1" w:after="100" w:afterAutospacing="1"/>
      <w:jc w:val="left"/>
    </w:pPr>
    <w:rPr>
      <w:rFonts w:ascii="宋体" w:hAnsi="宋体"/>
      <w:kern w:val="0"/>
      <w:sz w:val="24"/>
    </w:rPr>
  </w:style>
  <w:style w:type="character" w:styleId="10">
    <w:name w:val="page number"/>
    <w:basedOn w:val="9"/>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4929</Words>
  <Characters>5314</Characters>
  <Lines>0</Lines>
  <Paragraphs>0</Paragraphs>
  <TotalTime>1</TotalTime>
  <ScaleCrop>false</ScaleCrop>
  <LinksUpToDate>false</LinksUpToDate>
  <CharactersWithSpaces>5372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jikr04</dc:creator>
  <cp:lastModifiedBy>王佩</cp:lastModifiedBy>
  <dcterms:modified xsi:type="dcterms:W3CDTF">2022-07-26T06:41:34Z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34C3D1E5B3534C02B260F3C7186C93DB</vt:lpwstr>
  </property>
</Properties>
</file>