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sectPr>
          <w:pgSz w:w="11906" w:h="16838"/>
          <w:pgMar w:top="0" w:right="0" w:bottom="0" w:left="0" w:header="851" w:footer="992" w:gutter="0"/>
          <w:cols w:space="0" w:num="1"/>
          <w:rtlGutter w:val="0"/>
          <w:docGrid w:type="lines" w:linePitch="317" w:charSpace="0"/>
        </w:sectPr>
      </w:pPr>
      <w:r>
        <w:rPr>
          <w:rFonts w:ascii="SimHei" w:hAnsi="SimHei" w:eastAsia="黑体"/>
          <w:sz w:val="21"/>
        </w:rPr>
      </w:r>
      <w:r>
        <w:rPr>
          <w:rFonts w:hint="eastAsia" w:eastAsiaTheme="minorEastAsia" w:ascii="SimHei" w:hAnsi="SimHei" w:eastAsia="黑体"/>
          <w:lang w:eastAsia="zh-CN"/>
        </w:rPr>
      </w:r>
    </w:p>
    <w:p>
      <w:pPr>
        <w:spacing w:line="360" w:lineRule="auto"/>
        <w:jc w:val="center"/>
        <w:rPr>
          <w:rFonts w:hint="eastAsia" w:ascii="黑体" w:eastAsia="黑体"/>
          <w:sz w:val="44"/>
          <w:szCs w:val="44"/>
        </w:rPr>
      </w:pPr>
      <w:bookmarkStart w:id="0" w:name="_Hlt81282231"/>
      <w:bookmarkEnd w:id="0"/>
      <w:bookmarkStart w:id="1" w:name="_Toc27403581"/>
      <w:bookmarkStart w:id="2" w:name="_Toc14745827"/>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52"/>
          <w:szCs w:val="44"/>
        </w:rPr>
      </w:pPr>
      <w:r>
        <w:rPr>
          <w:rFonts w:hint="eastAsia" w:ascii="SimHei" w:eastAsia="黑体" w:hAnsi="SimHei"/>
          <w:sz w:val="52"/>
          <w:szCs w:val="44"/>
        </w:rPr>
        <w:t>公司权属公司</w:t>
      </w:r>
    </w:p>
    <w:p>
      <w:pPr>
        <w:spacing w:line="360" w:lineRule="auto"/>
        <w:jc w:val="center"/>
        <w:rPr>
          <w:rFonts w:hint="eastAsia" w:ascii="黑体" w:eastAsia="黑体"/>
          <w:sz w:val="44"/>
          <w:szCs w:val="72"/>
        </w:rPr>
      </w:pPr>
      <w:r>
        <w:rPr>
          <w:rFonts w:hint="eastAsia" w:ascii="SimHei" w:eastAsia="黑体" w:hAnsi="SimHei"/>
          <w:sz w:val="52"/>
          <w:szCs w:val="44"/>
        </w:rPr>
        <w:t>年薪制实施方案</w:t>
      </w:r>
    </w:p>
    <w:p>
      <w:pPr>
        <w:spacing w:after="156" w:afterLines="50" w:line="360" w:lineRule="auto"/>
        <w:jc w:val="center"/>
        <w:rPr>
          <w:rFonts w:hint="eastAsia" w:ascii="黑体" w:eastAsia="黑体"/>
          <w:sz w:val="72"/>
          <w:szCs w:val="72"/>
        </w:rPr>
      </w:pPr>
    </w:p>
    <w:p>
      <w:pPr>
        <w:spacing w:after="156" w:afterLines="50" w:line="360" w:lineRule="auto"/>
        <w:jc w:val="center"/>
        <w:rPr>
          <w:rFonts w:hint="eastAsia" w:ascii="黑体" w:eastAsia="黑体"/>
          <w:sz w:val="72"/>
          <w:szCs w:val="72"/>
        </w:rPr>
      </w:pPr>
    </w:p>
    <w:p>
      <w:pPr>
        <w:spacing w:after="156" w:afterLines="50" w:line="360" w:lineRule="auto"/>
        <w:jc w:val="center"/>
        <w:rPr>
          <w:rFonts w:hint="eastAsia" w:ascii="黑体" w:eastAsia="黑体"/>
          <w:sz w:val="72"/>
          <w:szCs w:val="72"/>
        </w:rPr>
      </w:pPr>
    </w:p>
    <w:p>
      <w:pPr>
        <w:spacing w:after="156" w:afterLines="50" w:line="360" w:lineRule="auto"/>
        <w:jc w:val="center"/>
        <w:rPr>
          <w:rFonts w:hint="eastAsia" w:ascii="黑体" w:eastAsia="黑体"/>
          <w:sz w:val="72"/>
          <w:szCs w:val="72"/>
        </w:rPr>
      </w:pPr>
    </w:p>
    <w:p>
      <w:pPr>
        <w:spacing w:after="156" w:afterLines="50" w:line="360" w:lineRule="auto"/>
        <w:jc w:val="center"/>
        <w:rPr>
          <w:rFonts w:hint="eastAsia" w:ascii="黑体" w:eastAsia="黑体"/>
          <w:sz w:val="72"/>
          <w:szCs w:val="72"/>
        </w:rPr>
      </w:pPr>
    </w:p>
    <w:p>
      <w:pPr>
        <w:spacing w:after="156" w:afterLines="50" w:line="360" w:lineRule="auto"/>
        <w:jc w:val="center"/>
        <w:rPr>
          <w:rFonts w:hint="eastAsia" w:ascii="黑体" w:eastAsia="黑体"/>
          <w:sz w:val="30"/>
          <w:szCs w:val="30"/>
        </w:rPr>
      </w:pPr>
    </w:p>
    <w:p>
      <w:pPr>
        <w:spacing w:after="156" w:afterLines="50" w:line="360" w:lineRule="auto"/>
        <w:jc w:val="center"/>
        <w:rPr>
          <w:rFonts w:hint="eastAsia" w:ascii="黑体" w:eastAsia="黑体"/>
          <w:sz w:val="30"/>
          <w:szCs w:val="30"/>
        </w:rPr>
      </w:pPr>
      <w:r>
        <w:rPr>
          <w:rFonts w:ascii="SimHei" w:eastAsia="黑体" w:hAnsi="SimHei"/>
          <w:sz w:val="20"/>
          <w:szCs w:val="30"/>
        </w:rPr>
      </w:r>
    </w:p>
    <w:p>
      <w:pPr>
        <w:spacing w:after="156" w:afterLines="50" w:line="360" w:lineRule="auto"/>
        <w:jc w:val="center"/>
        <w:rPr>
          <w:rFonts w:hint="eastAsia" w:ascii="黑体" w:eastAsia="黑体"/>
          <w:sz w:val="30"/>
          <w:szCs w:val="30"/>
          <w:lang w:eastAsia="zh-CN"/>
        </w:rPr>
      </w:pPr>
      <w:r>
        <w:rPr>
          <w:rFonts w:hint="eastAsia" w:ascii="SimHei" w:eastAsia="黑体" w:hAnsi="SimHei"/>
          <w:sz w:val="30"/>
          <w:szCs w:val="30"/>
          <w:lang w:eastAsia="zh-CN"/>
        </w:rPr>
        <w:t>此处填单位名称</w:t>
      </w:r>
    </w:p>
    <w:p>
      <w:pPr>
        <w:jc w:val="center"/>
        <w:rPr>
          <w:rFonts w:hint="eastAsia" w:eastAsia="黑体"/>
          <w:b/>
          <w:bCs/>
          <w:sz w:val="44"/>
        </w:rPr>
        <w:sectPr>
          <w:headerReference r:id="rId3" w:type="default"/>
          <w:pgSz w:w="11906" w:h="16838"/>
          <w:pgMar w:top="1440" w:right="1800" w:bottom="1440" w:left="1800" w:header="851" w:footer="992" w:gutter="0"/>
          <w:pgNumType w:start="1"/>
          <w:cols w:space="720" w:num="1"/>
          <w:docGrid w:type="lines" w:linePitch="312" w:charSpace="0"/>
        </w:sectPr>
      </w:pPr>
    </w:p>
    <w:p>
      <w:pPr>
        <w:jc w:val="center"/>
        <w:rPr>
          <w:rFonts w:hint="eastAsia"/>
          <w:b/>
          <w:bCs/>
          <w:sz w:val="28"/>
        </w:rPr>
      </w:pPr>
    </w:p>
    <w:p>
      <w:pPr>
        <w:jc w:val="center"/>
        <w:rPr>
          <w:rFonts w:hint="eastAsia"/>
          <w:b/>
          <w:bCs/>
          <w:sz w:val="28"/>
        </w:rPr>
      </w:pPr>
      <w:r>
        <w:rPr>
          <w:rFonts w:hint="eastAsia" w:ascii="SimHei" w:hAnsi="SimHei" w:eastAsia="黑体"/>
          <w:b/>
          <w:bCs/>
          <w:sz w:val="28"/>
        </w:rPr>
        <w:t>目  录</w:t>
      </w:r>
    </w:p>
    <w:p>
      <w:pPr>
        <w:pStyle w:val="3"/>
        <w:tabs>
          <w:tab w:val="right" w:leader="dot" w:pos="8267"/>
        </w:tabs>
        <w:ind w:left="0" w:leftChars="0"/>
        <w:rPr>
          <w:sz w:val="21"/>
        </w:rPr>
      </w:pPr>
      <w:r>
        <w:rPr>
          <w:rFonts w:hint="eastAsia" w:ascii="SimHei" w:hAnsi="SimHei" w:eastAsia="黑体"/>
          <w:szCs w:val="28"/>
        </w:rPr>
        <w:t>第一章</w:t>
      </w:r>
      <w:r>
        <w:rPr>
          <w:rFonts w:ascii="SimHei" w:hAnsi="SimHei" w:eastAsia="黑体"/>
          <w:szCs w:val="28"/>
        </w:rPr>
        <w:t xml:space="preserve">  </w:t>
      </w:r>
      <w:bookmarkStart w:id="3" w:name="_Hlt81321861"/>
      <w:r>
        <w:rPr>
          <w:rFonts w:hint="eastAsia" w:ascii="SimHei" w:hAnsi="SimHei" w:eastAsia="黑体"/>
          <w:szCs w:val="28"/>
        </w:rPr>
        <w:t>总</w:t>
      </w:r>
      <w:bookmarkEnd w:id="3"/>
      <w:r>
        <w:rPr>
          <w:rFonts w:hint="eastAsia" w:ascii="SimHei" w:hAnsi="SimHei" w:eastAsia="黑体"/>
          <w:szCs w:val="28"/>
        </w:rPr>
        <w:t>则</w:t>
      </w:r>
      <w:bookmarkStart w:id="4" w:name="_Hlt81321791"/>
      <w:bookmarkStart w:id="5" w:name="_Hlt81321792"/>
      <w:r>
        <w:rPr>
          <w:rFonts w:ascii="SimHei" w:hAnsi="SimHei" w:eastAsia="黑体"/>
        </w:rPr>
        <w:tab/>
      </w:r>
      <w:bookmarkEnd w:id="4"/>
      <w:bookmarkEnd w:id="5"/>
      <w:r>
        <w:rPr>
          <w:rFonts w:ascii="SimHei" w:hAnsi="SimHei" w:eastAsia="黑体"/>
        </w:rPr>
        <w:t>1</w:t>
      </w:r>
    </w:p>
    <w:p>
      <w:pPr>
        <w:pStyle w:val="3"/>
        <w:tabs>
          <w:tab w:val="right" w:leader="dot" w:pos="8267"/>
        </w:tabs>
        <w:ind w:left="0" w:leftChars="0"/>
        <w:rPr>
          <w:sz w:val="21"/>
        </w:rPr>
      </w:pPr>
      <w:r>
        <w:rPr>
          <w:rFonts w:hint="eastAsia" w:ascii="SimHei" w:hAnsi="SimHei" w:eastAsia="黑体"/>
          <w:szCs w:val="28"/>
        </w:rPr>
        <w:t>第二章</w:t>
      </w:r>
      <w:r>
        <w:rPr>
          <w:rFonts w:ascii="SimHei" w:hAnsi="SimHei" w:eastAsia="黑体"/>
          <w:szCs w:val="28"/>
        </w:rPr>
        <w:t xml:space="preserve">  </w:t>
      </w:r>
      <w:r>
        <w:rPr>
          <w:rFonts w:hint="eastAsia" w:ascii="SimHei" w:hAnsi="SimHei" w:eastAsia="黑体"/>
          <w:szCs w:val="28"/>
        </w:rPr>
        <w:t>基本年薪</w:t>
      </w:r>
      <w:r>
        <w:rPr>
          <w:rFonts w:ascii="SimHei" w:hAnsi="SimHei" w:eastAsia="黑体"/>
        </w:rPr>
        <w:tab/>
      </w:r>
      <w:r>
        <w:rPr>
          <w:rFonts w:ascii="SimHei" w:hAnsi="SimHei" w:eastAsia="黑体"/>
        </w:rPr>
        <w:t>2</w:t>
      </w:r>
    </w:p>
    <w:p>
      <w:pPr>
        <w:pStyle w:val="3"/>
        <w:tabs>
          <w:tab w:val="right" w:leader="dot" w:pos="8267"/>
        </w:tabs>
        <w:ind w:left="0" w:leftChars="0"/>
        <w:rPr>
          <w:sz w:val="21"/>
        </w:rPr>
      </w:pPr>
      <w:r>
        <w:rPr>
          <w:rFonts w:hint="eastAsia" w:ascii="SimHei" w:hAnsi="SimHei" w:eastAsia="黑体"/>
          <w:szCs w:val="28"/>
        </w:rPr>
        <w:t>第三章</w:t>
      </w:r>
      <w:r>
        <w:rPr>
          <w:rFonts w:ascii="SimHei" w:hAnsi="SimHei" w:eastAsia="黑体"/>
          <w:szCs w:val="28"/>
        </w:rPr>
        <w:t xml:space="preserve">  </w:t>
      </w:r>
      <w:r>
        <w:rPr>
          <w:rFonts w:hint="eastAsia" w:ascii="SimHei" w:hAnsi="SimHei" w:eastAsia="黑体"/>
          <w:szCs w:val="28"/>
        </w:rPr>
        <w:t>效益年</w:t>
      </w:r>
      <w:bookmarkStart w:id="6" w:name="_Hlt81298271"/>
      <w:bookmarkStart w:id="7" w:name="_Hlt81298272"/>
      <w:bookmarkStart w:id="8" w:name="_Hlt81298442"/>
      <w:r>
        <w:rPr>
          <w:rFonts w:hint="eastAsia" w:ascii="SimHei" w:hAnsi="SimHei" w:eastAsia="黑体"/>
          <w:szCs w:val="28"/>
        </w:rPr>
        <w:t>薪</w:t>
      </w:r>
      <w:bookmarkEnd w:id="6"/>
      <w:bookmarkEnd w:id="7"/>
      <w:bookmarkEnd w:id="8"/>
      <w:r>
        <w:rPr>
          <w:rFonts w:ascii="SimHei" w:hAnsi="SimHei" w:eastAsia="黑体"/>
        </w:rPr>
        <w:tab/>
      </w:r>
      <w:r>
        <w:rPr>
          <w:rFonts w:ascii="SimHei" w:hAnsi="SimHei" w:eastAsia="黑体"/>
        </w:rPr>
        <w:t>3</w:t>
      </w:r>
    </w:p>
    <w:p>
      <w:pPr>
        <w:pStyle w:val="3"/>
        <w:tabs>
          <w:tab w:val="right" w:leader="dot" w:pos="8267"/>
        </w:tabs>
        <w:ind w:left="0" w:leftChars="0"/>
        <w:rPr>
          <w:sz w:val="21"/>
        </w:rPr>
      </w:pPr>
      <w:r>
        <w:rPr>
          <w:rFonts w:hint="eastAsia" w:ascii="SimHei" w:hAnsi="SimHei" w:eastAsia="黑体"/>
          <w:szCs w:val="28"/>
        </w:rPr>
        <w:t>第四章</w:t>
      </w:r>
      <w:r>
        <w:rPr>
          <w:rFonts w:ascii="SimHei" w:hAnsi="SimHei" w:eastAsia="黑体"/>
          <w:szCs w:val="28"/>
        </w:rPr>
        <w:t xml:space="preserve">  </w:t>
      </w:r>
      <w:r>
        <w:rPr>
          <w:rFonts w:hint="eastAsia" w:ascii="SimHei" w:hAnsi="SimHei" w:eastAsia="黑体"/>
          <w:szCs w:val="28"/>
        </w:rPr>
        <w:t>长期激励收入</w:t>
      </w:r>
      <w:r>
        <w:rPr>
          <w:rFonts w:ascii="SimHei" w:hAnsi="SimHei" w:eastAsia="黑体"/>
        </w:rPr>
        <w:tab/>
      </w:r>
      <w:r>
        <w:rPr>
          <w:rFonts w:ascii="SimHei" w:hAnsi="SimHei" w:eastAsia="黑体"/>
        </w:rPr>
        <w:t>4</w:t>
      </w:r>
    </w:p>
    <w:p>
      <w:pPr>
        <w:pStyle w:val="3"/>
        <w:tabs>
          <w:tab w:val="right" w:leader="dot" w:pos="8267"/>
        </w:tabs>
        <w:ind w:left="0" w:leftChars="0"/>
        <w:rPr>
          <w:sz w:val="21"/>
        </w:rPr>
      </w:pPr>
      <w:r>
        <w:rPr>
          <w:rFonts w:hint="eastAsia" w:ascii="SimHei" w:hAnsi="SimHei" w:eastAsia="黑体"/>
          <w:szCs w:val="28"/>
        </w:rPr>
        <w:t>第五章</w:t>
      </w:r>
      <w:r>
        <w:rPr>
          <w:rFonts w:ascii="SimHei" w:hAnsi="SimHei" w:eastAsia="黑体"/>
          <w:szCs w:val="28"/>
        </w:rPr>
        <w:t xml:space="preserve">  </w:t>
      </w:r>
      <w:r>
        <w:rPr>
          <w:rFonts w:hint="eastAsia" w:ascii="SimHei" w:hAnsi="SimHei" w:eastAsia="黑体"/>
          <w:szCs w:val="28"/>
        </w:rPr>
        <w:t>考核程序</w:t>
      </w:r>
      <w:r>
        <w:rPr>
          <w:rFonts w:ascii="SimHei" w:hAnsi="SimHei" w:eastAsia="黑体"/>
        </w:rPr>
        <w:tab/>
      </w:r>
      <w:r>
        <w:rPr>
          <w:rFonts w:ascii="SimHei" w:hAnsi="SimHei" w:eastAsia="黑体"/>
        </w:rPr>
        <w:t>5</w:t>
      </w:r>
    </w:p>
    <w:p>
      <w:pPr>
        <w:pStyle w:val="3"/>
        <w:tabs>
          <w:tab w:val="right" w:leader="dot" w:pos="8267"/>
        </w:tabs>
        <w:ind w:left="0" w:leftChars="0"/>
        <w:rPr>
          <w:sz w:val="21"/>
        </w:rPr>
      </w:pPr>
      <w:r>
        <w:rPr>
          <w:rFonts w:hint="eastAsia" w:ascii="SimHei" w:hAnsi="SimHei" w:eastAsia="黑体"/>
          <w:szCs w:val="28"/>
        </w:rPr>
        <w:t>第六章</w:t>
      </w:r>
      <w:r>
        <w:rPr>
          <w:rFonts w:ascii="SimHei" w:hAnsi="SimHei" w:eastAsia="黑体"/>
          <w:szCs w:val="28"/>
        </w:rPr>
        <w:t xml:space="preserve">  </w:t>
      </w:r>
      <w:r>
        <w:rPr>
          <w:rFonts w:hint="eastAsia" w:ascii="SimHei" w:hAnsi="SimHei" w:eastAsia="黑体"/>
          <w:szCs w:val="28"/>
        </w:rPr>
        <w:t>年薪的支付与管理</w:t>
      </w:r>
      <w:r>
        <w:rPr>
          <w:rFonts w:ascii="SimHei" w:hAnsi="SimHei" w:eastAsia="黑体"/>
        </w:rPr>
        <w:tab/>
      </w:r>
      <w:r>
        <w:rPr>
          <w:rFonts w:ascii="SimHei" w:hAnsi="SimHei" w:eastAsia="黑体"/>
        </w:rPr>
        <w:t>5</w:t>
      </w:r>
    </w:p>
    <w:p>
      <w:pPr>
        <w:pStyle w:val="3"/>
        <w:tabs>
          <w:tab w:val="right" w:leader="dot" w:pos="8267"/>
        </w:tabs>
        <w:ind w:left="0" w:leftChars="0"/>
        <w:rPr>
          <w:sz w:val="21"/>
        </w:rPr>
      </w:pPr>
      <w:r>
        <w:rPr>
          <w:rFonts w:hint="eastAsia" w:ascii="SimHei" w:hAnsi="SimHei" w:eastAsia="黑体"/>
          <w:szCs w:val="28"/>
        </w:rPr>
        <w:t>第七章</w:t>
      </w:r>
      <w:r>
        <w:rPr>
          <w:rFonts w:ascii="SimHei" w:hAnsi="SimHei" w:eastAsia="黑体"/>
          <w:szCs w:val="28"/>
        </w:rPr>
        <w:t xml:space="preserve">  </w:t>
      </w:r>
      <w:r>
        <w:rPr>
          <w:rFonts w:hint="eastAsia" w:ascii="SimHei" w:hAnsi="SimHei" w:eastAsia="黑体"/>
          <w:szCs w:val="28"/>
        </w:rPr>
        <w:t>风险基金管理</w:t>
      </w:r>
      <w:r>
        <w:rPr>
          <w:rFonts w:ascii="SimHei" w:hAnsi="SimHei" w:eastAsia="黑体"/>
        </w:rPr>
        <w:tab/>
      </w:r>
      <w:r>
        <w:rPr>
          <w:rFonts w:ascii="SimHei" w:hAnsi="SimHei" w:eastAsia="黑体"/>
        </w:rPr>
        <w:t>6</w:t>
      </w:r>
    </w:p>
    <w:p>
      <w:pPr>
        <w:pStyle w:val="3"/>
        <w:tabs>
          <w:tab w:val="right" w:leader="dot" w:pos="8267"/>
        </w:tabs>
        <w:ind w:left="0" w:leftChars="0"/>
        <w:rPr>
          <w:sz w:val="21"/>
        </w:rPr>
      </w:pPr>
      <w:bookmarkStart w:id="9" w:name="_Hlt81283197"/>
      <w:bookmarkStart w:id="10" w:name="_Hlt81283194"/>
      <w:r>
        <w:rPr>
          <w:rFonts w:hint="eastAsia" w:ascii="SimHei" w:hAnsi="SimHei" w:eastAsia="黑体"/>
          <w:szCs w:val="28"/>
        </w:rPr>
        <w:t>第八章</w:t>
      </w:r>
      <w:r>
        <w:rPr>
          <w:rFonts w:ascii="SimHei" w:hAnsi="SimHei" w:eastAsia="黑体"/>
          <w:szCs w:val="28"/>
        </w:rPr>
        <w:t xml:space="preserve">  </w:t>
      </w:r>
      <w:r>
        <w:rPr>
          <w:rFonts w:hint="eastAsia" w:ascii="SimHei" w:hAnsi="SimHei" w:eastAsia="黑体"/>
          <w:szCs w:val="28"/>
        </w:rPr>
        <w:t>附则</w:t>
      </w:r>
      <w:r>
        <w:rPr>
          <w:rFonts w:ascii="SimHei" w:hAnsi="SimHei" w:eastAsia="黑体"/>
        </w:rPr>
        <w:tab/>
      </w:r>
      <w:r>
        <w:rPr>
          <w:rFonts w:ascii="SimHei" w:hAnsi="SimHei" w:eastAsia="黑体"/>
        </w:rPr>
        <w:t>7</w:t>
      </w:r>
      <w:bookmarkEnd w:id="9"/>
      <w:bookmarkEnd w:id="10"/>
    </w:p>
    <w:p>
      <w:pPr>
        <w:pStyle w:val="3"/>
        <w:tabs>
          <w:tab w:val="right" w:leader="dot" w:pos="8267"/>
        </w:tabs>
        <w:ind w:left="0" w:leftChars="0"/>
        <w:rPr>
          <w:sz w:val="21"/>
        </w:rPr>
      </w:pPr>
      <w:r>
        <w:rPr>
          <w:rFonts w:hint="eastAsia" w:ascii="SimHei" w:hAnsi="SimHei" w:eastAsia="黑体"/>
          <w:szCs w:val="28"/>
        </w:rPr>
        <w:t>附件</w:t>
      </w:r>
      <w:r>
        <w:rPr>
          <w:rFonts w:ascii="SimHei" w:hAnsi="SimHei" w:eastAsia="黑体"/>
          <w:szCs w:val="28"/>
        </w:rPr>
        <w:t>1</w:t>
      </w:r>
      <w:r>
        <w:rPr>
          <w:rFonts w:hint="eastAsia" w:ascii="SimHei" w:hAnsi="SimHei" w:eastAsia="黑体"/>
          <w:szCs w:val="28"/>
        </w:rPr>
        <w:t>：基本年薪实施细则</w:t>
      </w:r>
      <w:r>
        <w:rPr>
          <w:rFonts w:ascii="SimHei" w:hAnsi="SimHei" w:eastAsia="黑体"/>
        </w:rPr>
        <w:tab/>
      </w:r>
      <w:r>
        <w:rPr>
          <w:rFonts w:ascii="SimHei" w:hAnsi="SimHei" w:eastAsia="黑体"/>
        </w:rPr>
        <w:t>8</w:t>
      </w:r>
    </w:p>
    <w:p>
      <w:pPr>
        <w:pStyle w:val="3"/>
        <w:tabs>
          <w:tab w:val="right" w:leader="dot" w:pos="8267"/>
        </w:tabs>
        <w:ind w:left="0" w:leftChars="0"/>
        <w:rPr>
          <w:sz w:val="21"/>
        </w:rPr>
      </w:pPr>
      <w:r>
        <w:rPr>
          <w:rFonts w:hint="eastAsia" w:ascii="SimHei" w:hAnsi="SimHei" w:eastAsia="黑体"/>
          <w:szCs w:val="28"/>
        </w:rPr>
        <w:t>附件</w:t>
      </w:r>
      <w:r>
        <w:rPr>
          <w:rFonts w:ascii="SimHei" w:hAnsi="SimHei" w:eastAsia="黑体"/>
          <w:szCs w:val="28"/>
        </w:rPr>
        <w:t>2</w:t>
      </w:r>
      <w:r>
        <w:rPr>
          <w:rFonts w:hint="eastAsia" w:ascii="SimHei" w:hAnsi="SimHei" w:eastAsia="黑体"/>
          <w:szCs w:val="28"/>
        </w:rPr>
        <w:t>：效益年薪实施细则</w:t>
      </w:r>
      <w:r>
        <w:rPr>
          <w:rFonts w:ascii="SimHei" w:hAnsi="SimHei" w:eastAsia="黑体"/>
        </w:rPr>
        <w:tab/>
      </w:r>
      <w:r>
        <w:rPr>
          <w:rFonts w:ascii="SimHei" w:hAnsi="SimHei" w:eastAsia="黑体"/>
        </w:rPr>
        <w:t>11</w:t>
      </w:r>
    </w:p>
    <w:p>
      <w:pPr>
        <w:pStyle w:val="3"/>
        <w:tabs>
          <w:tab w:val="right" w:leader="dot" w:pos="8267"/>
        </w:tabs>
        <w:ind w:left="0" w:leftChars="0"/>
        <w:rPr>
          <w:sz w:val="21"/>
        </w:rPr>
      </w:pPr>
      <w:r>
        <w:rPr>
          <w:rFonts w:hint="eastAsia" w:ascii="SimHei" w:hAnsi="SimHei" w:eastAsia="黑体"/>
          <w:szCs w:val="28"/>
        </w:rPr>
        <w:t>附件</w:t>
      </w:r>
      <w:r>
        <w:rPr>
          <w:rFonts w:ascii="SimHei" w:hAnsi="SimHei" w:eastAsia="黑体"/>
          <w:szCs w:val="28"/>
        </w:rPr>
        <w:t>3</w:t>
      </w:r>
      <w:r>
        <w:rPr>
          <w:rFonts w:hint="eastAsia" w:ascii="SimHei" w:hAnsi="SimHei" w:eastAsia="黑体"/>
          <w:szCs w:val="28"/>
        </w:rPr>
        <w:t>：长期激励收入实施细则</w:t>
      </w:r>
      <w:r>
        <w:rPr>
          <w:rFonts w:ascii="SimHei" w:hAnsi="SimHei" w:eastAsia="黑体"/>
        </w:rPr>
        <w:tab/>
      </w:r>
      <w:r>
        <w:rPr>
          <w:rFonts w:ascii="SimHei" w:hAnsi="SimHei" w:eastAsia="黑体"/>
        </w:rPr>
        <w:t>22</w:t>
      </w:r>
    </w:p>
    <w:p>
      <w:pPr>
        <w:pStyle w:val="3"/>
        <w:tabs>
          <w:tab w:val="right" w:leader="dot" w:pos="8267"/>
        </w:tabs>
        <w:ind w:left="0" w:leftChars="0"/>
        <w:rPr>
          <w:sz w:val="21"/>
        </w:rPr>
      </w:pPr>
      <w:r>
        <w:rPr>
          <w:rFonts w:hint="eastAsia" w:ascii="SimHei" w:hAnsi="SimHei" w:eastAsia="黑体"/>
          <w:szCs w:val="28"/>
        </w:rPr>
        <w:t>附件</w:t>
      </w:r>
      <w:r>
        <w:rPr>
          <w:rFonts w:ascii="SimHei" w:hAnsi="SimHei" w:eastAsia="黑体"/>
          <w:szCs w:val="28"/>
        </w:rPr>
        <w:t>4</w:t>
      </w:r>
      <w:r>
        <w:rPr>
          <w:rFonts w:hint="eastAsia" w:ascii="SimHei" w:hAnsi="SimHei" w:eastAsia="黑体"/>
          <w:szCs w:val="28"/>
        </w:rPr>
        <w:t>：考核实施细则</w:t>
      </w:r>
      <w:r>
        <w:rPr>
          <w:rFonts w:ascii="SimHei" w:hAnsi="SimHei" w:eastAsia="黑体"/>
        </w:rPr>
        <w:tab/>
      </w:r>
      <w:r>
        <w:rPr>
          <w:rFonts w:ascii="SimHei" w:hAnsi="SimHei" w:eastAsia="黑体"/>
        </w:rPr>
        <w:t>24</w:t>
      </w:r>
    </w:p>
    <w:p>
      <w:pPr>
        <w:pStyle w:val="2"/>
        <w:spacing w:before="156" w:beforeLines="50" w:after="0" w:afterLines="0" w:line="480" w:lineRule="auto"/>
        <w:rPr>
          <w:rFonts w:hint="eastAsia" w:hAnsi="宋体"/>
        </w:rPr>
        <w:sectPr>
          <w:headerReference r:id="rId4" w:type="default"/>
          <w:footerReference r:id="rId5" w:type="default"/>
          <w:footerReference r:id="rId6" w:type="even"/>
          <w:pgSz w:w="11906" w:h="16838"/>
          <w:pgMar w:top="1440" w:right="1701" w:bottom="1440" w:left="1928" w:header="851" w:footer="992" w:gutter="0"/>
          <w:pgNumType w:start="1"/>
          <w:cols w:space="720" w:num="1"/>
          <w:docGrid w:type="linesAndChars" w:linePitch="312" w:charSpace="0"/>
        </w:sectPr>
      </w:pPr>
    </w:p>
    <w:bookmarkEnd w:id="1"/>
    <w:bookmarkEnd w:id="2"/>
    <w:p>
      <w:pPr>
        <w:pStyle w:val="2"/>
        <w:spacing w:beforeLines="0" w:afterLines="0"/>
        <w:rPr>
          <w:rFonts w:hint="eastAsia"/>
        </w:rPr>
      </w:pPr>
      <w:bookmarkStart w:id="11" w:name="_Hlt81321858"/>
      <w:bookmarkEnd w:id="11"/>
      <w:bookmarkStart w:id="12" w:name="_Toc81283100"/>
      <w:r>
        <w:rPr>
          <w:rFonts w:hint="eastAsia" w:ascii="SimHei" w:hAnsi="SimHei" w:eastAsia="黑体"/>
        </w:rPr>
        <w:t>第一章  总则</w:t>
      </w:r>
      <w:bookmarkEnd w:id="12"/>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为了建立和完善适应现代企业制度的激励和约束机制，充分调动企业经营者的积极性和创造性，提高国有资产的运营效率，特制订本方案。</w:t>
      </w:r>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年薪制是指主要以企业的年度经营业绩和任期经营业绩确定经营者年薪的分配激励制度。本方案中的经营者年薪由三部分组成：基本年薪、效益年薪和长期激励收入。</w:t>
      </w:r>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本方案是用于</w:t>
      </w:r>
      <w:r>
        <w:rPr>
          <w:rFonts w:hint="eastAsia" w:ascii="SimHei" w:hAnsi="SimHei" w:cs="宋体" w:eastAsia="黑体"/>
          <w:sz w:val="24"/>
          <w:lang w:eastAsia="zh-CN"/>
        </w:rPr>
        <w:t>_____</w:t>
      </w:r>
      <w:r>
        <w:rPr>
          <w:rFonts w:hint="eastAsia" w:ascii="SimHei" w:hAnsi="SimHei" w:cs="宋体" w:eastAsia="黑体"/>
          <w:sz w:val="24"/>
        </w:rPr>
        <w:t>某集团</w:t>
      </w:r>
      <w:r>
        <w:rPr>
          <w:rFonts w:hint="eastAsia" w:ascii="SimHei" w:hAnsi="SimHei" w:eastAsia="黑体"/>
          <w:sz w:val="24"/>
        </w:rPr>
        <w:t>（简称“本公司”或“</w:t>
      </w:r>
      <w:r>
        <w:rPr>
          <w:rFonts w:hint="eastAsia" w:ascii="SimHei" w:hAnsi="SimHei" w:eastAsia="黑体"/>
          <w:sz w:val="24"/>
          <w:lang w:eastAsia="zh-CN"/>
        </w:rPr>
        <w:t>_____</w:t>
      </w:r>
      <w:r>
        <w:rPr>
          <w:rFonts w:hint="eastAsia" w:ascii="SimHei" w:hAnsi="SimHei" w:eastAsia="黑体"/>
          <w:sz w:val="24"/>
        </w:rPr>
        <w:t>控股”）所属的全资企业，具体实施年薪制的企业由本公司董事会（简称“董事会”）决定。</w:t>
      </w:r>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本方案的实施对象为企业的法定代表人（以下称“经营者”），具体实施对象由本公司董事会确定。</w:t>
      </w:r>
    </w:p>
    <w:p>
      <w:pPr>
        <w:numPr>
          <w:ilvl w:val="0"/>
          <w:numId w:val="1"/>
        </w:numPr>
        <w:spacing w:line="360" w:lineRule="auto"/>
        <w:rPr>
          <w:rFonts w:hint="eastAsia"/>
          <w:sz w:val="24"/>
        </w:rPr>
      </w:pPr>
      <w:r>
        <w:rPr>
          <w:rFonts w:hint="eastAsia" w:ascii="SimHei" w:hAnsi="SimHei" w:eastAsia="黑体"/>
          <w:sz w:val="24"/>
        </w:rPr>
        <w:t>确定经营者年薪的基本原则</w:t>
      </w:r>
    </w:p>
    <w:p>
      <w:pPr>
        <w:numPr>
          <w:ilvl w:val="0"/>
          <w:numId w:val="2"/>
        </w:numPr>
        <w:spacing w:line="360" w:lineRule="auto"/>
        <w:rPr>
          <w:rFonts w:hint="eastAsia"/>
          <w:sz w:val="24"/>
        </w:rPr>
      </w:pPr>
      <w:r>
        <w:rPr>
          <w:rFonts w:hint="eastAsia" w:ascii="SimHei" w:hAnsi="SimHei" w:eastAsia="黑体"/>
          <w:sz w:val="24"/>
        </w:rPr>
        <w:t>报酬与业绩挂钩的原则。经营者的年薪收入和经营业绩相联系，取得业绩越好年薪越高。</w:t>
      </w:r>
    </w:p>
    <w:p>
      <w:pPr>
        <w:numPr>
          <w:ilvl w:val="0"/>
          <w:numId w:val="2"/>
        </w:numPr>
        <w:spacing w:line="360" w:lineRule="auto"/>
        <w:rPr>
          <w:rFonts w:hint="eastAsia"/>
          <w:sz w:val="24"/>
        </w:rPr>
      </w:pPr>
      <w:r>
        <w:rPr>
          <w:rFonts w:hint="eastAsia" w:ascii="SimHei" w:hAnsi="SimHei" w:eastAsia="黑体"/>
          <w:sz w:val="24"/>
        </w:rPr>
        <w:t>风险报酬原则。经营者的年薪收入与其承担的风险相联系，承担的风险越大年薪越高。</w:t>
      </w:r>
    </w:p>
    <w:p>
      <w:pPr>
        <w:numPr>
          <w:ilvl w:val="0"/>
          <w:numId w:val="2"/>
        </w:numPr>
        <w:spacing w:line="360" w:lineRule="auto"/>
        <w:rPr>
          <w:rFonts w:hint="eastAsia"/>
          <w:sz w:val="24"/>
        </w:rPr>
      </w:pPr>
      <w:r>
        <w:rPr>
          <w:rFonts w:hint="eastAsia" w:ascii="SimHei" w:hAnsi="SimHei" w:eastAsia="黑体"/>
          <w:sz w:val="24"/>
        </w:rPr>
        <w:t>效益优先、兼顾公平的原则。本年薪制方案以提高管理效率和经济效益为基本宗旨，尽可能公开、公平和准确地确定经营者的年薪。</w:t>
      </w:r>
    </w:p>
    <w:p>
      <w:pPr>
        <w:numPr>
          <w:ilvl w:val="0"/>
          <w:numId w:val="2"/>
        </w:numPr>
        <w:spacing w:line="360" w:lineRule="auto"/>
        <w:rPr>
          <w:rFonts w:hint="eastAsia"/>
          <w:sz w:val="24"/>
        </w:rPr>
      </w:pPr>
      <w:r>
        <w:rPr>
          <w:rFonts w:hint="eastAsia" w:ascii="SimHei" w:hAnsi="SimHei" w:eastAsia="黑体"/>
          <w:sz w:val="24"/>
        </w:rPr>
        <w:t>规范化原则。实施年薪制的主要目的是将经营者的年薪收入规范化、制度化，取缔隐性收入。</w:t>
      </w:r>
    </w:p>
    <w:p>
      <w:pPr>
        <w:numPr>
          <w:ilvl w:val="0"/>
          <w:numId w:val="2"/>
        </w:numPr>
        <w:spacing w:line="360" w:lineRule="auto"/>
        <w:rPr>
          <w:rFonts w:hint="eastAsia"/>
          <w:sz w:val="24"/>
        </w:rPr>
      </w:pPr>
      <w:r>
        <w:rPr>
          <w:rFonts w:hint="eastAsia" w:ascii="SimHei" w:hAnsi="SimHei" w:eastAsia="黑体"/>
          <w:sz w:val="24"/>
        </w:rPr>
        <w:t>综合激励原则。固定收入与风险报酬、短期激励与长期激励、物质激励与精神激励相结合。</w:t>
      </w:r>
    </w:p>
    <w:p>
      <w:pPr>
        <w:pStyle w:val="2"/>
        <w:spacing w:beforeLines="0" w:afterLines="0"/>
        <w:rPr>
          <w:rFonts w:hint="eastAsia"/>
        </w:rPr>
      </w:pPr>
      <w:r>
        <w:rPr>
          <w:rFonts w:ascii="SimHei" w:hAnsi="SimHei" w:eastAsia="黑体"/>
          <w:b w:val="0"/>
          <w:sz w:val="32"/>
        </w:rPr>
      </w:r>
      <w:bookmarkStart w:id="13" w:name="_Toc81283101"/>
      <w:r>
        <w:rPr>
          <w:rFonts w:hint="eastAsia" w:ascii="SimHei" w:hAnsi="SimHei" w:eastAsia="黑体"/>
        </w:rPr>
        <w:t>第二章  基本年薪</w:t>
      </w:r>
      <w:bookmarkEnd w:id="13"/>
    </w:p>
    <w:p>
      <w:pPr>
        <w:numPr>
          <w:ilvl w:val="0"/>
          <w:numId w:val="1"/>
        </w:numPr>
        <w:tabs>
          <w:tab w:val="left" w:pos="1276"/>
        </w:tabs>
        <w:spacing w:line="360" w:lineRule="auto"/>
        <w:rPr>
          <w:rFonts w:hint="eastAsia"/>
          <w:sz w:val="24"/>
        </w:rPr>
      </w:pPr>
      <w:r>
        <w:rPr>
          <w:rFonts w:hint="eastAsia" w:ascii="SimHei" w:hAnsi="SimHei" w:eastAsia="黑体"/>
          <w:sz w:val="24"/>
        </w:rPr>
        <w:t>基本年薪的确定主要以企业经济规模和效益为基础，同时兼顾经营难度。</w:t>
      </w:r>
    </w:p>
    <w:p>
      <w:pPr>
        <w:numPr>
          <w:ilvl w:val="0"/>
          <w:numId w:val="1"/>
        </w:numPr>
        <w:spacing w:line="360" w:lineRule="auto"/>
        <w:rPr>
          <w:rFonts w:hint="eastAsia"/>
          <w:sz w:val="24"/>
        </w:rPr>
      </w:pPr>
      <w:r>
        <w:rPr>
          <w:rFonts w:hint="eastAsia" w:ascii="SimHei" w:hAnsi="SimHei" w:eastAsia="黑体"/>
          <w:sz w:val="24"/>
        </w:rPr>
        <w:t>基本年薪的核定公式如下：</w:t>
      </w:r>
    </w:p>
    <w:p>
      <w:pPr>
        <w:spacing w:line="360" w:lineRule="auto"/>
        <w:rPr>
          <w:rFonts w:hint="eastAsia"/>
          <w:sz w:val="24"/>
        </w:rPr>
      </w:pPr>
      <w:r>
        <w:rPr>
          <w:rFonts w:hint="eastAsia" w:ascii="SimHei" w:hAnsi="SimHei" w:eastAsia="黑体"/>
          <w:sz w:val="24"/>
        </w:rPr>
        <w:t>基本年薪</w:t>
      </w:r>
      <w:r>
        <w:rPr>
          <w:rFonts w:hint="eastAsia" w:ascii="SimHei" w:hAnsi="SimHei" w:eastAsia="黑体"/>
          <w:sz w:val="24"/>
        </w:rPr>
        <w:t>＝</w:t>
      </w:r>
      <w:r>
        <w:rPr>
          <w:rFonts w:hint="eastAsia" w:ascii="SimHei" w:hAnsi="SimHei" w:eastAsia="黑体"/>
          <w:sz w:val="24"/>
        </w:rPr>
        <w:t>基本年薪基数×企业级别系数×区域调节系数</w:t>
      </w:r>
    </w:p>
    <w:p>
      <w:pPr>
        <w:spacing w:line="360" w:lineRule="auto"/>
        <w:ind w:firstLine="484" w:firstLineChars="202"/>
        <w:rPr>
          <w:rFonts w:hint="eastAsia"/>
          <w:sz w:val="24"/>
        </w:rPr>
      </w:pPr>
      <w:r>
        <w:rPr>
          <w:rFonts w:hint="eastAsia" w:ascii="SimHei" w:hAnsi="SimHei" w:eastAsia="黑体"/>
          <w:sz w:val="24"/>
        </w:rPr>
        <w:t>其中，基本年薪基数根据</w:t>
      </w:r>
      <w:r>
        <w:rPr>
          <w:rFonts w:hint="eastAsia" w:ascii="SimHei" w:hAnsi="SimHei" w:eastAsia="黑体"/>
          <w:sz w:val="24"/>
          <w:lang w:eastAsia="zh-CN"/>
        </w:rPr>
        <w:t>_____</w:t>
      </w:r>
      <w:r>
        <w:rPr>
          <w:rFonts w:hint="eastAsia" w:ascii="SimHei" w:hAnsi="SimHei" w:eastAsia="黑体"/>
          <w:sz w:val="24"/>
        </w:rPr>
        <w:t>某集团副总经理基本年薪确定。</w:t>
      </w:r>
    </w:p>
    <w:p>
      <w:pPr>
        <w:spacing w:line="360" w:lineRule="auto"/>
        <w:ind w:firstLine="480" w:firstLineChars="200"/>
        <w:rPr>
          <w:rFonts w:hint="eastAsia"/>
          <w:sz w:val="24"/>
        </w:rPr>
      </w:pPr>
      <w:r>
        <w:rPr>
          <w:rFonts w:hint="eastAsia" w:ascii="SimHei" w:hAnsi="SimHei" w:eastAsia="黑体"/>
          <w:sz w:val="24"/>
        </w:rPr>
        <w:t>经营者基本年薪由本公司每年核定一次，核定办法详见“附件1：基本年薪实施细则。”</w:t>
      </w:r>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企业的级别系数根据级别得分分七级确定，对应关系见表1。</w:t>
      </w:r>
    </w:p>
    <w:p>
      <w:pPr>
        <w:spacing w:line="360" w:lineRule="auto"/>
        <w:jc w:val="center"/>
        <w:rPr>
          <w:rFonts w:hint="eastAsia"/>
          <w:sz w:val="24"/>
        </w:rPr>
      </w:pPr>
      <w:r>
        <w:rPr>
          <w:rFonts w:hint="eastAsia" w:ascii="SimHei" w:hAnsi="SimHei" w:eastAsia="黑体"/>
          <w:sz w:val="24"/>
        </w:rPr>
        <w:t>表1  企业级别得分与级别系数对应表</w:t>
      </w:r>
    </w:p>
    <w:tbl>
      <w:tblPr>
        <w:tblStyle w:val="6"/>
        <w:tblW w:w="0" w:type="auto"/>
        <w:tblInd w:w="6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446"/>
        <w:gridCol w:w="1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rPr>
                <w:sz w:val="24"/>
              </w:rPr>
            </w:pPr>
            <w:r>
              <w:rPr>
                <w:rFonts w:hint="eastAsia" w:ascii="SimHei" w:hAnsi="SimHei" w:eastAsia="黑体"/>
                <w:sz w:val="24"/>
              </w:rPr>
              <w:t>企业级别</w:t>
            </w:r>
          </w:p>
        </w:tc>
        <w:tc>
          <w:tcPr>
            <w:tcW w:w="3446" w:type="dxa"/>
            <w:noWrap w:val="0"/>
            <w:vAlign w:val="center"/>
          </w:tcPr>
          <w:p>
            <w:pPr>
              <w:spacing w:line="360" w:lineRule="auto"/>
              <w:jc w:val="center"/>
              <w:rPr>
                <w:sz w:val="24"/>
              </w:rPr>
            </w:pPr>
            <w:r>
              <w:rPr>
                <w:rFonts w:hint="eastAsia" w:ascii="SimHei" w:hAnsi="SimHei" w:eastAsia="黑体"/>
                <w:sz w:val="24"/>
              </w:rPr>
              <w:t>级别得分</w:t>
            </w:r>
          </w:p>
        </w:tc>
        <w:tc>
          <w:tcPr>
            <w:tcW w:w="1657" w:type="dxa"/>
            <w:noWrap w:val="0"/>
            <w:vAlign w:val="center"/>
          </w:tcPr>
          <w:p>
            <w:pPr>
              <w:spacing w:line="360" w:lineRule="auto"/>
              <w:jc w:val="center"/>
              <w:rPr>
                <w:sz w:val="24"/>
              </w:rPr>
            </w:pPr>
            <w:r>
              <w:rPr>
                <w:rFonts w:hint="eastAsia" w:ascii="SimHei" w:hAnsi="SimHei" w:eastAsia="黑体"/>
                <w:sz w:val="24"/>
              </w:rPr>
              <w:t>级别系数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pPr>
            <w:r>
              <w:rPr>
                <w:rFonts w:hint="eastAsia" w:ascii="SimHei" w:hAnsi="SimHei" w:eastAsia="黑体"/>
              </w:rPr>
              <w:t>1</w:t>
            </w:r>
          </w:p>
        </w:tc>
        <w:tc>
          <w:tcPr>
            <w:tcW w:w="3446" w:type="dxa"/>
            <w:noWrap w:val="0"/>
            <w:vAlign w:val="center"/>
          </w:tcPr>
          <w:p>
            <w:pPr>
              <w:spacing w:line="360" w:lineRule="auto"/>
              <w:jc w:val="center"/>
              <w:rPr>
                <w:rFonts w:hint="eastAsia"/>
              </w:rPr>
            </w:pPr>
            <w:r>
              <w:rPr>
                <w:rFonts w:hint="eastAsia" w:ascii="SimHei" w:hAnsi="SimHei" w:eastAsia="黑体"/>
              </w:rPr>
              <w:t>得分≥950</w:t>
            </w:r>
          </w:p>
        </w:tc>
        <w:tc>
          <w:tcPr>
            <w:tcW w:w="1657" w:type="dxa"/>
            <w:noWrap w:val="0"/>
            <w:vAlign w:val="center"/>
          </w:tcPr>
          <w:p>
            <w:pPr>
              <w:spacing w:line="360" w:lineRule="auto"/>
              <w:jc w:val="center"/>
              <w:rPr>
                <w:rFonts w:hint="eastAsia"/>
              </w:rPr>
            </w:pPr>
            <w:r>
              <w:rPr>
                <w:rFonts w:hint="eastAsia" w:ascii="SimHei" w:hAnsi="SimHei" w:eastAsia="黑体"/>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pPr>
            <w:r>
              <w:rPr>
                <w:rFonts w:hint="eastAsia" w:ascii="SimHei" w:hAnsi="SimHei" w:eastAsia="黑体"/>
              </w:rPr>
              <w:t>2</w:t>
            </w:r>
          </w:p>
        </w:tc>
        <w:tc>
          <w:tcPr>
            <w:tcW w:w="3446" w:type="dxa"/>
            <w:noWrap w:val="0"/>
            <w:vAlign w:val="center"/>
          </w:tcPr>
          <w:p>
            <w:pPr>
              <w:spacing w:line="360" w:lineRule="auto"/>
              <w:jc w:val="center"/>
            </w:pPr>
            <w:r>
              <w:rPr>
                <w:rFonts w:hint="eastAsia" w:ascii="SimHei" w:hAnsi="SimHei" w:eastAsia="黑体"/>
              </w:rPr>
              <w:t>850≤得分＜950</w:t>
            </w:r>
          </w:p>
        </w:tc>
        <w:tc>
          <w:tcPr>
            <w:tcW w:w="1657" w:type="dxa"/>
            <w:noWrap w:val="0"/>
            <w:vAlign w:val="center"/>
          </w:tcPr>
          <w:p>
            <w:pPr>
              <w:spacing w:line="360" w:lineRule="auto"/>
              <w:jc w:val="center"/>
            </w:pPr>
            <w:r>
              <w:rPr>
                <w:rFonts w:hint="eastAsia" w:ascii="SimHei" w:hAnsi="SimHei" w:eastAsia="黑体"/>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pPr>
            <w:r>
              <w:rPr>
                <w:rFonts w:hint="eastAsia" w:ascii="SimHei" w:hAnsi="SimHei" w:eastAsia="黑体"/>
              </w:rPr>
              <w:t>3</w:t>
            </w:r>
          </w:p>
        </w:tc>
        <w:tc>
          <w:tcPr>
            <w:tcW w:w="3446" w:type="dxa"/>
            <w:noWrap w:val="0"/>
            <w:vAlign w:val="center"/>
          </w:tcPr>
          <w:p>
            <w:pPr>
              <w:spacing w:line="360" w:lineRule="auto"/>
              <w:jc w:val="center"/>
            </w:pPr>
            <w:r>
              <w:rPr>
                <w:rFonts w:hint="eastAsia" w:ascii="SimHei" w:hAnsi="SimHei" w:eastAsia="黑体"/>
              </w:rPr>
              <w:t>6</w:t>
            </w:r>
            <w:bookmarkStart w:id="34" w:name="_GoBack"/>
            <w:bookmarkEnd w:id="34"/>
            <w:r>
              <w:rPr>
                <w:rFonts w:hint="eastAsia" w:ascii="SimHei" w:hAnsi="SimHei" w:eastAsia="黑体"/>
              </w:rPr>
              <w:t>00≤得分＜850</w:t>
            </w:r>
          </w:p>
        </w:tc>
        <w:tc>
          <w:tcPr>
            <w:tcW w:w="1657" w:type="dxa"/>
            <w:noWrap w:val="0"/>
            <w:vAlign w:val="center"/>
          </w:tcPr>
          <w:p>
            <w:pPr>
              <w:spacing w:line="360" w:lineRule="auto"/>
              <w:jc w:val="center"/>
            </w:pPr>
            <w:r>
              <w:rPr>
                <w:rFonts w:hint="eastAsia" w:ascii="SimHei" w:hAnsi="SimHei" w:eastAsia="黑体"/>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pPr>
            <w:r>
              <w:rPr>
                <w:rFonts w:hint="eastAsia" w:ascii="SimHei" w:hAnsi="SimHei" w:eastAsia="黑体"/>
              </w:rPr>
              <w:t>4</w:t>
            </w:r>
          </w:p>
        </w:tc>
        <w:tc>
          <w:tcPr>
            <w:tcW w:w="3446" w:type="dxa"/>
            <w:noWrap w:val="0"/>
            <w:vAlign w:val="center"/>
          </w:tcPr>
          <w:p>
            <w:pPr>
              <w:spacing w:line="360" w:lineRule="auto"/>
              <w:jc w:val="center"/>
            </w:pPr>
            <w:r>
              <w:rPr>
                <w:rFonts w:hint="eastAsia" w:ascii="SimHei" w:hAnsi="SimHei" w:eastAsia="黑体"/>
              </w:rPr>
              <w:t>400≤得分＜600</w:t>
            </w:r>
          </w:p>
        </w:tc>
        <w:tc>
          <w:tcPr>
            <w:tcW w:w="1657" w:type="dxa"/>
            <w:noWrap w:val="0"/>
            <w:vAlign w:val="center"/>
          </w:tcPr>
          <w:p>
            <w:pPr>
              <w:spacing w:line="360" w:lineRule="auto"/>
              <w:jc w:val="center"/>
            </w:pPr>
            <w:r>
              <w:rPr>
                <w:rFonts w:hint="eastAsia" w:ascii="SimHei" w:hAnsi="SimHei" w:eastAsia="黑体"/>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pPr>
            <w:r>
              <w:rPr>
                <w:rFonts w:hint="eastAsia" w:ascii="SimHei" w:hAnsi="SimHei" w:eastAsia="黑体"/>
              </w:rPr>
              <w:t>5</w:t>
            </w:r>
          </w:p>
        </w:tc>
        <w:tc>
          <w:tcPr>
            <w:tcW w:w="3446" w:type="dxa"/>
            <w:noWrap w:val="0"/>
            <w:vAlign w:val="center"/>
          </w:tcPr>
          <w:p>
            <w:pPr>
              <w:spacing w:line="360" w:lineRule="auto"/>
              <w:jc w:val="center"/>
            </w:pPr>
            <w:r>
              <w:rPr>
                <w:rFonts w:hint="eastAsia" w:ascii="SimHei" w:hAnsi="SimHei" w:eastAsia="黑体"/>
              </w:rPr>
              <w:t>200≤得分＜400</w:t>
            </w:r>
          </w:p>
        </w:tc>
        <w:tc>
          <w:tcPr>
            <w:tcW w:w="1657" w:type="dxa"/>
            <w:noWrap w:val="0"/>
            <w:vAlign w:val="center"/>
          </w:tcPr>
          <w:p>
            <w:pPr>
              <w:spacing w:line="360" w:lineRule="auto"/>
              <w:jc w:val="center"/>
            </w:pPr>
            <w:r>
              <w:rPr>
                <w:rFonts w:hint="eastAsia" w:ascii="SimHei" w:hAnsi="SimHei" w:eastAsia="黑体"/>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rPr>
                <w:rFonts w:hint="eastAsia"/>
              </w:rPr>
            </w:pPr>
            <w:r>
              <w:rPr>
                <w:rFonts w:hint="eastAsia" w:ascii="SimHei" w:hAnsi="SimHei" w:eastAsia="黑体"/>
              </w:rPr>
              <w:t>6</w:t>
            </w:r>
          </w:p>
        </w:tc>
        <w:tc>
          <w:tcPr>
            <w:tcW w:w="3446" w:type="dxa"/>
            <w:noWrap w:val="0"/>
            <w:vAlign w:val="center"/>
          </w:tcPr>
          <w:p>
            <w:pPr>
              <w:spacing w:line="360" w:lineRule="auto"/>
              <w:jc w:val="center"/>
            </w:pPr>
            <w:r>
              <w:rPr>
                <w:rFonts w:hint="eastAsia" w:ascii="SimHei" w:hAnsi="SimHei" w:eastAsia="黑体"/>
              </w:rPr>
              <w:t>100≤得分＜200</w:t>
            </w:r>
          </w:p>
        </w:tc>
        <w:tc>
          <w:tcPr>
            <w:tcW w:w="1657" w:type="dxa"/>
            <w:noWrap w:val="0"/>
            <w:vAlign w:val="center"/>
          </w:tcPr>
          <w:p>
            <w:pPr>
              <w:spacing w:line="360" w:lineRule="auto"/>
              <w:jc w:val="center"/>
              <w:rPr>
                <w:rFonts w:hint="eastAsia"/>
              </w:rPr>
            </w:pPr>
            <w:r>
              <w:rPr>
                <w:rFonts w:hint="eastAsia" w:ascii="SimHei" w:hAnsi="SimHei" w:eastAsia="黑体"/>
              </w:rPr>
              <w:t>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60" w:type="dxa"/>
            <w:noWrap w:val="0"/>
            <w:vAlign w:val="center"/>
          </w:tcPr>
          <w:p>
            <w:pPr>
              <w:spacing w:line="360" w:lineRule="auto"/>
              <w:jc w:val="center"/>
              <w:rPr>
                <w:rFonts w:hint="eastAsia"/>
              </w:rPr>
            </w:pPr>
            <w:r>
              <w:rPr>
                <w:rFonts w:hint="eastAsia" w:ascii="SimHei" w:hAnsi="SimHei" w:eastAsia="黑体"/>
              </w:rPr>
              <w:t>7</w:t>
            </w:r>
          </w:p>
        </w:tc>
        <w:tc>
          <w:tcPr>
            <w:tcW w:w="3446" w:type="dxa"/>
            <w:noWrap w:val="0"/>
            <w:vAlign w:val="center"/>
          </w:tcPr>
          <w:p>
            <w:pPr>
              <w:spacing w:line="360" w:lineRule="auto"/>
              <w:jc w:val="center"/>
            </w:pPr>
            <w:r>
              <w:rPr>
                <w:rFonts w:hint="eastAsia" w:ascii="SimHei" w:hAnsi="SimHei" w:eastAsia="黑体"/>
              </w:rPr>
              <w:t>得分＜100</w:t>
            </w:r>
          </w:p>
        </w:tc>
        <w:tc>
          <w:tcPr>
            <w:tcW w:w="1657" w:type="dxa"/>
            <w:noWrap w:val="0"/>
            <w:vAlign w:val="center"/>
          </w:tcPr>
          <w:p>
            <w:pPr>
              <w:spacing w:line="360" w:lineRule="auto"/>
              <w:jc w:val="center"/>
              <w:rPr>
                <w:rFonts w:hint="eastAsia"/>
              </w:rPr>
            </w:pPr>
            <w:r>
              <w:rPr>
                <w:rFonts w:hint="eastAsia" w:ascii="SimHei" w:hAnsi="SimHei" w:eastAsia="黑体"/>
              </w:rPr>
              <w:t>0.9</w:t>
            </w:r>
          </w:p>
        </w:tc>
      </w:tr>
    </w:tbl>
    <w:p>
      <w:pPr>
        <w:spacing w:line="360" w:lineRule="auto"/>
        <w:rPr>
          <w:rFonts w:hint="eastAsia" w:ascii="宋体" w:hAnsi="宋体"/>
          <w:szCs w:val="21"/>
        </w:rPr>
      </w:pPr>
      <w:r>
        <w:rPr>
          <w:rFonts w:hint="eastAsia" w:ascii="SimHei" w:hAnsi="SimHei" w:eastAsia="黑体"/>
          <w:szCs w:val="21"/>
        </w:rPr>
        <w:t>注：企业级别最高得分为1000分，各项指标的名称、权重及得分见“附件1：基本年薪实施细则”。</w:t>
      </w:r>
    </w:p>
    <w:p>
      <w:pPr>
        <w:spacing w:line="360" w:lineRule="auto"/>
        <w:ind w:firstLine="435"/>
        <w:rPr>
          <w:rFonts w:hint="eastAsia"/>
          <w:sz w:val="24"/>
        </w:rPr>
      </w:pPr>
      <w:r>
        <w:rPr>
          <w:rFonts w:hint="eastAsia" w:ascii="SimHei" w:hAnsi="SimHei" w:eastAsia="黑体"/>
          <w:sz w:val="24"/>
        </w:rPr>
        <w:t>企业级别得分根据总资产、净资产、主营业务收入总额、利润总额等4项指标综合计算。经营者新接任的企业若由董事会认定为经营难度大的企业，经董事会批准其级别系数可酌情给予适当提升；一旦企业进入正常经营期，企业级别则按规定计算。</w:t>
      </w:r>
    </w:p>
    <w:p>
      <w:pPr>
        <w:numPr>
          <w:ilvl w:val="0"/>
          <w:numId w:val="1"/>
        </w:numPr>
        <w:tabs>
          <w:tab w:val="left" w:pos="0"/>
          <w:tab w:val="clear" w:pos="750"/>
        </w:tabs>
        <w:spacing w:line="360" w:lineRule="auto"/>
        <w:ind w:left="0" w:firstLine="0"/>
        <w:rPr>
          <w:rFonts w:hint="eastAsia"/>
          <w:sz w:val="24"/>
        </w:rPr>
      </w:pPr>
      <w:r>
        <w:rPr>
          <w:rFonts w:hint="eastAsia" w:ascii="SimHei" w:hAnsi="SimHei" w:eastAsia="黑体"/>
          <w:sz w:val="24"/>
        </w:rPr>
        <w:t>企业的区域调节系数根据企业所在区域确定，对应关系如下表：</w:t>
      </w:r>
    </w:p>
    <w:p>
      <w:pPr>
        <w:spacing w:line="360" w:lineRule="auto"/>
        <w:jc w:val="center"/>
        <w:rPr>
          <w:rFonts w:hint="eastAsia"/>
          <w:sz w:val="24"/>
        </w:rPr>
      </w:pPr>
      <w:r>
        <w:rPr>
          <w:rFonts w:hint="eastAsia" w:ascii="SimHei" w:hAnsi="SimHei" w:eastAsia="黑体"/>
          <w:sz w:val="24"/>
        </w:rPr>
        <w:t>表2  区域调节系数对应表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28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区域</w:t>
            </w:r>
          </w:p>
        </w:tc>
        <w:tc>
          <w:tcPr>
            <w:tcW w:w="2847" w:type="dxa"/>
            <w:noWrap w:val="0"/>
            <w:vAlign w:val="top"/>
          </w:tcPr>
          <w:p>
            <w:pPr>
              <w:spacing w:line="360" w:lineRule="auto"/>
              <w:jc w:val="center"/>
              <w:rPr>
                <w:rFonts w:hint="eastAsia"/>
                <w:sz w:val="24"/>
              </w:rPr>
            </w:pPr>
            <w:r>
              <w:rPr>
                <w:rFonts w:hint="eastAsia" w:ascii="SimHei" w:hAnsi="SimHei" w:eastAsia="黑体"/>
                <w:sz w:val="24"/>
              </w:rPr>
              <w:t>区域调节系数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省内</w:t>
            </w:r>
          </w:p>
        </w:tc>
        <w:tc>
          <w:tcPr>
            <w:tcW w:w="2847" w:type="dxa"/>
            <w:noWrap w:val="0"/>
            <w:vAlign w:val="top"/>
          </w:tcPr>
          <w:p>
            <w:pPr>
              <w:spacing w:line="360" w:lineRule="auto"/>
              <w:jc w:val="center"/>
              <w:rPr>
                <w:rFonts w:hint="eastAsia"/>
                <w:sz w:val="24"/>
              </w:rPr>
            </w:pPr>
            <w:r>
              <w:rPr>
                <w:rFonts w:hint="eastAsia" w:ascii="SimHei" w:hAnsi="SimHei" w:eastAsia="黑体"/>
                <w:sz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省外</w:t>
            </w:r>
          </w:p>
        </w:tc>
        <w:tc>
          <w:tcPr>
            <w:tcW w:w="2847" w:type="dxa"/>
            <w:noWrap w:val="0"/>
            <w:vAlign w:val="top"/>
          </w:tcPr>
          <w:p>
            <w:pPr>
              <w:spacing w:line="360" w:lineRule="auto"/>
              <w:jc w:val="center"/>
              <w:rPr>
                <w:sz w:val="24"/>
              </w:rPr>
            </w:pPr>
            <w:r>
              <w:rPr>
                <w:rFonts w:hint="eastAsia" w:ascii="SimHei" w:hAnsi="SimHei" w:eastAsia="黑体"/>
                <w:sz w:val="24"/>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香港、澳门</w:t>
            </w:r>
          </w:p>
        </w:tc>
        <w:tc>
          <w:tcPr>
            <w:tcW w:w="2847" w:type="dxa"/>
            <w:noWrap w:val="0"/>
            <w:vAlign w:val="top"/>
          </w:tcPr>
          <w:p>
            <w:pPr>
              <w:spacing w:line="360" w:lineRule="auto"/>
              <w:jc w:val="center"/>
              <w:rPr>
                <w:rFonts w:hint="eastAsia"/>
                <w:sz w:val="24"/>
              </w:rPr>
            </w:pPr>
            <w:r>
              <w:rPr>
                <w:rFonts w:hint="eastAsia" w:ascii="SimHei" w:hAnsi="SimHei" w:eastAsia="黑体"/>
                <w:sz w:val="24"/>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台湾、国外</w:t>
            </w:r>
          </w:p>
        </w:tc>
        <w:tc>
          <w:tcPr>
            <w:tcW w:w="2847" w:type="dxa"/>
            <w:noWrap w:val="0"/>
            <w:vAlign w:val="top"/>
          </w:tcPr>
          <w:p>
            <w:pPr>
              <w:spacing w:line="360" w:lineRule="auto"/>
              <w:jc w:val="center"/>
              <w:rPr>
                <w:rFonts w:hint="eastAsia"/>
                <w:sz w:val="24"/>
              </w:rPr>
            </w:pPr>
            <w:r>
              <w:rPr>
                <w:rFonts w:hint="eastAsia" w:ascii="SimHei" w:hAnsi="SimHei" w:eastAsia="黑体"/>
                <w:sz w:val="24"/>
              </w:rPr>
              <w:t>1.3</w:t>
            </w:r>
          </w:p>
        </w:tc>
      </w:tr>
    </w:tbl>
    <w:p>
      <w:pPr>
        <w:pStyle w:val="2"/>
        <w:spacing w:beforeLines="0" w:afterLines="0"/>
        <w:rPr>
          <w:rFonts w:hint="eastAsia"/>
        </w:rPr>
      </w:pPr>
      <w:bookmarkStart w:id="14" w:name="_Toc81283102"/>
      <w:r>
        <w:rPr>
          <w:rFonts w:hint="eastAsia" w:ascii="SimHei" w:hAnsi="SimHei" w:eastAsia="黑体"/>
        </w:rPr>
        <w:t>第三章  效益年薪</w:t>
      </w:r>
      <w:bookmarkEnd w:id="14"/>
      <w:bookmarkStart w:id="15" w:name="_Hlt81298438"/>
      <w:bookmarkEnd w:id="15"/>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经营者效益年薪主要通过考核企业经营者的业绩来确定，与企业的经济效益紧密挂钩。</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当应计经营性净资产增值额（定义见附件2表2）为正值时，效益年薪公式如下：</w:t>
      </w:r>
    </w:p>
    <w:p>
      <w:pPr>
        <w:spacing w:line="360" w:lineRule="auto"/>
        <w:ind w:firstLine="1440" w:firstLineChars="600"/>
        <w:rPr>
          <w:rFonts w:hint="eastAsia"/>
          <w:sz w:val="24"/>
        </w:rPr>
      </w:pPr>
      <w:r>
        <w:rPr>
          <w:rFonts w:hint="eastAsia" w:ascii="SimHei" w:hAnsi="SimHei" w:eastAsia="黑体"/>
          <w:sz w:val="24"/>
        </w:rPr>
        <w:t>效益年薪</w:t>
      </w:r>
      <w:r>
        <w:rPr>
          <w:rFonts w:hint="eastAsia" w:ascii="SimHei" w:hAnsi="SimHei" w:eastAsia="黑体"/>
          <w:sz w:val="24"/>
        </w:rPr>
        <w:t>＝</w:t>
      </w:r>
      <w:r>
        <w:rPr>
          <w:rFonts w:hint="eastAsia" w:ascii="SimHei" w:hAnsi="SimHei" w:eastAsia="黑体"/>
          <w:sz w:val="24"/>
        </w:rPr>
        <w:t>效益年薪基数×调节系数×综合评价系数</w:t>
      </w:r>
    </w:p>
    <w:p>
      <w:pPr>
        <w:spacing w:line="360" w:lineRule="auto"/>
        <w:rPr>
          <w:rFonts w:hint="eastAsia"/>
          <w:sz w:val="24"/>
        </w:rPr>
      </w:pPr>
      <w:r>
        <w:rPr>
          <w:rFonts w:hint="eastAsia" w:ascii="SimHei" w:hAnsi="SimHei" w:eastAsia="黑体"/>
          <w:sz w:val="24"/>
        </w:rPr>
        <w:t>效益年薪的具体核定办法见“附件2：效益年薪实施细则”。</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当应计经营性资产增值额为负值的企业，则应计算挂账效益年薪，其计算公式如下：</w:t>
      </w:r>
    </w:p>
    <w:p>
      <w:pPr>
        <w:tabs>
          <w:tab w:val="left" w:pos="993"/>
        </w:tabs>
        <w:spacing w:line="360" w:lineRule="auto"/>
        <w:ind w:firstLine="435"/>
        <w:rPr>
          <w:rFonts w:hint="eastAsia"/>
          <w:sz w:val="24"/>
        </w:rPr>
      </w:pPr>
      <w:r>
        <w:rPr>
          <w:rFonts w:hint="eastAsia" w:ascii="SimHei" w:hAnsi="SimHei" w:eastAsia="黑体"/>
          <w:sz w:val="24"/>
        </w:rPr>
        <w:t>挂账效益年薪</w:t>
      </w:r>
      <w:r>
        <w:rPr>
          <w:rFonts w:hint="eastAsia" w:ascii="SimHei" w:hAnsi="SimHei" w:eastAsia="黑体"/>
          <w:sz w:val="24"/>
        </w:rPr>
        <w:t>＝</w:t>
      </w:r>
      <w:r>
        <w:rPr>
          <w:rFonts w:hint="eastAsia" w:ascii="SimHei" w:hAnsi="SimHei" w:eastAsia="黑体"/>
          <w:sz w:val="24"/>
        </w:rPr>
        <w:t>（挂账效益年薪基</w:t>
      </w:r>
      <w:r>
        <w:rPr>
          <w:rFonts w:hint="eastAsia" w:ascii="SimHei" w:hAnsi="SimHei" w:eastAsia="黑体"/>
          <w:sz w:val="24"/>
        </w:rPr>
        <w:t>数／</w:t>
      </w:r>
      <w:r>
        <w:rPr>
          <w:rFonts w:hint="eastAsia" w:ascii="SimHei" w:hAnsi="SimHei" w:eastAsia="黑体"/>
          <w:sz w:val="24"/>
        </w:rPr>
        <w:t>综合评价系数）×折扣评价系数</w:t>
      </w:r>
    </w:p>
    <w:p>
      <w:pPr>
        <w:tabs>
          <w:tab w:val="left" w:pos="993"/>
        </w:tabs>
        <w:spacing w:line="360" w:lineRule="auto"/>
        <w:rPr>
          <w:rFonts w:hint="eastAsia"/>
          <w:sz w:val="24"/>
        </w:rPr>
      </w:pPr>
      <w:r>
        <w:rPr>
          <w:rFonts w:hint="eastAsia" w:ascii="SimHei" w:hAnsi="SimHei" w:eastAsia="黑体"/>
          <w:sz w:val="24"/>
        </w:rPr>
        <w:t>其中，挂账效益年薪基数按应计经营性净资产增值额的绝对值，参照第二十条的计算方法确定，在试行期间折扣系数为0.3，需要变更时由董事会决定。</w:t>
      </w:r>
    </w:p>
    <w:p>
      <w:pPr>
        <w:numPr>
          <w:ilvl w:val="0"/>
          <w:numId w:val="1"/>
        </w:numPr>
        <w:tabs>
          <w:tab w:val="left" w:pos="0"/>
          <w:tab w:val="left" w:pos="1276"/>
          <w:tab w:val="clear" w:pos="750"/>
        </w:tabs>
        <w:spacing w:line="360" w:lineRule="auto"/>
        <w:ind w:left="0" w:firstLine="0"/>
        <w:rPr>
          <w:rFonts w:hint="eastAsia" w:ascii="宋体" w:hAnsi="宋体"/>
          <w:sz w:val="24"/>
        </w:rPr>
      </w:pPr>
      <w:r>
        <w:rPr>
          <w:rFonts w:hint="eastAsia" w:ascii="SimHei" w:hAnsi="SimHei" w:eastAsia="黑体"/>
          <w:sz w:val="24"/>
        </w:rPr>
        <w:t>效益年薪基数按照应计经营性净资产增值额的八级超额累退法计算。计算公式：     效益年薪基数</w:t>
      </w:r>
      <w:r>
        <w:rPr>
          <w:rFonts w:hint="eastAsia" w:ascii="SimHei" w:hAnsi="SimHei" w:eastAsia="黑体"/>
          <w:sz w:val="24"/>
        </w:rPr>
        <w:t>＝∑（A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w:t>
      </w:r>
    </w:p>
    <w:p>
      <w:pPr>
        <w:tabs>
          <w:tab w:val="left" w:pos="993"/>
        </w:tabs>
        <w:spacing w:line="360" w:lineRule="auto"/>
        <w:rPr>
          <w:rFonts w:hint="eastAsia"/>
          <w:sz w:val="24"/>
        </w:rPr>
      </w:pPr>
      <w:r>
        <w:rPr>
          <w:rFonts w:hint="eastAsia" w:ascii="SimHei" w:hAnsi="SimHei" w:eastAsia="黑体"/>
          <w:sz w:val="24"/>
        </w:rPr>
        <w:t>其中，A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的对应关系见附件2（表1）。</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效益年薪调节系数的计算公式如下：</w:t>
      </w:r>
    </w:p>
    <w:p>
      <w:pPr>
        <w:numPr>
          <w:ilvl w:val="0"/>
          <w:numId w:val="3"/>
        </w:numPr>
        <w:tabs>
          <w:tab w:val="left" w:pos="993"/>
        </w:tabs>
        <w:spacing w:line="360" w:lineRule="auto"/>
        <w:rPr>
          <w:rFonts w:hint="eastAsia"/>
          <w:sz w:val="24"/>
        </w:rPr>
      </w:pPr>
      <w:r>
        <w:rPr>
          <w:rFonts w:hint="eastAsia" w:ascii="SimHei" w:hAnsi="SimHei" w:eastAsia="黑体"/>
          <w:sz w:val="24"/>
        </w:rPr>
        <w:t>当调整后净资产收益率≥5%时，调节系数</w:t>
      </w:r>
      <w:r>
        <w:rPr>
          <w:rFonts w:hint="eastAsia" w:ascii="SimHei" w:hAnsi="SimHei" w:eastAsia="黑体"/>
          <w:sz w:val="24"/>
        </w:rPr>
        <w:t>＝</w:t>
      </w:r>
      <w:r>
        <w:rPr>
          <w:rFonts w:hint="eastAsia" w:ascii="SimHei" w:hAnsi="SimHei" w:eastAsia="黑体"/>
          <w:sz w:val="24"/>
        </w:rPr>
        <w:t>增值目标完成</w:t>
      </w:r>
      <w:r>
        <w:rPr>
          <w:rFonts w:hint="eastAsia" w:ascii="SimHei" w:hAnsi="SimHei" w:eastAsia="黑体"/>
          <w:sz w:val="24"/>
        </w:rPr>
        <w:t>数＋</w:t>
      </w:r>
      <w:r>
        <w:rPr>
          <w:rFonts w:hint="eastAsia" w:ascii="SimHei" w:hAnsi="SimHei" w:eastAsia="黑体"/>
          <w:sz w:val="24"/>
        </w:rPr>
        <w:t>10×（调整后净资产收益</w:t>
      </w:r>
      <w:r>
        <w:rPr>
          <w:rFonts w:hint="eastAsia" w:ascii="SimHei" w:hAnsi="SimHei" w:eastAsia="黑体"/>
          <w:sz w:val="24"/>
        </w:rPr>
        <w:t>率－5%</w:t>
      </w:r>
      <w:r>
        <w:rPr>
          <w:rFonts w:hint="eastAsia" w:ascii="SimHei" w:hAnsi="SimHei" w:eastAsia="黑体"/>
          <w:sz w:val="24"/>
        </w:rPr>
        <w:t>），但调节系数不超2.0。</w:t>
      </w:r>
    </w:p>
    <w:p>
      <w:pPr>
        <w:numPr>
          <w:ilvl w:val="0"/>
          <w:numId w:val="3"/>
        </w:numPr>
        <w:tabs>
          <w:tab w:val="left" w:pos="993"/>
        </w:tabs>
        <w:spacing w:line="360" w:lineRule="auto"/>
        <w:rPr>
          <w:rFonts w:hint="eastAsia"/>
          <w:sz w:val="24"/>
        </w:rPr>
      </w:pPr>
      <w:r>
        <w:rPr>
          <w:rFonts w:hint="eastAsia" w:ascii="SimHei" w:hAnsi="SimHei" w:eastAsia="黑体"/>
          <w:sz w:val="24"/>
        </w:rPr>
        <w:t>当调整后资产收益率＜5%时，调节系数</w:t>
      </w:r>
      <w:r>
        <w:rPr>
          <w:rFonts w:hint="eastAsia" w:ascii="SimHei" w:hAnsi="SimHei" w:eastAsia="黑体"/>
          <w:sz w:val="24"/>
        </w:rPr>
        <w:t>＝</w:t>
      </w:r>
      <w:r>
        <w:rPr>
          <w:rFonts w:hint="eastAsia" w:ascii="SimHei" w:hAnsi="SimHei" w:eastAsia="黑体"/>
          <w:sz w:val="24"/>
        </w:rPr>
        <w:t>增值目标完成系数</w:t>
      </w:r>
      <w:r>
        <w:rPr>
          <w:rFonts w:hint="eastAsia" w:ascii="SimHei" w:hAnsi="SimHei" w:eastAsia="黑体"/>
          <w:sz w:val="24"/>
        </w:rPr>
        <w:t>＋5</w:t>
      </w:r>
      <w:r>
        <w:rPr>
          <w:rFonts w:hint="eastAsia" w:ascii="SimHei" w:hAnsi="SimHei" w:eastAsia="黑体"/>
          <w:sz w:val="24"/>
        </w:rPr>
        <w:t>×（调整后净资产收益</w:t>
      </w:r>
      <w:r>
        <w:rPr>
          <w:rFonts w:hint="eastAsia" w:ascii="SimHei" w:hAnsi="SimHei" w:eastAsia="黑体"/>
          <w:sz w:val="24"/>
        </w:rPr>
        <w:t>率－5%</w:t>
      </w:r>
      <w:r>
        <w:rPr>
          <w:rFonts w:hint="eastAsia" w:ascii="SimHei" w:hAnsi="SimHei" w:eastAsia="黑体"/>
          <w:sz w:val="24"/>
        </w:rPr>
        <w:t>），但调节系数不小于0。</w:t>
      </w:r>
    </w:p>
    <w:p>
      <w:pPr>
        <w:tabs>
          <w:tab w:val="left" w:pos="993"/>
        </w:tabs>
        <w:spacing w:line="360" w:lineRule="auto"/>
        <w:ind w:left="435"/>
        <w:rPr>
          <w:rFonts w:hint="eastAsia"/>
          <w:sz w:val="24"/>
        </w:rPr>
      </w:pPr>
      <w:r>
        <w:rPr>
          <w:rFonts w:hint="eastAsia" w:ascii="SimHei" w:hAnsi="SimHei" w:eastAsia="黑体"/>
          <w:sz w:val="24"/>
        </w:rPr>
        <w:t>上面两条中的增值目标完成系数和调整后净资产收益率计算方法见附件2。</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效益年薪综合评价系数根据四类指标（财务效益状况、发展能力状况、资产运营状况和偿债能力状况指标）确定，其计算公司如下：</w:t>
      </w:r>
    </w:p>
    <w:p>
      <w:pPr>
        <w:tabs>
          <w:tab w:val="left" w:pos="993"/>
        </w:tabs>
        <w:spacing w:line="360" w:lineRule="auto"/>
        <w:ind w:firstLine="1872" w:firstLineChars="780"/>
        <w:rPr>
          <w:rFonts w:hint="eastAsia" w:ascii="宋体" w:hAnsi="宋体"/>
          <w:sz w:val="24"/>
        </w:rPr>
      </w:pPr>
      <w:r>
        <w:rPr>
          <w:rFonts w:hint="eastAsia" w:ascii="SimHei" w:hAnsi="SimHei" w:eastAsia="黑体"/>
          <w:sz w:val="24"/>
        </w:rPr>
        <w:t>综合评价系</w:t>
      </w:r>
      <w:r>
        <w:rPr>
          <w:rFonts w:hint="eastAsia" w:ascii="SimHei" w:hAnsi="SimHei" w:eastAsia="黑体"/>
          <w:sz w:val="24"/>
        </w:rPr>
        <w:t>数＝∑各考核指标的评价系数</w:t>
      </w:r>
    </w:p>
    <w:p>
      <w:pPr>
        <w:tabs>
          <w:tab w:val="left" w:pos="993"/>
        </w:tabs>
        <w:spacing w:line="360" w:lineRule="auto"/>
        <w:ind w:firstLine="435"/>
        <w:rPr>
          <w:rFonts w:hint="eastAsia"/>
          <w:sz w:val="24"/>
        </w:rPr>
      </w:pPr>
      <w:r>
        <w:rPr>
          <w:rFonts w:hint="eastAsia" w:ascii="SimHei" w:hAnsi="SimHei" w:eastAsia="黑体"/>
          <w:sz w:val="24"/>
        </w:rPr>
        <w:t>其中，考核指标评价系数＝指标权重</w:t>
      </w:r>
      <w:r>
        <w:rPr>
          <w:rFonts w:hint="eastAsia" w:ascii="SimHei" w:hAnsi="SimHei" w:eastAsia="黑体"/>
          <w:sz w:val="24"/>
        </w:rPr>
        <w:t>×（指标实际完成</w:t>
      </w:r>
      <w:r>
        <w:rPr>
          <w:rFonts w:hint="eastAsia" w:ascii="SimHei" w:hAnsi="SimHei" w:eastAsia="黑体"/>
          <w:sz w:val="24"/>
        </w:rPr>
        <w:t>值／</w:t>
      </w:r>
      <w:r>
        <w:rPr>
          <w:rFonts w:hint="eastAsia" w:ascii="SimHei" w:hAnsi="SimHei" w:eastAsia="黑体"/>
          <w:sz w:val="24"/>
        </w:rPr>
        <w:t>目标值），各参考指标及评价系数具体计算见附件2（表3）。</w:t>
      </w:r>
    </w:p>
    <w:p>
      <w:pPr>
        <w:tabs>
          <w:tab w:val="left" w:pos="993"/>
        </w:tabs>
        <w:spacing w:line="360" w:lineRule="auto"/>
        <w:ind w:firstLine="435"/>
        <w:rPr>
          <w:rFonts w:hint="eastAsia"/>
          <w:sz w:val="24"/>
        </w:rPr>
      </w:pPr>
      <w:r>
        <w:rPr>
          <w:rFonts w:hint="eastAsia" w:ascii="SimHei" w:hAnsi="SimHei" w:eastAsia="黑体"/>
          <w:sz w:val="24"/>
        </w:rPr>
        <w:t>挂账效益年薪应从以后年度的效益年薪中抵补。若企业连续3年出现挂账年薪，董事会可解聘经营者职务或采取其它措施。经营者离任时的挂账效益年薪的具体处理办法见“附件4：考核实施细则”。</w:t>
      </w:r>
    </w:p>
    <w:p>
      <w:pPr>
        <w:pStyle w:val="2"/>
        <w:spacing w:beforeLines="0" w:afterLines="0"/>
        <w:rPr>
          <w:rFonts w:hint="eastAsia"/>
        </w:rPr>
      </w:pPr>
      <w:bookmarkStart w:id="16" w:name="_Toc81283103"/>
      <w:r>
        <w:rPr>
          <w:rFonts w:hint="eastAsia" w:ascii="SimHei" w:hAnsi="SimHei" w:eastAsia="黑体"/>
        </w:rPr>
        <w:t>第四章  长期激励收入</w:t>
      </w:r>
      <w:bookmarkEnd w:id="16"/>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对任期年限3年以上（含3年）的经营者实施长期激励收入制度。</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长期激励收入制度的设立是为了防止经营者的短期行为，鼓励经营者不断创新，提高企业的市场竞争力和促进企业良性发展。长期激励收入是以离任审计结果为基础对任期年限三年以上（含三年）的经营者的经营业绩进行一次综合评价而确定。</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长期激励考核奖励额度的计算公式如下：</w:t>
      </w:r>
    </w:p>
    <w:p>
      <w:pPr>
        <w:tabs>
          <w:tab w:val="left" w:pos="993"/>
        </w:tabs>
        <w:spacing w:line="360" w:lineRule="auto"/>
        <w:ind w:firstLine="1392" w:firstLineChars="580"/>
        <w:rPr>
          <w:rFonts w:hint="eastAsia"/>
          <w:sz w:val="24"/>
        </w:rPr>
      </w:pPr>
      <w:r>
        <w:rPr>
          <w:rFonts w:hint="eastAsia" w:ascii="SimHei" w:hAnsi="SimHei" w:eastAsia="黑体"/>
          <w:sz w:val="24"/>
        </w:rPr>
        <w:t>长期激励收入</w:t>
      </w:r>
      <w:r>
        <w:rPr>
          <w:rFonts w:hint="eastAsia" w:ascii="SimHei" w:hAnsi="SimHei" w:eastAsia="黑体"/>
          <w:sz w:val="24"/>
        </w:rPr>
        <w:t>＝长期奖励基数</w:t>
      </w:r>
      <w:r>
        <w:rPr>
          <w:rFonts w:hint="eastAsia" w:ascii="SimHei" w:hAnsi="SimHei" w:eastAsia="黑体"/>
          <w:sz w:val="24"/>
        </w:rPr>
        <w:t>×长期评价系数×n</w:t>
      </w:r>
    </w:p>
    <w:p>
      <w:pPr>
        <w:tabs>
          <w:tab w:val="left" w:pos="993"/>
        </w:tabs>
        <w:spacing w:line="360" w:lineRule="auto"/>
        <w:rPr>
          <w:rFonts w:hint="eastAsia" w:ascii="宋体" w:hAnsi="宋体"/>
          <w:sz w:val="24"/>
        </w:rPr>
      </w:pPr>
      <w:r>
        <w:rPr>
          <w:rFonts w:hint="eastAsia" w:ascii="SimHei" w:hAnsi="SimHei" w:eastAsia="黑体"/>
          <w:sz w:val="24"/>
        </w:rPr>
        <w:t>其中，n</w:t>
      </w:r>
      <w:r>
        <w:rPr>
          <w:rFonts w:hint="eastAsia" w:ascii="SimHei" w:hAnsi="SimHei" w:eastAsia="黑体"/>
          <w:sz w:val="24"/>
        </w:rPr>
        <w:t>＝考核期的年数。任期不是整数年的用小数表示：</w:t>
      </w:r>
      <w:r>
        <w:rPr>
          <w:rFonts w:hint="eastAsia" w:ascii="SimHei" w:hAnsi="SimHei" w:eastAsia="黑体"/>
          <w:sz w:val="24"/>
        </w:rPr>
        <w:t>n</w:t>
      </w:r>
      <w:r>
        <w:rPr>
          <w:rFonts w:hint="eastAsia" w:ascii="SimHei" w:hAnsi="SimHei" w:eastAsia="黑体"/>
          <w:sz w:val="24"/>
        </w:rPr>
        <w:t>＝任期月数／12。</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长期奖励基数＝（1／3）×∑（A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w:t>
      </w:r>
    </w:p>
    <w:p>
      <w:pPr>
        <w:tabs>
          <w:tab w:val="left" w:pos="993"/>
        </w:tabs>
        <w:spacing w:line="360" w:lineRule="auto"/>
        <w:rPr>
          <w:rFonts w:hint="eastAsia"/>
          <w:sz w:val="24"/>
        </w:rPr>
      </w:pPr>
      <w:r>
        <w:rPr>
          <w:rFonts w:hint="eastAsia" w:ascii="SimHei" w:hAnsi="SimHei" w:eastAsia="黑体"/>
          <w:sz w:val="24"/>
        </w:rPr>
        <w:t>其中，</w:t>
      </w:r>
      <w:r>
        <w:rPr>
          <w:rFonts w:hint="eastAsia" w:ascii="SimHei" w:hAnsi="SimHei" w:eastAsia="黑体"/>
          <w:sz w:val="24"/>
        </w:rPr>
        <w:t>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与前述第十三条的含义相同。上述∑（A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）是以长期应计经营性资产平均增值额A为基础并参照第十三条的方法计算而得到的。其中，长期应计经营性净资产平均增值额A的计算公式如下：</w:t>
      </w:r>
    </w:p>
    <w:p>
      <w:pPr>
        <w:tabs>
          <w:tab w:val="left" w:pos="993"/>
        </w:tabs>
        <w:spacing w:line="360" w:lineRule="auto"/>
        <w:rPr>
          <w:rFonts w:hint="eastAsia"/>
          <w:sz w:val="24"/>
        </w:rPr>
      </w:pPr>
      <w:r>
        <w:rPr>
          <w:rFonts w:hint="eastAsia" w:ascii="SimHei" w:hAnsi="SimHei" w:eastAsia="黑体"/>
          <w:sz w:val="24"/>
        </w:rPr>
        <w:t>A＝（n年应计经营性净资产增值额合计数－离任审计确定扣减的增值额）／n</w:t>
      </w:r>
    </w:p>
    <w:p>
      <w:pPr>
        <w:numPr>
          <w:ilvl w:val="0"/>
          <w:numId w:val="1"/>
        </w:numPr>
        <w:tabs>
          <w:tab w:val="left" w:pos="0"/>
          <w:tab w:val="left" w:pos="1276"/>
          <w:tab w:val="clear" w:pos="750"/>
        </w:tabs>
        <w:spacing w:line="360" w:lineRule="auto"/>
        <w:ind w:left="0" w:firstLine="0"/>
        <w:rPr>
          <w:rFonts w:hint="eastAsia"/>
          <w:sz w:val="24"/>
        </w:rPr>
      </w:pPr>
      <w:r>
        <w:rPr>
          <w:rFonts w:hint="eastAsia" w:ascii="SimHei" w:hAnsi="SimHei" w:eastAsia="黑体"/>
          <w:sz w:val="24"/>
        </w:rPr>
        <w:t>长期评价系数的确定</w:t>
      </w:r>
    </w:p>
    <w:p>
      <w:pPr>
        <w:tabs>
          <w:tab w:val="left" w:pos="993"/>
        </w:tabs>
        <w:spacing w:line="360" w:lineRule="auto"/>
        <w:ind w:firstLine="435"/>
        <w:rPr>
          <w:rFonts w:hint="eastAsia"/>
          <w:sz w:val="24"/>
        </w:rPr>
      </w:pPr>
      <w:r>
        <w:rPr>
          <w:rFonts w:hint="eastAsia" w:ascii="SimHei" w:hAnsi="SimHei" w:eastAsia="黑体"/>
          <w:sz w:val="24"/>
        </w:rPr>
        <w:t>长期评价系数是由下面的增长系数和综合评价系数确定的。</w:t>
      </w:r>
    </w:p>
    <w:p>
      <w:pPr>
        <w:tabs>
          <w:tab w:val="left" w:pos="993"/>
        </w:tabs>
        <w:spacing w:line="360" w:lineRule="auto"/>
        <w:ind w:firstLine="435"/>
        <w:rPr>
          <w:rFonts w:hint="eastAsia"/>
          <w:sz w:val="24"/>
        </w:rPr>
      </w:pPr>
      <w:r>
        <w:rPr>
          <w:rFonts w:hint="eastAsia" w:ascii="SimHei" w:hAnsi="SimHei" w:eastAsia="黑体"/>
          <w:sz w:val="24"/>
        </w:rPr>
        <w:t>增长系数＝0.6</w:t>
      </w:r>
      <w:r>
        <w:rPr>
          <w:rFonts w:hint="eastAsia" w:ascii="SimHei" w:hAnsi="SimHei" w:eastAsia="黑体"/>
          <w:sz w:val="24"/>
        </w:rPr>
        <w:t>＋10</w:t>
      </w:r>
      <w:r>
        <w:rPr>
          <w:rFonts w:hint="eastAsia" w:ascii="SimHei" w:hAnsi="SimHei" w:eastAsia="黑体"/>
          <w:sz w:val="24"/>
        </w:rPr>
        <w:t>×（调整后年平均净资产收益率－5%）</w:t>
      </w:r>
      <w:r>
        <w:rPr>
          <w:rFonts w:hint="eastAsia" w:ascii="SimHei" w:hAnsi="SimHei" w:eastAsia="黑体"/>
          <w:sz w:val="24"/>
        </w:rPr>
        <w:t>＋3</w:t>
      </w:r>
      <w:r>
        <w:rPr>
          <w:rFonts w:hint="eastAsia" w:ascii="SimHei" w:hAnsi="SimHei" w:eastAsia="黑体"/>
          <w:sz w:val="24"/>
        </w:rPr>
        <w:t>×净资产增值增长率，增长系数最大值不超过2。</w:t>
      </w:r>
    </w:p>
    <w:p>
      <w:pPr>
        <w:tabs>
          <w:tab w:val="left" w:pos="993"/>
        </w:tabs>
        <w:spacing w:line="360" w:lineRule="auto"/>
        <w:ind w:firstLine="435"/>
        <w:rPr>
          <w:rFonts w:hint="eastAsia"/>
          <w:sz w:val="24"/>
        </w:rPr>
      </w:pPr>
      <w:r>
        <w:rPr>
          <w:rFonts w:hint="eastAsia" w:ascii="SimHei" w:hAnsi="SimHei" w:eastAsia="黑体"/>
          <w:sz w:val="24"/>
        </w:rPr>
        <w:t>若增长系数≥0，则长期评价系数＝0.2×综合评价系数平均值</w:t>
      </w:r>
      <w:r>
        <w:rPr>
          <w:rFonts w:hint="eastAsia" w:ascii="SimHei" w:hAnsi="SimHei" w:eastAsia="黑体"/>
          <w:sz w:val="24"/>
        </w:rPr>
        <w:t>＋0.8</w:t>
      </w:r>
      <w:r>
        <w:rPr>
          <w:rFonts w:hint="eastAsia" w:ascii="SimHei" w:hAnsi="SimHei" w:eastAsia="黑体"/>
          <w:sz w:val="24"/>
        </w:rPr>
        <w:t>×增长系数</w:t>
      </w:r>
    </w:p>
    <w:p>
      <w:pPr>
        <w:tabs>
          <w:tab w:val="left" w:pos="993"/>
        </w:tabs>
        <w:spacing w:line="360" w:lineRule="auto"/>
        <w:ind w:firstLine="435"/>
        <w:rPr>
          <w:rFonts w:hint="eastAsia"/>
          <w:sz w:val="24"/>
        </w:rPr>
      </w:pPr>
      <w:r>
        <w:rPr>
          <w:rFonts w:hint="eastAsia" w:ascii="SimHei" w:hAnsi="SimHei" w:eastAsia="黑体"/>
          <w:sz w:val="24"/>
        </w:rPr>
        <w:t>若增长系数＜0，则长期系数＝0。</w:t>
      </w:r>
    </w:p>
    <w:p>
      <w:pPr>
        <w:tabs>
          <w:tab w:val="left" w:pos="993"/>
        </w:tabs>
        <w:spacing w:line="360" w:lineRule="auto"/>
        <w:rPr>
          <w:rFonts w:hint="eastAsia"/>
          <w:sz w:val="24"/>
        </w:rPr>
      </w:pPr>
      <w:r>
        <w:rPr>
          <w:rFonts w:hint="eastAsia" w:ascii="SimHei" w:hAnsi="SimHei" w:eastAsia="黑体"/>
          <w:sz w:val="24"/>
        </w:rPr>
        <w:t>其中，净资产增值增长率＝（J</w:t>
      </w:r>
      <w:r>
        <w:rPr>
          <w:rFonts w:hint="eastAsia" w:ascii="SimHei" w:hAnsi="SimHei" w:eastAsia="黑体"/>
          <w:sz w:val="24"/>
          <w:vertAlign w:val="subscript"/>
        </w:rPr>
        <w:t>n</w:t>
      </w:r>
      <w:r>
        <w:rPr>
          <w:rFonts w:hint="eastAsia" w:ascii="SimHei" w:hAnsi="SimHei" w:eastAsia="黑体"/>
          <w:sz w:val="24"/>
        </w:rPr>
        <w:t>－J</w:t>
      </w:r>
      <w:r>
        <w:rPr>
          <w:rFonts w:hint="eastAsia" w:ascii="SimHei" w:hAnsi="SimHei" w:eastAsia="黑体"/>
          <w:sz w:val="24"/>
          <w:vertAlign w:val="subscript"/>
        </w:rPr>
        <w:t>1</w:t>
      </w:r>
      <w:r>
        <w:rPr>
          <w:rFonts w:hint="eastAsia" w:ascii="SimHei" w:hAnsi="SimHei" w:eastAsia="黑体"/>
          <w:sz w:val="24"/>
        </w:rPr>
        <w:t>）／（n－1）／应计经营性净资产平均增值额</w:t>
      </w:r>
    </w:p>
    <w:p>
      <w:pPr>
        <w:tabs>
          <w:tab w:val="left" w:pos="993"/>
        </w:tabs>
        <w:spacing w:line="360" w:lineRule="auto"/>
        <w:rPr>
          <w:rFonts w:hint="eastAsia"/>
          <w:sz w:val="24"/>
        </w:rPr>
      </w:pPr>
      <w:r>
        <w:rPr>
          <w:rFonts w:hint="eastAsia" w:ascii="SimHei" w:hAnsi="SimHei" w:eastAsia="黑体"/>
          <w:sz w:val="24"/>
        </w:rPr>
        <w:t>上式中，J</w:t>
      </w:r>
      <w:r>
        <w:rPr>
          <w:rFonts w:hint="eastAsia" w:ascii="SimHei" w:hAnsi="SimHei" w:eastAsia="黑体"/>
          <w:sz w:val="24"/>
          <w:vertAlign w:val="subscript"/>
        </w:rPr>
        <w:t>n</w:t>
      </w:r>
      <w:r>
        <w:rPr>
          <w:rFonts w:hint="eastAsia" w:ascii="SimHei" w:hAnsi="SimHei" w:eastAsia="黑体"/>
          <w:sz w:val="24"/>
        </w:rPr>
        <w:t>＝考核期第n年的应计经营性净资产增值额－离任审计确定扣减的增值额；J</w:t>
      </w:r>
      <w:r>
        <w:rPr>
          <w:rFonts w:hint="eastAsia" w:ascii="SimHei" w:hAnsi="SimHei" w:eastAsia="黑体"/>
          <w:sz w:val="24"/>
          <w:vertAlign w:val="subscript"/>
        </w:rPr>
        <w:t>1</w:t>
      </w:r>
      <w:r>
        <w:rPr>
          <w:rFonts w:hint="eastAsia" w:ascii="SimHei" w:hAnsi="SimHei" w:eastAsia="黑体"/>
          <w:sz w:val="24"/>
        </w:rPr>
        <w:t>＝考核期第1年的应计经营性净资产增值额</w:t>
      </w:r>
    </w:p>
    <w:p>
      <w:pPr>
        <w:tabs>
          <w:tab w:val="left" w:pos="993"/>
        </w:tabs>
        <w:spacing w:line="360" w:lineRule="auto"/>
        <w:ind w:firstLine="435"/>
        <w:rPr>
          <w:rFonts w:hint="eastAsia"/>
          <w:sz w:val="24"/>
        </w:rPr>
      </w:pPr>
      <w:r>
        <w:rPr>
          <w:rFonts w:hint="eastAsia" w:ascii="SimHei" w:hAnsi="SimHei" w:eastAsia="黑体"/>
          <w:sz w:val="24"/>
        </w:rPr>
        <w:t>综合评价系数平均值＝任期内各年综合评价系数之和／n。</w:t>
      </w:r>
    </w:p>
    <w:p>
      <w:pPr>
        <w:tabs>
          <w:tab w:val="left" w:pos="993"/>
        </w:tabs>
        <w:spacing w:line="360" w:lineRule="auto"/>
        <w:ind w:firstLine="435"/>
        <w:rPr>
          <w:rFonts w:hint="eastAsia"/>
          <w:sz w:val="24"/>
        </w:rPr>
      </w:pPr>
      <w:r>
        <w:rPr>
          <w:rFonts w:hint="eastAsia" w:ascii="SimHei" w:hAnsi="SimHei" w:eastAsia="黑体"/>
          <w:sz w:val="24"/>
        </w:rPr>
        <w:t>各年的综合评价系数取各年度年薪考核确定的综合评价系数。</w:t>
      </w:r>
    </w:p>
    <w:p>
      <w:pPr>
        <w:pStyle w:val="2"/>
        <w:spacing w:beforeLines="0" w:afterLines="0"/>
        <w:rPr>
          <w:rFonts w:hint="eastAsia"/>
          <w:b w:val="0"/>
          <w:sz w:val="32"/>
        </w:rPr>
      </w:pPr>
      <w:bookmarkStart w:id="17" w:name="_Toc81283104"/>
      <w:r>
        <w:rPr>
          <w:rFonts w:hint="eastAsia" w:ascii="SimHei" w:hAnsi="SimHei" w:eastAsia="黑体"/>
        </w:rPr>
        <w:t>第五章  考核程序</w:t>
      </w:r>
      <w:bookmarkEnd w:id="17"/>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本公司董事会下设薪酬委员会专门负责年薪制的具体实施，包括：（1）基薪、效益年薪和长期激励收入的测算核定，以及风险基金和挂账效益年薪的管理；（2）测算和确定实施年薪制企业考核目标；（3）制定考核过程的实施细则等。</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实行年薪的企业经营者必须与本公司签订经营责任书（含每年考核指标目标值的约定），一般每年签订一次经营责任书。</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效益年薪考核是与年度审计紧密结合的，经营者的考核指标实际值是根据经审计的企业年度财务报告和经本公司审核确认的财务指标值确定的。</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离任考核是与离任审计紧密结合的考核制度。每一经营者必须进行离任审计。根据离任审计的结果，若有需要扣减的增值额，按其确定扣减的增值额的3%作为挂账年薪冲减经营者的风险基金。</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本公司薪酬委员会应在每个会计年度终了之日起根据年度审计报告和有关考核材料对经营者的年度经营业绩进行考核。在经营者离任之日起根据离任审计报告和有关离任考核材料对经营者的任期经营业绩进行综合考核。年度业绩考核应该在7月1日前完成，离任考核应在8个月或180个工作日内完成。</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本公司薪酬委员会计算各经营者的年薪后，在随后的1个月内将分别与经营者核实，最后报公司董事会批准。</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若企业连续3年出现挂账年薪，董事会可解聘经营者职务或采取其它措施。经营者离任时的挂账收益年薪的具体处理办法见“附加4：考核实施细则第五节”。</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在考核过程中若发生争议，由薪酬委员会与经营者进一步核实，最后由董事会批准决定。</w:t>
      </w:r>
    </w:p>
    <w:p>
      <w:pPr>
        <w:pStyle w:val="2"/>
        <w:spacing w:beforeLines="0" w:afterLines="0"/>
        <w:rPr>
          <w:rFonts w:hint="eastAsia"/>
        </w:rPr>
      </w:pPr>
      <w:bookmarkStart w:id="18" w:name="_Toc81283105"/>
      <w:r>
        <w:rPr>
          <w:rFonts w:hint="eastAsia" w:ascii="SimHei" w:hAnsi="SimHei" w:eastAsia="黑体"/>
        </w:rPr>
        <w:t>第六章  年薪的支付与管理</w:t>
      </w:r>
      <w:bookmarkEnd w:id="18"/>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基本年薪的支付：根据本公司的核定数额由经营者所在企业按月平均支付，并计入该企业的工资费用。</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效益年薪的支付：在经营者所经营的企业已按规定上交应缴利润和已弥补以前年度挂账效益年薪后，其效益年薪剩余部分的70%在本公司董事会批准后一个月内由本公司支付，30%留作风险基金。</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长期激励收入的支付：按照第四章核定的金额计入经营者风险金账户，在离任时一并支付。</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经营者年薪收入所涉及的个人所得税由支付年薪的单位按照税法的规定代扣代缴。</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经营者实行年薪制后，经营者除了按本公司有关规定领取领用劳保用品和享有养老保险、医疗保险、失业保险、工伤保险和政府政策性补贴等项目外，经营者不得领取初次以外的其它任何收入。</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经营者在任期间，若经审计和考核发现以前年度的异常不良经营行为或隐瞒不良资产，视情节轻重由本公司予以一定的处罚（详细见附件4：考核实施细节）。</w:t>
      </w:r>
    </w:p>
    <w:p>
      <w:pPr>
        <w:pStyle w:val="2"/>
        <w:spacing w:beforeLines="0" w:afterLines="0"/>
        <w:rPr>
          <w:rFonts w:hint="eastAsia"/>
        </w:rPr>
      </w:pPr>
      <w:bookmarkStart w:id="19" w:name="_Toc81283106"/>
      <w:r>
        <w:rPr>
          <w:rFonts w:hint="eastAsia" w:ascii="SimHei" w:hAnsi="SimHei" w:eastAsia="黑体"/>
        </w:rPr>
        <w:t>第七章  风险基金管理</w:t>
      </w:r>
      <w:bookmarkEnd w:id="19"/>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经营者的风险基金主要由以下三部分组成：（1）每年从经营者效益年薪按比例提留的部分或挂账效益年薪；（2）经营者的长期激励收入；（3）视同效益年薪的特别奖的提留。</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若经营者的风险基金账户出现红字，必须以当年和以后年度的效益年薪弥补。</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在任期间经营者的风险基金由</w:t>
      </w:r>
      <w:r>
        <w:rPr>
          <w:rFonts w:hint="eastAsia" w:ascii="SimHei" w:hAnsi="SimHei" w:eastAsia="黑体"/>
          <w:sz w:val="24"/>
          <w:lang w:eastAsia="zh-CN"/>
        </w:rPr>
        <w:t>_____</w:t>
      </w:r>
      <w:r>
        <w:rPr>
          <w:rFonts w:hint="eastAsia" w:ascii="SimHei" w:hAnsi="SimHei" w:eastAsia="黑体"/>
          <w:sz w:val="24"/>
        </w:rPr>
        <w:t>控股管理，包括以专户存入银行。风险基金本金及其来源于风险基金专户存款所获得利息收入，待离任审计和考核核定后，按下一款处理。</w:t>
      </w:r>
    </w:p>
    <w:p>
      <w:pPr>
        <w:numPr>
          <w:ilvl w:val="0"/>
          <w:numId w:val="1"/>
        </w:numPr>
        <w:tabs>
          <w:tab w:val="left" w:pos="0"/>
          <w:tab w:val="left" w:pos="993"/>
          <w:tab w:val="left" w:pos="1418"/>
          <w:tab w:val="left" w:pos="1560"/>
          <w:tab w:val="clear" w:pos="750"/>
        </w:tabs>
        <w:spacing w:line="360" w:lineRule="auto"/>
        <w:ind w:left="0" w:firstLine="0"/>
        <w:rPr>
          <w:rFonts w:hint="eastAsia"/>
          <w:sz w:val="24"/>
        </w:rPr>
      </w:pPr>
      <w:r>
        <w:rPr>
          <w:rFonts w:hint="eastAsia" w:ascii="SimHei" w:hAnsi="SimHei" w:eastAsia="黑体"/>
          <w:sz w:val="24"/>
        </w:rPr>
        <w:t>经营者风险基金的支付：经营者离任时，按照第二十五条规定扣减其离任审计核定应扣罚的效益年薪后，其风险基金账户余额（含长期激励收入和有关的保险及其专户存款的利息收入）在离任审计后全额发给经营者，支付具体办法见附件4第五节。支付风险基金所涉及的个人所得税由支付风险基金的单位按照税法代扣代缴。</w:t>
      </w:r>
    </w:p>
    <w:p>
      <w:pPr>
        <w:pStyle w:val="2"/>
        <w:spacing w:beforeLines="0" w:afterLines="0"/>
        <w:rPr>
          <w:rFonts w:hint="eastAsia"/>
        </w:rPr>
      </w:pPr>
      <w:bookmarkStart w:id="20" w:name="_Hlt81282511"/>
      <w:bookmarkEnd w:id="20"/>
      <w:bookmarkStart w:id="21" w:name="_Hlt81283198"/>
      <w:bookmarkEnd w:id="21"/>
      <w:bookmarkStart w:id="22" w:name="_Hlt81283196"/>
      <w:bookmarkEnd w:id="22"/>
      <w:bookmarkStart w:id="23" w:name="_Toc81283107"/>
      <w:r>
        <w:rPr>
          <w:rFonts w:hint="eastAsia" w:ascii="SimHei" w:hAnsi="SimHei" w:eastAsia="黑体"/>
        </w:rPr>
        <w:t>第八</w:t>
      </w:r>
      <w:bookmarkStart w:id="24" w:name="_Hlt81282464"/>
      <w:bookmarkEnd w:id="24"/>
      <w:r>
        <w:rPr>
          <w:rFonts w:hint="eastAsia" w:ascii="SimHei" w:hAnsi="SimHei" w:eastAsia="黑体"/>
        </w:rPr>
        <w:t>章  附则</w:t>
      </w:r>
      <w:bookmarkEnd w:id="23"/>
    </w:p>
    <w:p>
      <w:pPr>
        <w:numPr>
          <w:ilvl w:val="0"/>
          <w:numId w:val="1"/>
        </w:numPr>
        <w:tabs>
          <w:tab w:val="left" w:pos="0"/>
          <w:tab w:val="left" w:pos="1418"/>
          <w:tab w:val="left" w:pos="1560"/>
          <w:tab w:val="clear" w:pos="750"/>
        </w:tabs>
        <w:spacing w:line="360" w:lineRule="auto"/>
        <w:ind w:left="0" w:firstLine="0"/>
        <w:rPr>
          <w:rFonts w:hint="eastAsia"/>
          <w:sz w:val="24"/>
        </w:rPr>
      </w:pPr>
      <w:r>
        <w:rPr>
          <w:rFonts w:hint="eastAsia" w:ascii="SimHei" w:hAnsi="SimHei" w:eastAsia="黑体"/>
          <w:sz w:val="24"/>
        </w:rPr>
        <w:t>企业经营不正常或情况比较复杂时，由企业经营者提出暂不执行本年薪方案申请，经本公司董事会批准后，即可终止实行本年薪制方案。</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董事长与总经理分设的企业，其总经理由所在企业的董事会根据年度审计结果和本方案的考核办法分清责任和业绩决定薪酬，其效益年薪是否提留风险基金由其所在企业董事会决定。经营者所在企业党组织正职专职书记的年薪比照本方案执行。经营者所在企业的副职由所在企业董事会对其贡献大小做出评价并可参照本方案确定他们的薪酬。</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对本公司控股和参股的企业，可由本公司提出参照本年薪方案的议案，由被投资企业的董事会或股东大会批准后执行，并由被投资企业支付薪酬。</w:t>
      </w:r>
    </w:p>
    <w:p>
      <w:pPr>
        <w:numPr>
          <w:ilvl w:val="0"/>
          <w:numId w:val="1"/>
        </w:numPr>
        <w:tabs>
          <w:tab w:val="left" w:pos="0"/>
          <w:tab w:val="left" w:pos="1418"/>
          <w:tab w:val="clear" w:pos="750"/>
        </w:tabs>
        <w:spacing w:line="360" w:lineRule="auto"/>
        <w:ind w:left="0" w:firstLine="0"/>
        <w:rPr>
          <w:rFonts w:hint="eastAsia"/>
          <w:sz w:val="24"/>
        </w:rPr>
      </w:pPr>
      <w:r>
        <w:rPr>
          <w:rFonts w:hint="eastAsia" w:ascii="SimHei" w:hAnsi="SimHei" w:eastAsia="黑体"/>
          <w:sz w:val="24"/>
        </w:rPr>
        <w:t>本方案经本公司董事会审议通过后，于</w:t>
      </w:r>
      <w:r>
        <w:rPr>
          <w:rFonts w:hint="eastAsia" w:ascii="SimHei" w:hAnsi="SimHei" w:eastAsia="黑体"/>
          <w:sz w:val="24"/>
        </w:rPr>
        <w:t>＿＿＿＿＿＿</w:t>
      </w:r>
      <w:r>
        <w:rPr>
          <w:rFonts w:hint="eastAsia" w:ascii="SimHei" w:hAnsi="SimHei" w:eastAsia="黑体"/>
          <w:sz w:val="24"/>
        </w:rPr>
        <w:t>开始试行。</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在试行期间，如国家、省、市正式公布有关年薪制、期权制等的规定，影响本方案的实施，或在实施中发现重大问题，需要对本方案进行修改，薪酬委员会应及时提出建议，提交公司董事会做出修改决议。</w:t>
      </w:r>
    </w:p>
    <w:p>
      <w:pPr>
        <w:numPr>
          <w:ilvl w:val="0"/>
          <w:numId w:val="1"/>
        </w:numPr>
        <w:tabs>
          <w:tab w:val="left" w:pos="0"/>
          <w:tab w:val="left" w:pos="993"/>
          <w:tab w:val="left" w:pos="1418"/>
          <w:tab w:val="clear" w:pos="750"/>
        </w:tabs>
        <w:spacing w:line="360" w:lineRule="auto"/>
        <w:ind w:left="0" w:firstLine="0"/>
        <w:rPr>
          <w:rFonts w:hint="eastAsia"/>
          <w:sz w:val="24"/>
        </w:rPr>
      </w:pPr>
      <w:r>
        <w:rPr>
          <w:rFonts w:hint="eastAsia" w:ascii="SimHei" w:hAnsi="SimHei" w:eastAsia="黑体"/>
          <w:sz w:val="24"/>
        </w:rPr>
        <w:t>本方案由本公司董事会负责解释。违反本方案的处罚权属于本公司董事会。</w:t>
      </w:r>
    </w:p>
    <w:p>
      <w:pPr>
        <w:pStyle w:val="2"/>
        <w:spacing w:beforeLines="0" w:afterLines="0"/>
        <w:rPr>
          <w:rFonts w:hint="eastAsia"/>
        </w:rPr>
      </w:pPr>
      <w:r>
        <w:rPr>
          <w:rFonts w:ascii="SimHei" w:hAnsi="SimHei" w:eastAsia="黑体"/>
          <w:sz w:val="24"/>
        </w:rPr>
      </w:r>
      <w:bookmarkStart w:id="25" w:name="_Toc81283108"/>
      <w:r>
        <w:rPr>
          <w:rFonts w:hint="eastAsia" w:ascii="SimHei" w:hAnsi="SimHei" w:eastAsia="黑体"/>
        </w:rPr>
        <w:t>附件1：</w:t>
      </w:r>
      <w:bookmarkStart w:id="26" w:name="_Hlt81282204"/>
      <w:bookmarkEnd w:id="26"/>
      <w:r>
        <w:rPr>
          <w:rFonts w:hint="eastAsia" w:ascii="SimHei" w:hAnsi="SimHei" w:eastAsia="黑体"/>
        </w:rPr>
        <w:t>基本年薪实施细则</w:t>
      </w:r>
      <w:bookmarkEnd w:id="25"/>
    </w:p>
    <w:p>
      <w:pPr>
        <w:numPr>
          <w:ilvl w:val="1"/>
          <w:numId w:val="4"/>
        </w:numPr>
        <w:tabs>
          <w:tab w:val="left" w:pos="567"/>
          <w:tab w:val="left" w:pos="709"/>
          <w:tab w:val="clear" w:pos="900"/>
        </w:tabs>
        <w:spacing w:before="156" w:beforeLines="50" w:after="156" w:afterLines="50" w:line="360" w:lineRule="auto"/>
        <w:ind w:left="0" w:firstLine="426" w:firstLineChars="177"/>
        <w:rPr>
          <w:rFonts w:hint="eastAsia"/>
          <w:b/>
          <w:sz w:val="24"/>
        </w:rPr>
      </w:pPr>
      <w:r>
        <w:rPr>
          <w:rFonts w:hint="eastAsia" w:ascii="SimHei" w:hAnsi="SimHei" w:eastAsia="黑体"/>
          <w:b/>
          <w:sz w:val="24"/>
        </w:rPr>
        <w:t>基本年薪</w:t>
      </w:r>
    </w:p>
    <w:p>
      <w:pPr>
        <w:numPr>
          <w:ilvl w:val="0"/>
          <w:numId w:val="5"/>
        </w:numPr>
        <w:tabs>
          <w:tab w:val="left" w:pos="993"/>
        </w:tabs>
        <w:spacing w:line="360" w:lineRule="auto"/>
        <w:rPr>
          <w:rFonts w:hint="eastAsia"/>
          <w:sz w:val="24"/>
        </w:rPr>
      </w:pPr>
      <w:r>
        <w:rPr>
          <w:rFonts w:hint="eastAsia" w:ascii="SimHei" w:hAnsi="SimHei" w:eastAsia="黑体"/>
          <w:sz w:val="24"/>
        </w:rPr>
        <w:t>基本依据</w:t>
      </w:r>
    </w:p>
    <w:p>
      <w:pPr>
        <w:tabs>
          <w:tab w:val="left" w:pos="993"/>
        </w:tabs>
        <w:spacing w:line="360" w:lineRule="auto"/>
        <w:ind w:firstLine="480" w:firstLineChars="200"/>
        <w:rPr>
          <w:rFonts w:hint="eastAsia"/>
          <w:sz w:val="24"/>
        </w:rPr>
      </w:pPr>
      <w:r>
        <w:rPr>
          <w:rFonts w:hint="eastAsia" w:ascii="SimHei" w:hAnsi="SimHei" w:eastAsia="黑体"/>
          <w:sz w:val="24"/>
        </w:rPr>
        <w:t>基本年薪是以山东省国有企业的职工的平均工资水平、企业规模和经济效益为基础，兼顾企业的经营难度。</w:t>
      </w:r>
    </w:p>
    <w:p>
      <w:pPr>
        <w:numPr>
          <w:ilvl w:val="0"/>
          <w:numId w:val="5"/>
        </w:numPr>
        <w:tabs>
          <w:tab w:val="left" w:pos="993"/>
        </w:tabs>
        <w:spacing w:line="360" w:lineRule="auto"/>
        <w:rPr>
          <w:rFonts w:hint="eastAsia"/>
          <w:sz w:val="24"/>
        </w:rPr>
      </w:pPr>
      <w:r>
        <w:rPr>
          <w:rFonts w:hint="eastAsia" w:ascii="SimHei" w:hAnsi="SimHei" w:eastAsia="黑体"/>
          <w:sz w:val="24"/>
        </w:rPr>
        <w:t>计算公式</w:t>
      </w:r>
    </w:p>
    <w:p>
      <w:pPr>
        <w:tabs>
          <w:tab w:val="left" w:pos="993"/>
        </w:tabs>
        <w:spacing w:line="360" w:lineRule="auto"/>
        <w:ind w:firstLine="480" w:firstLineChars="200"/>
        <w:rPr>
          <w:rFonts w:hint="eastAsia"/>
          <w:sz w:val="24"/>
        </w:rPr>
      </w:pPr>
      <w:r>
        <w:rPr>
          <w:rFonts w:hint="eastAsia" w:ascii="SimHei" w:hAnsi="SimHei" w:eastAsia="黑体"/>
          <w:sz w:val="24"/>
        </w:rPr>
        <w:t>基本年薪＝企业级别系数×基本年薪基数</w:t>
      </w:r>
    </w:p>
    <w:p>
      <w:pPr>
        <w:tabs>
          <w:tab w:val="left" w:pos="993"/>
        </w:tabs>
        <w:spacing w:line="360" w:lineRule="auto"/>
        <w:ind w:firstLine="480" w:firstLineChars="200"/>
        <w:rPr>
          <w:rFonts w:hint="eastAsia"/>
          <w:sz w:val="24"/>
        </w:rPr>
      </w:pPr>
      <w:r>
        <w:rPr>
          <w:rFonts w:hint="eastAsia" w:ascii="SimHei" w:hAnsi="SimHei" w:eastAsia="黑体"/>
          <w:sz w:val="24"/>
        </w:rPr>
        <w:t>基本年薪基数由董事会根据山东省平均工资水平并参照山东省各类企业高层经理的年薪水平确定。</w:t>
      </w:r>
    </w:p>
    <w:p>
      <w:pPr>
        <w:numPr>
          <w:ilvl w:val="0"/>
          <w:numId w:val="6"/>
        </w:numPr>
        <w:tabs>
          <w:tab w:val="left" w:pos="993"/>
        </w:tabs>
        <w:spacing w:line="360" w:lineRule="auto"/>
        <w:rPr>
          <w:rFonts w:hint="eastAsia"/>
          <w:sz w:val="24"/>
        </w:rPr>
      </w:pPr>
      <w:r>
        <w:rPr>
          <w:rFonts w:hint="eastAsia" w:ascii="SimHei" w:hAnsi="SimHei" w:eastAsia="黑体"/>
          <w:sz w:val="24"/>
        </w:rPr>
        <w:t>企业级别系数</w:t>
      </w:r>
    </w:p>
    <w:p>
      <w:pPr>
        <w:tabs>
          <w:tab w:val="left" w:pos="993"/>
        </w:tabs>
        <w:spacing w:line="360" w:lineRule="auto"/>
        <w:ind w:firstLine="480" w:firstLineChars="200"/>
        <w:rPr>
          <w:rFonts w:hint="eastAsia"/>
          <w:sz w:val="24"/>
        </w:rPr>
      </w:pPr>
      <w:r>
        <w:rPr>
          <w:rFonts w:hint="eastAsia" w:ascii="SimHei" w:hAnsi="SimHei" w:eastAsia="黑体"/>
          <w:sz w:val="24"/>
        </w:rPr>
        <w:t>根据企业经营规模和运营质量，</w:t>
      </w:r>
      <w:r>
        <w:rPr>
          <w:rFonts w:hint="eastAsia" w:ascii="SimHei" w:hAnsi="SimHei" w:cs="宋体" w:eastAsia="黑体"/>
          <w:sz w:val="24"/>
          <w:lang w:eastAsia="zh-CN"/>
        </w:rPr>
        <w:t>_____</w:t>
      </w:r>
      <w:r>
        <w:rPr>
          <w:rFonts w:hint="eastAsia" w:ascii="SimHei" w:hAnsi="SimHei" w:cs="宋体" w:eastAsia="黑体"/>
          <w:sz w:val="24"/>
        </w:rPr>
        <w:t>某集团</w:t>
      </w:r>
      <w:r>
        <w:rPr>
          <w:rFonts w:hint="eastAsia" w:ascii="SimHei" w:hAnsi="SimHei" w:eastAsia="黑体"/>
          <w:sz w:val="24"/>
        </w:rPr>
        <w:t>所属实行年薪制的企业氛围五级（见表1），不同级别企业按表1给定不同级别系数，实行“同级、同基薪”的原则，确定每级企业经营者的基本年薪。</w:t>
      </w:r>
    </w:p>
    <w:p>
      <w:pPr>
        <w:spacing w:line="360" w:lineRule="auto"/>
        <w:jc w:val="center"/>
        <w:rPr>
          <w:rFonts w:hint="eastAsia"/>
          <w:sz w:val="24"/>
        </w:rPr>
      </w:pPr>
      <w:r>
        <w:rPr>
          <w:rFonts w:hint="eastAsia" w:ascii="SimHei" w:hAnsi="SimHei" w:eastAsia="黑体"/>
          <w:sz w:val="24"/>
        </w:rPr>
        <w:t>表1  企业级别得分与级别系数对应表</w:t>
      </w:r>
    </w:p>
    <w:tbl>
      <w:tblPr>
        <w:tblStyle w:val="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44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企业级别</w:t>
            </w:r>
          </w:p>
        </w:tc>
        <w:tc>
          <w:tcPr>
            <w:tcW w:w="3446" w:type="dxa"/>
            <w:noWrap w:val="0"/>
            <w:vAlign w:val="center"/>
          </w:tcPr>
          <w:p>
            <w:pPr>
              <w:spacing w:line="360" w:lineRule="auto"/>
              <w:jc w:val="center"/>
              <w:rPr>
                <w:sz w:val="24"/>
              </w:rPr>
            </w:pPr>
            <w:r>
              <w:rPr>
                <w:rFonts w:hint="eastAsia" w:ascii="SimHei" w:hAnsi="SimHei" w:eastAsia="黑体"/>
                <w:sz w:val="24"/>
              </w:rPr>
              <w:t>级别得分</w:t>
            </w:r>
          </w:p>
        </w:tc>
        <w:tc>
          <w:tcPr>
            <w:tcW w:w="1657" w:type="dxa"/>
            <w:noWrap w:val="0"/>
            <w:vAlign w:val="center"/>
          </w:tcPr>
          <w:p>
            <w:pPr>
              <w:spacing w:line="360" w:lineRule="auto"/>
              <w:jc w:val="center"/>
              <w:rPr>
                <w:sz w:val="24"/>
              </w:rPr>
            </w:pPr>
            <w:r>
              <w:rPr>
                <w:rFonts w:hint="eastAsia" w:ascii="SimHei" w:hAnsi="SimHei" w:eastAsia="黑体"/>
                <w:sz w:val="24"/>
              </w:rPr>
              <w:t>级别系数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1</w:t>
            </w:r>
          </w:p>
        </w:tc>
        <w:tc>
          <w:tcPr>
            <w:tcW w:w="3446" w:type="dxa"/>
            <w:noWrap w:val="0"/>
            <w:vAlign w:val="center"/>
          </w:tcPr>
          <w:p>
            <w:pPr>
              <w:spacing w:line="360" w:lineRule="auto"/>
              <w:jc w:val="center"/>
              <w:rPr>
                <w:rFonts w:hint="eastAsia"/>
                <w:sz w:val="24"/>
              </w:rPr>
            </w:pPr>
            <w:r>
              <w:rPr>
                <w:rFonts w:hint="eastAsia" w:ascii="SimHei" w:hAnsi="SimHei" w:eastAsia="黑体"/>
                <w:sz w:val="24"/>
              </w:rPr>
              <w:t>得分≥950</w:t>
            </w:r>
          </w:p>
        </w:tc>
        <w:tc>
          <w:tcPr>
            <w:tcW w:w="1657" w:type="dxa"/>
            <w:noWrap w:val="0"/>
            <w:vAlign w:val="center"/>
          </w:tcPr>
          <w:p>
            <w:pPr>
              <w:spacing w:line="360" w:lineRule="auto"/>
              <w:jc w:val="center"/>
              <w:rPr>
                <w:rFonts w:hint="eastAsia"/>
                <w:sz w:val="24"/>
              </w:rPr>
            </w:pPr>
            <w:r>
              <w:rPr>
                <w:rFonts w:hint="eastAsia" w:ascii="SimHei" w:hAnsi="SimHei" w:eastAsia="黑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2</w:t>
            </w:r>
          </w:p>
        </w:tc>
        <w:tc>
          <w:tcPr>
            <w:tcW w:w="3446" w:type="dxa"/>
            <w:noWrap w:val="0"/>
            <w:vAlign w:val="center"/>
          </w:tcPr>
          <w:p>
            <w:pPr>
              <w:spacing w:line="360" w:lineRule="auto"/>
              <w:jc w:val="center"/>
              <w:rPr>
                <w:sz w:val="24"/>
              </w:rPr>
            </w:pPr>
            <w:r>
              <w:rPr>
                <w:rFonts w:hint="eastAsia" w:ascii="SimHei" w:hAnsi="SimHei" w:eastAsia="黑体"/>
                <w:sz w:val="24"/>
              </w:rPr>
              <w:t>800≤得分＜950</w:t>
            </w:r>
          </w:p>
        </w:tc>
        <w:tc>
          <w:tcPr>
            <w:tcW w:w="1657" w:type="dxa"/>
            <w:noWrap w:val="0"/>
            <w:vAlign w:val="center"/>
          </w:tcPr>
          <w:p>
            <w:pPr>
              <w:spacing w:line="360" w:lineRule="auto"/>
              <w:jc w:val="center"/>
              <w:rPr>
                <w:sz w:val="24"/>
              </w:rPr>
            </w:pPr>
            <w:r>
              <w:rPr>
                <w:rFonts w:hint="eastAsia" w:ascii="SimHei" w:hAnsi="SimHei" w:eastAsia="黑体"/>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3</w:t>
            </w:r>
          </w:p>
        </w:tc>
        <w:tc>
          <w:tcPr>
            <w:tcW w:w="3446" w:type="dxa"/>
            <w:noWrap w:val="0"/>
            <w:vAlign w:val="center"/>
          </w:tcPr>
          <w:p>
            <w:pPr>
              <w:spacing w:line="360" w:lineRule="auto"/>
              <w:jc w:val="center"/>
              <w:rPr>
                <w:sz w:val="24"/>
              </w:rPr>
            </w:pPr>
            <w:r>
              <w:rPr>
                <w:rFonts w:hint="eastAsia" w:ascii="SimHei" w:hAnsi="SimHei" w:eastAsia="黑体"/>
                <w:sz w:val="24"/>
              </w:rPr>
              <w:t>600≤得分＜850</w:t>
            </w:r>
          </w:p>
        </w:tc>
        <w:tc>
          <w:tcPr>
            <w:tcW w:w="1657" w:type="dxa"/>
            <w:noWrap w:val="0"/>
            <w:vAlign w:val="center"/>
          </w:tcPr>
          <w:p>
            <w:pPr>
              <w:spacing w:line="360" w:lineRule="auto"/>
              <w:jc w:val="center"/>
              <w:rPr>
                <w:sz w:val="24"/>
              </w:rPr>
            </w:pPr>
            <w:r>
              <w:rPr>
                <w:rFonts w:hint="eastAsia" w:ascii="SimHei" w:hAnsi="SimHei" w:eastAsia="黑体"/>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4</w:t>
            </w:r>
          </w:p>
        </w:tc>
        <w:tc>
          <w:tcPr>
            <w:tcW w:w="3446" w:type="dxa"/>
            <w:noWrap w:val="0"/>
            <w:vAlign w:val="center"/>
          </w:tcPr>
          <w:p>
            <w:pPr>
              <w:spacing w:line="360" w:lineRule="auto"/>
              <w:jc w:val="center"/>
              <w:rPr>
                <w:sz w:val="24"/>
              </w:rPr>
            </w:pPr>
            <w:r>
              <w:rPr>
                <w:rFonts w:hint="eastAsia" w:ascii="SimHei" w:hAnsi="SimHei" w:eastAsia="黑体"/>
                <w:sz w:val="24"/>
              </w:rPr>
              <w:t>400≤得分＜600</w:t>
            </w:r>
          </w:p>
        </w:tc>
        <w:tc>
          <w:tcPr>
            <w:tcW w:w="1657" w:type="dxa"/>
            <w:noWrap w:val="0"/>
            <w:vAlign w:val="center"/>
          </w:tcPr>
          <w:p>
            <w:pPr>
              <w:spacing w:line="360" w:lineRule="auto"/>
              <w:jc w:val="center"/>
              <w:rPr>
                <w:sz w:val="24"/>
              </w:rPr>
            </w:pPr>
            <w:r>
              <w:rPr>
                <w:rFonts w:hint="eastAsia" w:ascii="SimHei" w:hAnsi="SimHei" w:eastAsia="黑体"/>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sz w:val="24"/>
              </w:rPr>
            </w:pPr>
            <w:r>
              <w:rPr>
                <w:rFonts w:hint="eastAsia" w:ascii="SimHei" w:hAnsi="SimHei" w:eastAsia="黑体"/>
                <w:sz w:val="24"/>
              </w:rPr>
              <w:t>5</w:t>
            </w:r>
          </w:p>
        </w:tc>
        <w:tc>
          <w:tcPr>
            <w:tcW w:w="3446" w:type="dxa"/>
            <w:noWrap w:val="0"/>
            <w:vAlign w:val="center"/>
          </w:tcPr>
          <w:p>
            <w:pPr>
              <w:spacing w:line="360" w:lineRule="auto"/>
              <w:jc w:val="center"/>
              <w:rPr>
                <w:sz w:val="24"/>
              </w:rPr>
            </w:pPr>
            <w:r>
              <w:rPr>
                <w:rFonts w:hint="eastAsia" w:ascii="SimHei" w:hAnsi="SimHei" w:eastAsia="黑体"/>
                <w:sz w:val="24"/>
              </w:rPr>
              <w:t>200≤得分＜400</w:t>
            </w:r>
          </w:p>
        </w:tc>
        <w:tc>
          <w:tcPr>
            <w:tcW w:w="1657" w:type="dxa"/>
            <w:noWrap w:val="0"/>
            <w:vAlign w:val="center"/>
          </w:tcPr>
          <w:p>
            <w:pPr>
              <w:spacing w:line="360" w:lineRule="auto"/>
              <w:jc w:val="center"/>
              <w:rPr>
                <w:sz w:val="24"/>
              </w:rPr>
            </w:pPr>
            <w:r>
              <w:rPr>
                <w:rFonts w:hint="eastAsia" w:ascii="SimHei" w:hAnsi="SimHei" w:eastAsia="黑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rFonts w:hint="eastAsia"/>
                <w:sz w:val="24"/>
              </w:rPr>
            </w:pPr>
            <w:r>
              <w:rPr>
                <w:rFonts w:hint="eastAsia" w:ascii="SimHei" w:hAnsi="SimHei" w:eastAsia="黑体"/>
                <w:sz w:val="24"/>
              </w:rPr>
              <w:t>6</w:t>
            </w:r>
          </w:p>
        </w:tc>
        <w:tc>
          <w:tcPr>
            <w:tcW w:w="3446" w:type="dxa"/>
            <w:noWrap w:val="0"/>
            <w:vAlign w:val="center"/>
          </w:tcPr>
          <w:p>
            <w:pPr>
              <w:spacing w:line="360" w:lineRule="auto"/>
              <w:jc w:val="center"/>
              <w:rPr>
                <w:sz w:val="24"/>
              </w:rPr>
            </w:pPr>
            <w:r>
              <w:rPr>
                <w:rFonts w:hint="eastAsia" w:ascii="SimHei" w:hAnsi="SimHei" w:eastAsia="黑体"/>
                <w:sz w:val="24"/>
              </w:rPr>
              <w:t>100≤得分＜200</w:t>
            </w:r>
          </w:p>
        </w:tc>
        <w:tc>
          <w:tcPr>
            <w:tcW w:w="1657" w:type="dxa"/>
            <w:noWrap w:val="0"/>
            <w:vAlign w:val="center"/>
          </w:tcPr>
          <w:p>
            <w:pPr>
              <w:spacing w:line="360" w:lineRule="auto"/>
              <w:jc w:val="center"/>
              <w:rPr>
                <w:rFonts w:hint="eastAsia"/>
                <w:sz w:val="24"/>
              </w:rPr>
            </w:pPr>
            <w:r>
              <w:rPr>
                <w:rFonts w:hint="eastAsia" w:ascii="SimHei" w:hAnsi="SimHei" w:eastAsia="黑体"/>
                <w:sz w:val="24"/>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center"/>
          </w:tcPr>
          <w:p>
            <w:pPr>
              <w:spacing w:line="360" w:lineRule="auto"/>
              <w:jc w:val="center"/>
              <w:rPr>
                <w:rFonts w:hint="eastAsia"/>
                <w:sz w:val="24"/>
              </w:rPr>
            </w:pPr>
            <w:r>
              <w:rPr>
                <w:rFonts w:hint="eastAsia" w:ascii="SimHei" w:hAnsi="SimHei" w:eastAsia="黑体"/>
                <w:sz w:val="24"/>
              </w:rPr>
              <w:t>7</w:t>
            </w:r>
          </w:p>
        </w:tc>
        <w:tc>
          <w:tcPr>
            <w:tcW w:w="3446" w:type="dxa"/>
            <w:noWrap w:val="0"/>
            <w:vAlign w:val="center"/>
          </w:tcPr>
          <w:p>
            <w:pPr>
              <w:spacing w:line="360" w:lineRule="auto"/>
              <w:jc w:val="center"/>
              <w:rPr>
                <w:sz w:val="24"/>
              </w:rPr>
            </w:pPr>
            <w:r>
              <w:rPr>
                <w:rFonts w:hint="eastAsia" w:ascii="SimHei" w:hAnsi="SimHei" w:eastAsia="黑体"/>
                <w:sz w:val="24"/>
              </w:rPr>
              <w:t>得分＜100</w:t>
            </w:r>
          </w:p>
        </w:tc>
        <w:tc>
          <w:tcPr>
            <w:tcW w:w="1657" w:type="dxa"/>
            <w:noWrap w:val="0"/>
            <w:vAlign w:val="center"/>
          </w:tcPr>
          <w:p>
            <w:pPr>
              <w:spacing w:line="360" w:lineRule="auto"/>
              <w:jc w:val="center"/>
              <w:rPr>
                <w:rFonts w:hint="eastAsia"/>
                <w:sz w:val="24"/>
              </w:rPr>
            </w:pPr>
            <w:r>
              <w:rPr>
                <w:rFonts w:hint="eastAsia" w:ascii="SimHei" w:hAnsi="SimHei" w:eastAsia="黑体"/>
                <w:sz w:val="24"/>
              </w:rPr>
              <w:t>0.9</w:t>
            </w:r>
          </w:p>
        </w:tc>
      </w:tr>
    </w:tbl>
    <w:p>
      <w:pPr>
        <w:tabs>
          <w:tab w:val="left" w:pos="993"/>
        </w:tabs>
        <w:spacing w:line="360" w:lineRule="auto"/>
        <w:ind w:firstLine="480" w:firstLineChars="200"/>
        <w:rPr>
          <w:rFonts w:hint="eastAsia" w:ascii="楷体_GB2312" w:eastAsia="楷体_GB2312"/>
          <w:sz w:val="24"/>
        </w:rPr>
      </w:pPr>
      <w:r>
        <w:rPr>
          <w:rFonts w:hint="eastAsia" w:ascii="SimHei" w:eastAsia="黑体" w:hAnsi="SimHei"/>
          <w:sz w:val="24"/>
        </w:rPr>
        <w:t>注：企业级别最高得分为1000分。</w:t>
      </w:r>
    </w:p>
    <w:p>
      <w:pPr>
        <w:numPr>
          <w:ilvl w:val="0"/>
          <w:numId w:val="6"/>
        </w:numPr>
        <w:tabs>
          <w:tab w:val="left" w:pos="993"/>
        </w:tabs>
        <w:spacing w:line="360" w:lineRule="auto"/>
        <w:rPr>
          <w:rFonts w:hint="eastAsia"/>
          <w:sz w:val="24"/>
        </w:rPr>
      </w:pPr>
      <w:r>
        <w:rPr>
          <w:rFonts w:hint="eastAsia" w:ascii="SimHei" w:hAnsi="SimHei" w:eastAsia="黑体"/>
          <w:sz w:val="24"/>
        </w:rPr>
        <w:t>经营难度大的企业级别系数的调整</w:t>
      </w:r>
    </w:p>
    <w:p>
      <w:pPr>
        <w:tabs>
          <w:tab w:val="left" w:pos="993"/>
        </w:tabs>
        <w:spacing w:line="360" w:lineRule="auto"/>
        <w:ind w:firstLine="480" w:firstLineChars="200"/>
        <w:rPr>
          <w:rFonts w:hint="eastAsia"/>
          <w:sz w:val="24"/>
        </w:rPr>
      </w:pPr>
      <w:r>
        <w:rPr>
          <w:rFonts w:hint="eastAsia" w:ascii="SimHei" w:hAnsi="SimHei" w:eastAsia="黑体"/>
          <w:sz w:val="24"/>
        </w:rPr>
        <w:t>经营者新接任的企业若由薪酬委员会认定为经营难度大的，经董事会批准其级别系数可酌情给予适当提升；一旦企业进入正常经营期，则停止提升级别。</w:t>
      </w:r>
    </w:p>
    <w:p>
      <w:pPr>
        <w:numPr>
          <w:ilvl w:val="0"/>
          <w:numId w:val="6"/>
        </w:numPr>
        <w:tabs>
          <w:tab w:val="left" w:pos="993"/>
        </w:tabs>
        <w:spacing w:line="360" w:lineRule="auto"/>
        <w:rPr>
          <w:rFonts w:hint="eastAsia"/>
          <w:sz w:val="24"/>
        </w:rPr>
      </w:pPr>
      <w:r>
        <w:rPr>
          <w:rFonts w:hint="eastAsia" w:ascii="SimHei" w:hAnsi="SimHei" w:eastAsia="黑体"/>
          <w:sz w:val="24"/>
        </w:rPr>
        <w:t>区域调节系数的确定：</w:t>
      </w:r>
    </w:p>
    <w:p>
      <w:pPr>
        <w:tabs>
          <w:tab w:val="left" w:pos="993"/>
        </w:tabs>
        <w:spacing w:line="360" w:lineRule="auto"/>
        <w:ind w:left="480"/>
        <w:rPr>
          <w:rFonts w:hint="eastAsia"/>
          <w:sz w:val="24"/>
        </w:rPr>
      </w:pPr>
      <w:r>
        <w:rPr>
          <w:rFonts w:hint="eastAsia" w:ascii="SimHei" w:hAnsi="SimHei" w:eastAsia="黑体"/>
          <w:sz w:val="24"/>
        </w:rPr>
        <w:t>企业的区域调节系数根据企业所在区域确定，对应关系如下表：</w:t>
      </w:r>
    </w:p>
    <w:p>
      <w:pPr>
        <w:spacing w:line="360" w:lineRule="auto"/>
        <w:jc w:val="center"/>
        <w:rPr>
          <w:rFonts w:hint="eastAsia"/>
          <w:sz w:val="24"/>
        </w:rPr>
      </w:pPr>
      <w:r>
        <w:rPr>
          <w:rFonts w:hint="eastAsia" w:ascii="SimHei" w:hAnsi="SimHei" w:eastAsia="黑体"/>
          <w:sz w:val="24"/>
        </w:rPr>
        <w:t>表2  区域调节系数对应表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区域</w:t>
            </w:r>
          </w:p>
        </w:tc>
        <w:tc>
          <w:tcPr>
            <w:tcW w:w="2847" w:type="dxa"/>
            <w:noWrap w:val="0"/>
            <w:vAlign w:val="top"/>
          </w:tcPr>
          <w:p>
            <w:pPr>
              <w:spacing w:line="360" w:lineRule="auto"/>
              <w:rPr>
                <w:rFonts w:hint="eastAsia"/>
                <w:sz w:val="24"/>
              </w:rPr>
            </w:pPr>
            <w:r>
              <w:rPr>
                <w:rFonts w:hint="eastAsia" w:ascii="SimHei" w:hAnsi="SimHei" w:eastAsia="黑体"/>
                <w:sz w:val="24"/>
              </w:rPr>
              <w:t>区域调节系数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省内</w:t>
            </w:r>
          </w:p>
        </w:tc>
        <w:tc>
          <w:tcPr>
            <w:tcW w:w="2847" w:type="dxa"/>
            <w:noWrap w:val="0"/>
            <w:vAlign w:val="top"/>
          </w:tcPr>
          <w:p>
            <w:pPr>
              <w:spacing w:line="360" w:lineRule="auto"/>
              <w:jc w:val="center"/>
              <w:rPr>
                <w:rFonts w:hint="eastAsia"/>
                <w:sz w:val="24"/>
              </w:rPr>
            </w:pPr>
            <w:r>
              <w:rPr>
                <w:rFonts w:hint="eastAsia" w:ascii="SimHei" w:hAnsi="SimHei" w:eastAsia="黑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省外</w:t>
            </w:r>
          </w:p>
        </w:tc>
        <w:tc>
          <w:tcPr>
            <w:tcW w:w="2847" w:type="dxa"/>
            <w:noWrap w:val="0"/>
            <w:vAlign w:val="top"/>
          </w:tcPr>
          <w:p>
            <w:pPr>
              <w:spacing w:line="360" w:lineRule="auto"/>
              <w:jc w:val="center"/>
              <w:rPr>
                <w:sz w:val="24"/>
              </w:rPr>
            </w:pPr>
            <w:r>
              <w:rPr>
                <w:rFonts w:hint="eastAsia" w:ascii="SimHei" w:hAnsi="SimHei" w:eastAsia="黑体"/>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香港、澳门</w:t>
            </w:r>
          </w:p>
        </w:tc>
        <w:tc>
          <w:tcPr>
            <w:tcW w:w="2847" w:type="dxa"/>
            <w:noWrap w:val="0"/>
            <w:vAlign w:val="top"/>
          </w:tcPr>
          <w:p>
            <w:pPr>
              <w:spacing w:line="360" w:lineRule="auto"/>
              <w:jc w:val="center"/>
              <w:rPr>
                <w:rFonts w:hint="eastAsia"/>
                <w:sz w:val="24"/>
              </w:rPr>
            </w:pPr>
            <w:r>
              <w:rPr>
                <w:rFonts w:hint="eastAsia" w:ascii="SimHei" w:hAnsi="SimHei" w:eastAsia="黑体"/>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1" w:type="dxa"/>
            <w:noWrap w:val="0"/>
            <w:vAlign w:val="top"/>
          </w:tcPr>
          <w:p>
            <w:pPr>
              <w:spacing w:line="360" w:lineRule="auto"/>
              <w:jc w:val="center"/>
              <w:rPr>
                <w:rFonts w:hint="eastAsia"/>
                <w:sz w:val="24"/>
              </w:rPr>
            </w:pPr>
            <w:r>
              <w:rPr>
                <w:rFonts w:hint="eastAsia" w:ascii="SimHei" w:hAnsi="SimHei" w:eastAsia="黑体"/>
                <w:sz w:val="24"/>
              </w:rPr>
              <w:t>台湾、国外</w:t>
            </w:r>
          </w:p>
        </w:tc>
        <w:tc>
          <w:tcPr>
            <w:tcW w:w="2847" w:type="dxa"/>
            <w:noWrap w:val="0"/>
            <w:vAlign w:val="top"/>
          </w:tcPr>
          <w:p>
            <w:pPr>
              <w:spacing w:line="360" w:lineRule="auto"/>
              <w:jc w:val="center"/>
              <w:rPr>
                <w:rFonts w:hint="eastAsia"/>
                <w:sz w:val="24"/>
              </w:rPr>
            </w:pPr>
            <w:r>
              <w:rPr>
                <w:rFonts w:hint="eastAsia" w:ascii="SimHei" w:hAnsi="SimHei" w:eastAsia="黑体"/>
                <w:sz w:val="24"/>
              </w:rPr>
              <w:t>1.3</w:t>
            </w:r>
          </w:p>
        </w:tc>
      </w:tr>
    </w:tbl>
    <w:p>
      <w:pPr>
        <w:numPr>
          <w:ilvl w:val="1"/>
          <w:numId w:val="4"/>
        </w:numPr>
        <w:tabs>
          <w:tab w:val="left" w:pos="567"/>
          <w:tab w:val="left" w:pos="709"/>
          <w:tab w:val="clear" w:pos="900"/>
        </w:tabs>
        <w:spacing w:before="156" w:beforeLines="50" w:after="156" w:afterLines="50" w:line="360" w:lineRule="auto"/>
        <w:ind w:left="0" w:firstLine="426" w:firstLineChars="177"/>
        <w:rPr>
          <w:rFonts w:hint="eastAsia"/>
          <w:b/>
          <w:sz w:val="24"/>
        </w:rPr>
      </w:pPr>
      <w:r>
        <w:rPr>
          <w:rFonts w:hint="eastAsia" w:ascii="SimHei" w:hAnsi="SimHei" w:eastAsia="黑体"/>
          <w:b/>
          <w:sz w:val="24"/>
        </w:rPr>
        <w:t>企业级别系数的确定</w:t>
      </w:r>
    </w:p>
    <w:p>
      <w:pPr>
        <w:numPr>
          <w:ilvl w:val="0"/>
          <w:numId w:val="7"/>
        </w:numPr>
        <w:tabs>
          <w:tab w:val="left" w:pos="993"/>
        </w:tabs>
        <w:spacing w:line="360" w:lineRule="auto"/>
        <w:rPr>
          <w:rFonts w:hint="eastAsia"/>
          <w:sz w:val="24"/>
        </w:rPr>
      </w:pPr>
      <w:r>
        <w:rPr>
          <w:rFonts w:hint="eastAsia" w:ascii="SimHei" w:hAnsi="SimHei" w:eastAsia="黑体"/>
          <w:sz w:val="24"/>
        </w:rPr>
        <w:t>企业级别确定的基本原则</w:t>
      </w:r>
    </w:p>
    <w:p>
      <w:pPr>
        <w:numPr>
          <w:ilvl w:val="0"/>
          <w:numId w:val="8"/>
        </w:numPr>
        <w:tabs>
          <w:tab w:val="left" w:pos="851"/>
          <w:tab w:val="clear" w:pos="1320"/>
        </w:tabs>
        <w:spacing w:line="360" w:lineRule="auto"/>
        <w:ind w:left="0" w:firstLine="480"/>
        <w:rPr>
          <w:rFonts w:hint="eastAsia"/>
          <w:sz w:val="24"/>
        </w:rPr>
      </w:pPr>
      <w:r>
        <w:rPr>
          <w:rFonts w:hint="eastAsia" w:ascii="SimHei" w:hAnsi="SimHei" w:eastAsia="黑体"/>
          <w:sz w:val="24"/>
        </w:rPr>
        <w:t>客观地评价企业的基本素质、盈利能力和发展能力及其在国民经济中的地位和作用。</w:t>
      </w:r>
    </w:p>
    <w:p>
      <w:pPr>
        <w:numPr>
          <w:ilvl w:val="0"/>
          <w:numId w:val="8"/>
        </w:numPr>
        <w:tabs>
          <w:tab w:val="left" w:pos="851"/>
          <w:tab w:val="clear" w:pos="1320"/>
        </w:tabs>
        <w:spacing w:line="360" w:lineRule="auto"/>
        <w:ind w:left="0" w:firstLine="480"/>
        <w:rPr>
          <w:rFonts w:hint="eastAsia"/>
          <w:sz w:val="24"/>
        </w:rPr>
      </w:pPr>
      <w:r>
        <w:rPr>
          <w:rFonts w:hint="eastAsia" w:ascii="SimHei" w:hAnsi="SimHei" w:eastAsia="黑体"/>
          <w:sz w:val="24"/>
        </w:rPr>
        <w:t>促进企业转换经营机制，增强企业在市场上的竞争力，实现国有资产增值保值。</w:t>
      </w:r>
    </w:p>
    <w:p>
      <w:pPr>
        <w:numPr>
          <w:ilvl w:val="0"/>
          <w:numId w:val="8"/>
        </w:numPr>
        <w:tabs>
          <w:tab w:val="left" w:pos="851"/>
          <w:tab w:val="clear" w:pos="1320"/>
        </w:tabs>
        <w:spacing w:line="360" w:lineRule="auto"/>
        <w:ind w:left="0" w:firstLine="480"/>
        <w:rPr>
          <w:rFonts w:hint="eastAsia"/>
          <w:sz w:val="24"/>
        </w:rPr>
      </w:pPr>
      <w:r>
        <w:rPr>
          <w:rFonts w:hint="eastAsia" w:ascii="SimHei" w:hAnsi="SimHei" w:eastAsia="黑体"/>
          <w:sz w:val="24"/>
        </w:rPr>
        <w:t>按照经济规模的大小和运营质量的优劣划分企业级别，并相应确定经营者的待遇。强化激励和约束机制，促进优胜劣汰，优化组合，调整结构，鼓励企业向现代化、集团化方向发展。</w:t>
      </w:r>
    </w:p>
    <w:p>
      <w:pPr>
        <w:numPr>
          <w:ilvl w:val="0"/>
          <w:numId w:val="8"/>
        </w:numPr>
        <w:tabs>
          <w:tab w:val="left" w:pos="851"/>
          <w:tab w:val="clear" w:pos="1320"/>
        </w:tabs>
        <w:spacing w:line="360" w:lineRule="auto"/>
        <w:ind w:left="0" w:firstLine="480"/>
        <w:rPr>
          <w:rFonts w:hint="eastAsia"/>
          <w:sz w:val="24"/>
        </w:rPr>
      </w:pPr>
      <w:r>
        <w:rPr>
          <w:rFonts w:hint="eastAsia" w:ascii="SimHei" w:hAnsi="SimHei" w:eastAsia="黑体"/>
          <w:sz w:val="24"/>
        </w:rPr>
        <w:t>级别评价指标的设置，参照国际通用指标，结合山东省国有企业的特点及现状，以调动企业开拓进取的积极性。企业级别系数每年评定一次。</w:t>
      </w:r>
    </w:p>
    <w:p>
      <w:pPr>
        <w:numPr>
          <w:ilvl w:val="0"/>
          <w:numId w:val="7"/>
        </w:numPr>
        <w:tabs>
          <w:tab w:val="left" w:pos="993"/>
        </w:tabs>
        <w:spacing w:line="360" w:lineRule="auto"/>
        <w:rPr>
          <w:rFonts w:hint="eastAsia"/>
          <w:sz w:val="24"/>
        </w:rPr>
      </w:pPr>
      <w:r>
        <w:rPr>
          <w:rFonts w:hint="eastAsia" w:ascii="SimHei" w:hAnsi="SimHei" w:eastAsia="黑体"/>
          <w:sz w:val="24"/>
        </w:rPr>
        <w:t>企业级别确定指标及评分办法</w:t>
      </w:r>
    </w:p>
    <w:p>
      <w:pPr>
        <w:numPr>
          <w:ilvl w:val="0"/>
          <w:numId w:val="9"/>
        </w:numPr>
        <w:spacing w:line="360" w:lineRule="auto"/>
        <w:rPr>
          <w:rFonts w:hint="eastAsia"/>
          <w:sz w:val="24"/>
        </w:rPr>
      </w:pPr>
      <w:r>
        <w:rPr>
          <w:rFonts w:hint="eastAsia" w:ascii="SimHei" w:hAnsi="SimHei" w:eastAsia="黑体"/>
          <w:sz w:val="24"/>
        </w:rPr>
        <w:t>指标设置</w:t>
      </w:r>
    </w:p>
    <w:p>
      <w:pPr>
        <w:spacing w:line="360" w:lineRule="auto"/>
        <w:ind w:firstLine="480" w:firstLineChars="200"/>
        <w:rPr>
          <w:rFonts w:hint="eastAsia"/>
          <w:sz w:val="24"/>
        </w:rPr>
      </w:pPr>
      <w:r>
        <w:rPr>
          <w:rFonts w:hint="eastAsia" w:ascii="SimHei" w:hAnsi="SimHei" w:eastAsia="黑体"/>
          <w:sz w:val="24"/>
        </w:rPr>
        <w:t>企业级别确定采用总资产、净资产、主营业务收入总额、利润总额等4项指标。各指标名称、权重及总分如下表：</w:t>
      </w:r>
    </w:p>
    <w:p>
      <w:pPr>
        <w:spacing w:line="360" w:lineRule="auto"/>
        <w:ind w:firstLine="480" w:firstLineChars="200"/>
        <w:jc w:val="center"/>
        <w:rPr>
          <w:rFonts w:hint="eastAsia"/>
          <w:sz w:val="24"/>
        </w:rPr>
      </w:pPr>
      <w:r>
        <w:rPr>
          <w:rFonts w:hint="eastAsia" w:ascii="SimHei" w:hAnsi="SimHei" w:eastAsia="黑体"/>
          <w:sz w:val="24"/>
        </w:rPr>
        <w:t>表2  考核指标权重一览表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68"/>
        <w:gridCol w:w="4110"/>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noWrap w:val="0"/>
            <w:vAlign w:val="top"/>
          </w:tcPr>
          <w:p>
            <w:pPr>
              <w:jc w:val="center"/>
              <w:rPr>
                <w:rFonts w:hint="eastAsia"/>
                <w:sz w:val="24"/>
              </w:rPr>
            </w:pPr>
            <w:r>
              <w:rPr>
                <w:rFonts w:hint="eastAsia" w:ascii="SimHei" w:hAnsi="SimHei" w:eastAsia="黑体"/>
                <w:sz w:val="24"/>
              </w:rPr>
              <w:t>序号</w:t>
            </w:r>
          </w:p>
        </w:tc>
        <w:tc>
          <w:tcPr>
            <w:tcW w:w="2268" w:type="dxa"/>
            <w:tcBorders>
              <w:bottom w:val="single" w:color="auto" w:sz="4" w:space="0"/>
            </w:tcBorders>
            <w:noWrap w:val="0"/>
            <w:vAlign w:val="top"/>
          </w:tcPr>
          <w:p>
            <w:pPr>
              <w:jc w:val="center"/>
              <w:rPr>
                <w:rFonts w:hint="eastAsia"/>
                <w:sz w:val="24"/>
              </w:rPr>
            </w:pPr>
            <w:r>
              <w:rPr>
                <w:rFonts w:hint="eastAsia" w:ascii="SimHei" w:hAnsi="SimHei" w:eastAsia="黑体"/>
                <w:sz w:val="24"/>
              </w:rPr>
              <w:t>指标名称</w:t>
            </w:r>
          </w:p>
        </w:tc>
        <w:tc>
          <w:tcPr>
            <w:tcW w:w="4110" w:type="dxa"/>
            <w:tcBorders>
              <w:bottom w:val="single" w:color="auto" w:sz="4" w:space="0"/>
            </w:tcBorders>
            <w:noWrap w:val="0"/>
            <w:vAlign w:val="top"/>
          </w:tcPr>
          <w:p>
            <w:pPr>
              <w:jc w:val="center"/>
              <w:rPr>
                <w:rFonts w:hint="eastAsia"/>
                <w:sz w:val="24"/>
              </w:rPr>
            </w:pPr>
            <w:r>
              <w:rPr>
                <w:rFonts w:hint="eastAsia" w:ascii="SimHei" w:hAnsi="SimHei" w:eastAsia="黑体"/>
                <w:sz w:val="24"/>
              </w:rPr>
              <w:t>指标特征</w:t>
            </w:r>
          </w:p>
        </w:tc>
        <w:tc>
          <w:tcPr>
            <w:tcW w:w="709" w:type="dxa"/>
            <w:tcBorders>
              <w:bottom w:val="single" w:color="auto" w:sz="4" w:space="0"/>
            </w:tcBorders>
            <w:noWrap w:val="0"/>
            <w:vAlign w:val="top"/>
          </w:tcPr>
          <w:p>
            <w:pPr>
              <w:jc w:val="center"/>
              <w:rPr>
                <w:rFonts w:hint="eastAsia"/>
                <w:sz w:val="24"/>
              </w:rPr>
            </w:pPr>
            <w:r>
              <w:rPr>
                <w:rFonts w:hint="eastAsia" w:ascii="SimHei" w:hAnsi="SimHei" w:eastAsia="黑体"/>
                <w:sz w:val="24"/>
              </w:rPr>
              <w:t>权重</w:t>
            </w:r>
          </w:p>
        </w:tc>
        <w:tc>
          <w:tcPr>
            <w:tcW w:w="1276" w:type="dxa"/>
            <w:tcBorders>
              <w:bottom w:val="single" w:color="auto" w:sz="4" w:space="0"/>
            </w:tcBorders>
            <w:noWrap w:val="0"/>
            <w:vAlign w:val="top"/>
          </w:tcPr>
          <w:p>
            <w:pPr>
              <w:jc w:val="center"/>
              <w:rPr>
                <w:rFonts w:hint="eastAsia"/>
                <w:sz w:val="24"/>
              </w:rPr>
            </w:pPr>
            <w:r>
              <w:rPr>
                <w:rFonts w:hint="eastAsia" w:ascii="SimHei" w:hAnsi="SimHei" w:eastAsia="黑体"/>
                <w:sz w:val="24"/>
              </w:rPr>
              <w:t>单项总分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D9D9D9"/>
            <w:noWrap w:val="0"/>
            <w:vAlign w:val="top"/>
          </w:tcPr>
          <w:p>
            <w:pPr>
              <w:jc w:val="center"/>
              <w:rPr>
                <w:rFonts w:hint="eastAsia"/>
                <w:sz w:val="24"/>
              </w:rPr>
            </w:pPr>
            <w:r>
              <w:rPr>
                <w:rFonts w:hint="eastAsia" w:ascii="SimHei" w:hAnsi="SimHei" w:eastAsia="黑体"/>
                <w:sz w:val="24"/>
              </w:rPr>
              <w:t>1</w:t>
            </w:r>
          </w:p>
        </w:tc>
        <w:tc>
          <w:tcPr>
            <w:tcW w:w="2268" w:type="dxa"/>
            <w:shd w:val="clear" w:color="auto" w:fill="D9D9D9"/>
            <w:noWrap w:val="0"/>
            <w:vAlign w:val="top"/>
          </w:tcPr>
          <w:p>
            <w:pPr>
              <w:jc w:val="center"/>
              <w:rPr>
                <w:rFonts w:hint="eastAsia"/>
                <w:sz w:val="24"/>
              </w:rPr>
            </w:pPr>
            <w:r>
              <w:rPr>
                <w:rFonts w:hint="eastAsia" w:ascii="SimHei" w:hAnsi="SimHei" w:eastAsia="黑体"/>
                <w:sz w:val="24"/>
              </w:rPr>
              <w:t>总资产</w:t>
            </w:r>
          </w:p>
        </w:tc>
        <w:tc>
          <w:tcPr>
            <w:tcW w:w="4110" w:type="dxa"/>
            <w:shd w:val="clear" w:color="auto" w:fill="D9D9D9"/>
            <w:noWrap w:val="0"/>
            <w:vAlign w:val="top"/>
          </w:tcPr>
          <w:p>
            <w:pPr>
              <w:rPr>
                <w:rFonts w:hint="eastAsia"/>
                <w:sz w:val="24"/>
              </w:rPr>
            </w:pPr>
            <w:r>
              <w:rPr>
                <w:rFonts w:hint="eastAsia" w:ascii="SimHei" w:hAnsi="SimHei" w:eastAsia="黑体"/>
                <w:sz w:val="24"/>
              </w:rPr>
              <w:t>表示企业占有的社会资源</w:t>
            </w:r>
          </w:p>
        </w:tc>
        <w:tc>
          <w:tcPr>
            <w:tcW w:w="709" w:type="dxa"/>
            <w:shd w:val="clear" w:color="auto" w:fill="D9D9D9"/>
            <w:noWrap w:val="0"/>
            <w:vAlign w:val="top"/>
          </w:tcPr>
          <w:p>
            <w:pPr>
              <w:jc w:val="center"/>
              <w:rPr>
                <w:rFonts w:hint="eastAsia"/>
                <w:sz w:val="24"/>
              </w:rPr>
            </w:pPr>
            <w:r>
              <w:rPr>
                <w:rFonts w:hint="eastAsia" w:ascii="SimHei" w:hAnsi="SimHei" w:eastAsia="黑体"/>
                <w:sz w:val="24"/>
              </w:rPr>
              <w:t>0.15</w:t>
            </w:r>
          </w:p>
        </w:tc>
        <w:tc>
          <w:tcPr>
            <w:tcW w:w="1276" w:type="dxa"/>
            <w:shd w:val="clear" w:color="auto" w:fill="D9D9D9"/>
            <w:noWrap w:val="0"/>
            <w:vAlign w:val="top"/>
          </w:tcPr>
          <w:p>
            <w:pPr>
              <w:jc w:val="center"/>
              <w:rPr>
                <w:rFonts w:hint="eastAsia"/>
                <w:sz w:val="24"/>
              </w:rPr>
            </w:pPr>
            <w:r>
              <w:rPr>
                <w:rFonts w:hint="eastAsia" w:ascii="SimHei" w:hAnsi="SimHei" w:eastAsia="黑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noWrap w:val="0"/>
            <w:vAlign w:val="top"/>
          </w:tcPr>
          <w:p>
            <w:pPr>
              <w:jc w:val="center"/>
              <w:rPr>
                <w:rFonts w:hint="eastAsia"/>
                <w:sz w:val="24"/>
              </w:rPr>
            </w:pPr>
            <w:r>
              <w:rPr>
                <w:rFonts w:hint="eastAsia" w:ascii="SimHei" w:hAnsi="SimHei" w:eastAsia="黑体"/>
                <w:sz w:val="24"/>
              </w:rPr>
              <w:t>2</w:t>
            </w:r>
          </w:p>
        </w:tc>
        <w:tc>
          <w:tcPr>
            <w:tcW w:w="2268" w:type="dxa"/>
            <w:tcBorders>
              <w:bottom w:val="single" w:color="auto" w:sz="4" w:space="0"/>
            </w:tcBorders>
            <w:noWrap w:val="0"/>
            <w:vAlign w:val="top"/>
          </w:tcPr>
          <w:p>
            <w:pPr>
              <w:jc w:val="center"/>
              <w:rPr>
                <w:rFonts w:hint="eastAsia"/>
                <w:sz w:val="24"/>
              </w:rPr>
            </w:pPr>
            <w:r>
              <w:rPr>
                <w:rFonts w:hint="eastAsia" w:ascii="SimHei" w:hAnsi="SimHei" w:eastAsia="黑体"/>
                <w:sz w:val="24"/>
              </w:rPr>
              <w:t>净资产</w:t>
            </w:r>
          </w:p>
        </w:tc>
        <w:tc>
          <w:tcPr>
            <w:tcW w:w="4110" w:type="dxa"/>
            <w:tcBorders>
              <w:bottom w:val="single" w:color="auto" w:sz="4" w:space="0"/>
            </w:tcBorders>
            <w:noWrap w:val="0"/>
            <w:vAlign w:val="top"/>
          </w:tcPr>
          <w:p>
            <w:pPr>
              <w:rPr>
                <w:rFonts w:hint="eastAsia"/>
                <w:sz w:val="24"/>
              </w:rPr>
            </w:pPr>
            <w:r>
              <w:rPr>
                <w:rFonts w:hint="eastAsia" w:ascii="SimHei" w:hAnsi="SimHei" w:eastAsia="黑体"/>
                <w:sz w:val="24"/>
              </w:rPr>
              <w:t>表示企业履行民事责任的能力</w:t>
            </w:r>
          </w:p>
        </w:tc>
        <w:tc>
          <w:tcPr>
            <w:tcW w:w="709" w:type="dxa"/>
            <w:tcBorders>
              <w:bottom w:val="single" w:color="auto" w:sz="4" w:space="0"/>
            </w:tcBorders>
            <w:noWrap w:val="0"/>
            <w:vAlign w:val="top"/>
          </w:tcPr>
          <w:p>
            <w:pPr>
              <w:jc w:val="center"/>
              <w:rPr>
                <w:rFonts w:hint="eastAsia"/>
                <w:sz w:val="24"/>
              </w:rPr>
            </w:pPr>
            <w:r>
              <w:rPr>
                <w:rFonts w:hint="eastAsia" w:ascii="SimHei" w:hAnsi="SimHei" w:eastAsia="黑体"/>
                <w:sz w:val="24"/>
              </w:rPr>
              <w:t>0.30</w:t>
            </w:r>
          </w:p>
        </w:tc>
        <w:tc>
          <w:tcPr>
            <w:tcW w:w="1276" w:type="dxa"/>
            <w:tcBorders>
              <w:bottom w:val="single" w:color="auto" w:sz="4" w:space="0"/>
            </w:tcBorders>
            <w:noWrap w:val="0"/>
            <w:vAlign w:val="top"/>
          </w:tcPr>
          <w:p>
            <w:pPr>
              <w:jc w:val="center"/>
              <w:rPr>
                <w:rFonts w:hint="eastAsia"/>
                <w:sz w:val="24"/>
              </w:rPr>
            </w:pPr>
            <w:r>
              <w:rPr>
                <w:rFonts w:hint="eastAsia" w:ascii="SimHei" w:hAnsi="SimHei" w:eastAsia="黑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D9D9D9"/>
            <w:noWrap w:val="0"/>
            <w:vAlign w:val="top"/>
          </w:tcPr>
          <w:p>
            <w:pPr>
              <w:jc w:val="center"/>
              <w:rPr>
                <w:rFonts w:hint="eastAsia"/>
                <w:sz w:val="24"/>
              </w:rPr>
            </w:pPr>
            <w:r>
              <w:rPr>
                <w:rFonts w:hint="eastAsia" w:ascii="SimHei" w:hAnsi="SimHei" w:eastAsia="黑体"/>
                <w:sz w:val="24"/>
              </w:rPr>
              <w:t>3</w:t>
            </w:r>
          </w:p>
        </w:tc>
        <w:tc>
          <w:tcPr>
            <w:tcW w:w="2268" w:type="dxa"/>
            <w:shd w:val="clear" w:color="auto" w:fill="D9D9D9"/>
            <w:noWrap w:val="0"/>
            <w:vAlign w:val="top"/>
          </w:tcPr>
          <w:p>
            <w:pPr>
              <w:jc w:val="center"/>
              <w:rPr>
                <w:rFonts w:hint="eastAsia"/>
                <w:sz w:val="24"/>
              </w:rPr>
            </w:pPr>
            <w:r>
              <w:rPr>
                <w:rFonts w:hint="eastAsia" w:ascii="SimHei" w:hAnsi="SimHei" w:eastAsia="黑体"/>
                <w:sz w:val="24"/>
              </w:rPr>
              <w:t>主营业务收入总额</w:t>
            </w:r>
          </w:p>
        </w:tc>
        <w:tc>
          <w:tcPr>
            <w:tcW w:w="4110" w:type="dxa"/>
            <w:shd w:val="clear" w:color="auto" w:fill="D9D9D9"/>
            <w:noWrap w:val="0"/>
            <w:vAlign w:val="top"/>
          </w:tcPr>
          <w:p>
            <w:pPr>
              <w:rPr>
                <w:rFonts w:hint="eastAsia"/>
                <w:sz w:val="24"/>
              </w:rPr>
            </w:pPr>
            <w:r>
              <w:rPr>
                <w:rFonts w:hint="eastAsia" w:ascii="SimHei" w:hAnsi="SimHei" w:eastAsia="黑体"/>
                <w:sz w:val="24"/>
              </w:rPr>
              <w:t>表示经营规模和在市场的地位、作用</w:t>
            </w:r>
          </w:p>
        </w:tc>
        <w:tc>
          <w:tcPr>
            <w:tcW w:w="709" w:type="dxa"/>
            <w:shd w:val="clear" w:color="auto" w:fill="D9D9D9"/>
            <w:noWrap w:val="0"/>
            <w:vAlign w:val="top"/>
          </w:tcPr>
          <w:p>
            <w:pPr>
              <w:jc w:val="center"/>
              <w:rPr>
                <w:rFonts w:hint="eastAsia"/>
                <w:sz w:val="24"/>
              </w:rPr>
            </w:pPr>
            <w:r>
              <w:rPr>
                <w:rFonts w:hint="eastAsia" w:ascii="SimHei" w:hAnsi="SimHei" w:eastAsia="黑体"/>
                <w:sz w:val="24"/>
              </w:rPr>
              <w:t>0.25</w:t>
            </w:r>
          </w:p>
        </w:tc>
        <w:tc>
          <w:tcPr>
            <w:tcW w:w="1276" w:type="dxa"/>
            <w:shd w:val="clear" w:color="auto" w:fill="D9D9D9"/>
            <w:noWrap w:val="0"/>
            <w:vAlign w:val="top"/>
          </w:tcPr>
          <w:p>
            <w:pPr>
              <w:jc w:val="center"/>
              <w:rPr>
                <w:rFonts w:hint="eastAsia"/>
                <w:sz w:val="24"/>
              </w:rPr>
            </w:pPr>
            <w:r>
              <w:rPr>
                <w:rFonts w:hint="eastAsia" w:ascii="SimHei" w:hAnsi="SimHei" w:eastAsia="黑体"/>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noWrap w:val="0"/>
            <w:vAlign w:val="top"/>
          </w:tcPr>
          <w:p>
            <w:pPr>
              <w:jc w:val="center"/>
              <w:rPr>
                <w:rFonts w:hint="eastAsia"/>
                <w:sz w:val="24"/>
              </w:rPr>
            </w:pPr>
            <w:r>
              <w:rPr>
                <w:rFonts w:hint="eastAsia" w:ascii="SimHei" w:hAnsi="SimHei" w:eastAsia="黑体"/>
                <w:sz w:val="24"/>
              </w:rPr>
              <w:t>4</w:t>
            </w:r>
          </w:p>
        </w:tc>
        <w:tc>
          <w:tcPr>
            <w:tcW w:w="2268" w:type="dxa"/>
            <w:tcBorders>
              <w:bottom w:val="single" w:color="auto" w:sz="4" w:space="0"/>
            </w:tcBorders>
            <w:noWrap w:val="0"/>
            <w:vAlign w:val="top"/>
          </w:tcPr>
          <w:p>
            <w:pPr>
              <w:jc w:val="center"/>
              <w:rPr>
                <w:rFonts w:hint="eastAsia"/>
                <w:sz w:val="24"/>
              </w:rPr>
            </w:pPr>
            <w:r>
              <w:rPr>
                <w:rFonts w:hint="eastAsia" w:ascii="SimHei" w:hAnsi="SimHei" w:eastAsia="黑体"/>
                <w:sz w:val="24"/>
              </w:rPr>
              <w:t>利润总额</w:t>
            </w:r>
          </w:p>
        </w:tc>
        <w:tc>
          <w:tcPr>
            <w:tcW w:w="4110" w:type="dxa"/>
            <w:tcBorders>
              <w:bottom w:val="single" w:color="auto" w:sz="4" w:space="0"/>
            </w:tcBorders>
            <w:noWrap w:val="0"/>
            <w:vAlign w:val="top"/>
          </w:tcPr>
          <w:p>
            <w:pPr>
              <w:rPr>
                <w:rFonts w:hint="eastAsia"/>
                <w:sz w:val="24"/>
              </w:rPr>
            </w:pPr>
            <w:r>
              <w:rPr>
                <w:rFonts w:hint="eastAsia" w:ascii="SimHei" w:hAnsi="SimHei" w:eastAsia="黑体"/>
                <w:sz w:val="24"/>
              </w:rPr>
              <w:t>表示经营成果规模</w:t>
            </w:r>
          </w:p>
        </w:tc>
        <w:tc>
          <w:tcPr>
            <w:tcW w:w="709" w:type="dxa"/>
            <w:tcBorders>
              <w:bottom w:val="single" w:color="auto" w:sz="4" w:space="0"/>
            </w:tcBorders>
            <w:noWrap w:val="0"/>
            <w:vAlign w:val="top"/>
          </w:tcPr>
          <w:p>
            <w:pPr>
              <w:jc w:val="center"/>
              <w:rPr>
                <w:rFonts w:hint="eastAsia"/>
                <w:sz w:val="24"/>
              </w:rPr>
            </w:pPr>
            <w:r>
              <w:rPr>
                <w:rFonts w:hint="eastAsia" w:ascii="SimHei" w:hAnsi="SimHei" w:eastAsia="黑体"/>
                <w:sz w:val="24"/>
              </w:rPr>
              <w:t>0.30</w:t>
            </w:r>
          </w:p>
        </w:tc>
        <w:tc>
          <w:tcPr>
            <w:tcW w:w="1276" w:type="dxa"/>
            <w:tcBorders>
              <w:bottom w:val="single" w:color="auto" w:sz="4" w:space="0"/>
            </w:tcBorders>
            <w:noWrap w:val="0"/>
            <w:vAlign w:val="top"/>
          </w:tcPr>
          <w:p>
            <w:pPr>
              <w:jc w:val="center"/>
              <w:rPr>
                <w:rFonts w:hint="eastAsia"/>
                <w:sz w:val="24"/>
              </w:rPr>
            </w:pPr>
            <w:r>
              <w:rPr>
                <w:rFonts w:hint="eastAsia" w:ascii="SimHei" w:hAnsi="SimHei" w:eastAsia="黑体"/>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D9D9D9"/>
            <w:noWrap w:val="0"/>
            <w:vAlign w:val="top"/>
          </w:tcPr>
          <w:p>
            <w:pPr>
              <w:jc w:val="center"/>
              <w:rPr>
                <w:rFonts w:hint="eastAsia"/>
                <w:sz w:val="24"/>
              </w:rPr>
            </w:pPr>
          </w:p>
        </w:tc>
        <w:tc>
          <w:tcPr>
            <w:tcW w:w="2268" w:type="dxa"/>
            <w:shd w:val="clear" w:color="auto" w:fill="D9D9D9"/>
            <w:noWrap w:val="0"/>
            <w:vAlign w:val="top"/>
          </w:tcPr>
          <w:p>
            <w:pPr>
              <w:jc w:val="center"/>
              <w:rPr>
                <w:rFonts w:hint="eastAsia"/>
                <w:sz w:val="24"/>
              </w:rPr>
            </w:pPr>
            <w:r>
              <w:rPr>
                <w:rFonts w:hint="eastAsia" w:ascii="SimHei" w:hAnsi="SimHei" w:eastAsia="黑体"/>
                <w:sz w:val="24"/>
              </w:rPr>
              <w:t>合计</w:t>
            </w:r>
          </w:p>
        </w:tc>
        <w:tc>
          <w:tcPr>
            <w:tcW w:w="4110" w:type="dxa"/>
            <w:shd w:val="clear" w:color="auto" w:fill="D9D9D9"/>
            <w:noWrap w:val="0"/>
            <w:vAlign w:val="top"/>
          </w:tcPr>
          <w:p>
            <w:pPr>
              <w:jc w:val="center"/>
              <w:rPr>
                <w:rFonts w:hint="eastAsia"/>
                <w:sz w:val="24"/>
              </w:rPr>
            </w:pPr>
          </w:p>
        </w:tc>
        <w:tc>
          <w:tcPr>
            <w:tcW w:w="709" w:type="dxa"/>
            <w:shd w:val="clear" w:color="auto" w:fill="D9D9D9"/>
            <w:noWrap w:val="0"/>
            <w:vAlign w:val="top"/>
          </w:tcPr>
          <w:p>
            <w:pPr>
              <w:jc w:val="center"/>
              <w:rPr>
                <w:rFonts w:hint="eastAsia"/>
                <w:sz w:val="24"/>
              </w:rPr>
            </w:pPr>
            <w:r>
              <w:rPr>
                <w:rFonts w:hint="eastAsia" w:ascii="SimHei" w:hAnsi="SimHei" w:eastAsia="黑体"/>
                <w:sz w:val="24"/>
              </w:rPr>
              <w:t>1.00</w:t>
            </w:r>
          </w:p>
        </w:tc>
        <w:tc>
          <w:tcPr>
            <w:tcW w:w="1276" w:type="dxa"/>
            <w:shd w:val="clear" w:color="auto" w:fill="D9D9D9"/>
            <w:noWrap w:val="0"/>
            <w:vAlign w:val="top"/>
          </w:tcPr>
          <w:p>
            <w:pPr>
              <w:jc w:val="center"/>
              <w:rPr>
                <w:rFonts w:hint="eastAsia"/>
                <w:sz w:val="24"/>
              </w:rPr>
            </w:pPr>
            <w:r>
              <w:rPr>
                <w:rFonts w:hint="eastAsia" w:ascii="SimHei" w:hAnsi="SimHei" w:eastAsia="黑体"/>
                <w:sz w:val="24"/>
              </w:rPr>
              <w:t>1000</w:t>
            </w:r>
          </w:p>
        </w:tc>
      </w:tr>
    </w:tbl>
    <w:p>
      <w:pPr>
        <w:numPr>
          <w:ilvl w:val="0"/>
          <w:numId w:val="9"/>
        </w:numPr>
        <w:spacing w:line="360" w:lineRule="auto"/>
        <w:rPr>
          <w:rFonts w:hint="eastAsia"/>
          <w:sz w:val="24"/>
        </w:rPr>
      </w:pPr>
      <w:r>
        <w:rPr>
          <w:rFonts w:hint="eastAsia" w:ascii="SimHei" w:hAnsi="SimHei" w:eastAsia="黑体"/>
          <w:sz w:val="24"/>
        </w:rPr>
        <w:t>指标说明</w:t>
      </w:r>
    </w:p>
    <w:p>
      <w:pPr>
        <w:spacing w:line="360" w:lineRule="auto"/>
        <w:ind w:firstLine="480" w:firstLineChars="200"/>
        <w:rPr>
          <w:rFonts w:hint="eastAsia"/>
          <w:sz w:val="24"/>
        </w:rPr>
      </w:pPr>
      <w:r>
        <w:rPr>
          <w:rFonts w:hint="eastAsia" w:ascii="SimHei" w:hAnsi="SimHei" w:eastAsia="黑体"/>
          <w:sz w:val="24"/>
        </w:rPr>
        <w:t>总资产：上年资产负债表中的期末资产总额</w:t>
      </w:r>
    </w:p>
    <w:p>
      <w:pPr>
        <w:spacing w:line="360" w:lineRule="auto"/>
        <w:ind w:firstLine="480" w:firstLineChars="200"/>
        <w:rPr>
          <w:rFonts w:hint="eastAsia"/>
          <w:sz w:val="24"/>
        </w:rPr>
      </w:pPr>
      <w:r>
        <w:rPr>
          <w:rFonts w:hint="eastAsia" w:ascii="SimHei" w:hAnsi="SimHei" w:eastAsia="黑体"/>
          <w:sz w:val="24"/>
        </w:rPr>
        <w:t>净资产：上年资产负债表中期末净资产额</w:t>
      </w:r>
    </w:p>
    <w:p>
      <w:pPr>
        <w:spacing w:line="360" w:lineRule="auto"/>
        <w:ind w:firstLine="480" w:firstLineChars="200"/>
        <w:rPr>
          <w:rFonts w:hint="eastAsia"/>
          <w:sz w:val="24"/>
        </w:rPr>
      </w:pPr>
      <w:r>
        <w:rPr>
          <w:rFonts w:hint="eastAsia" w:ascii="SimHei" w:hAnsi="SimHei" w:eastAsia="黑体"/>
          <w:sz w:val="24"/>
        </w:rPr>
        <w:t>主营业务收入总额：上年损益表中的主营业务收入总额</w:t>
      </w:r>
    </w:p>
    <w:p>
      <w:pPr>
        <w:spacing w:line="360" w:lineRule="auto"/>
        <w:ind w:firstLine="480" w:firstLineChars="200"/>
        <w:rPr>
          <w:rFonts w:hint="eastAsia"/>
          <w:sz w:val="24"/>
        </w:rPr>
      </w:pPr>
      <w:r>
        <w:rPr>
          <w:rFonts w:hint="eastAsia" w:ascii="SimHei" w:hAnsi="SimHei" w:eastAsia="黑体"/>
          <w:sz w:val="24"/>
        </w:rPr>
        <w:t>利润总额：上年损益表中的税前利润总额。</w:t>
      </w:r>
    </w:p>
    <w:p>
      <w:pPr>
        <w:spacing w:line="360" w:lineRule="auto"/>
        <w:ind w:firstLine="480" w:firstLineChars="200"/>
        <w:rPr>
          <w:rFonts w:hint="eastAsia"/>
          <w:sz w:val="24"/>
        </w:rPr>
      </w:pPr>
      <w:r>
        <w:rPr>
          <w:rFonts w:hint="eastAsia" w:ascii="SimHei" w:hAnsi="SimHei" w:eastAsia="黑体"/>
          <w:sz w:val="24"/>
        </w:rPr>
        <w:t>说明：上年损益表中的税前利润总额。</w:t>
      </w:r>
    </w:p>
    <w:p>
      <w:pPr>
        <w:numPr>
          <w:ilvl w:val="0"/>
          <w:numId w:val="9"/>
        </w:numPr>
        <w:spacing w:line="360" w:lineRule="auto"/>
        <w:rPr>
          <w:rFonts w:hint="eastAsia"/>
          <w:sz w:val="24"/>
        </w:rPr>
      </w:pPr>
      <w:r>
        <w:rPr>
          <w:rFonts w:hint="eastAsia" w:ascii="SimHei" w:hAnsi="SimHei" w:eastAsia="黑体"/>
          <w:sz w:val="24"/>
        </w:rPr>
        <w:t>计分办法</w:t>
      </w:r>
    </w:p>
    <w:p>
      <w:pPr>
        <w:numPr>
          <w:ilvl w:val="0"/>
          <w:numId w:val="10"/>
        </w:numPr>
        <w:spacing w:line="360" w:lineRule="auto"/>
        <w:rPr>
          <w:rFonts w:hint="eastAsia"/>
          <w:sz w:val="24"/>
        </w:rPr>
      </w:pPr>
      <w:r>
        <w:rPr>
          <w:rFonts w:hint="eastAsia" w:ascii="SimHei" w:hAnsi="SimHei" w:eastAsia="黑体"/>
          <w:sz w:val="24"/>
        </w:rPr>
        <w:t>企业各项指标得分</w:t>
      </w:r>
    </w:p>
    <w:p>
      <w:pPr>
        <w:spacing w:line="360" w:lineRule="auto"/>
        <w:ind w:firstLine="480" w:firstLineChars="200"/>
        <w:rPr>
          <w:rFonts w:hint="eastAsia"/>
          <w:sz w:val="24"/>
        </w:rPr>
      </w:pPr>
      <w:r>
        <w:rPr>
          <w:rFonts w:hint="eastAsia" w:ascii="SimHei" w:hAnsi="SimHei" w:eastAsia="黑体"/>
          <w:sz w:val="24"/>
        </w:rPr>
        <w:t>企业某项指标得分＝{[（某项指标</w:t>
      </w:r>
      <w:r>
        <w:rPr>
          <w:rFonts w:hint="eastAsia" w:ascii="SimHei" w:hAnsi="SimHei" w:eastAsia="黑体"/>
          <w:sz w:val="24"/>
        </w:rPr>
        <w:t>值－</w:t>
      </w:r>
      <w:r>
        <w:rPr>
          <w:rFonts w:hint="eastAsia" w:ascii="SimHei" w:hAnsi="SimHei" w:eastAsia="黑体"/>
          <w:sz w:val="24"/>
        </w:rPr>
        <w:t>平均值）／（某项指标最大</w:t>
      </w:r>
      <w:r>
        <w:rPr>
          <w:rFonts w:hint="eastAsia" w:ascii="SimHei" w:hAnsi="SimHei" w:eastAsia="黑体"/>
          <w:sz w:val="24"/>
        </w:rPr>
        <w:t>值－</w:t>
      </w:r>
      <w:r>
        <w:rPr>
          <w:rFonts w:hint="eastAsia" w:ascii="SimHei" w:hAnsi="SimHei" w:eastAsia="黑体"/>
          <w:sz w:val="24"/>
        </w:rPr>
        <w:t>平均值）] ×0.</w:t>
      </w:r>
      <w:r>
        <w:rPr>
          <w:rFonts w:hint="eastAsia" w:ascii="SimHei" w:hAnsi="SimHei" w:eastAsia="黑体"/>
          <w:sz w:val="24"/>
        </w:rPr>
        <w:t>4＋</w:t>
      </w:r>
      <w:r>
        <w:rPr>
          <w:rFonts w:hint="eastAsia" w:ascii="SimHei" w:hAnsi="SimHei" w:eastAsia="黑体"/>
          <w:sz w:val="24"/>
        </w:rPr>
        <w:t>0.6</w:t>
      </w:r>
      <w:r>
        <w:rPr>
          <w:rFonts w:hint="eastAsia" w:ascii="SimHei" w:hAnsi="SimHei" w:eastAsia="黑体"/>
          <w:sz w:val="24"/>
        </w:rPr>
        <w:t>}</w:t>
      </w:r>
      <w:r>
        <w:rPr>
          <w:rFonts w:hint="eastAsia" w:ascii="SimHei" w:hAnsi="SimHei" w:eastAsia="黑体"/>
          <w:sz w:val="24"/>
        </w:rPr>
        <w:t>×权重×1000</w:t>
      </w:r>
    </w:p>
    <w:p>
      <w:pPr>
        <w:numPr>
          <w:ilvl w:val="0"/>
          <w:numId w:val="10"/>
        </w:numPr>
        <w:spacing w:line="360" w:lineRule="auto"/>
        <w:rPr>
          <w:rFonts w:hint="eastAsia"/>
          <w:sz w:val="24"/>
        </w:rPr>
      </w:pPr>
      <w:r>
        <w:rPr>
          <w:rFonts w:hint="eastAsia" w:ascii="SimHei" w:hAnsi="SimHei" w:eastAsia="黑体"/>
          <w:sz w:val="24"/>
        </w:rPr>
        <w:t>企业得分</w:t>
      </w:r>
    </w:p>
    <w:p>
      <w:pPr>
        <w:spacing w:line="360" w:lineRule="auto"/>
        <w:ind w:left="481" w:leftChars="229" w:firstLine="1440" w:firstLineChars="600"/>
        <w:rPr>
          <w:rFonts w:hint="eastAsia"/>
          <w:sz w:val="24"/>
        </w:rPr>
      </w:pPr>
      <w:r>
        <w:rPr>
          <w:rFonts w:hint="eastAsia" w:ascii="SimHei" w:hAnsi="SimHei" w:eastAsia="黑体"/>
          <w:sz w:val="24"/>
        </w:rPr>
        <w:t>企业得分＝∑企业某项指标得分</w:t>
      </w:r>
    </w:p>
    <w:p>
      <w:pPr>
        <w:spacing w:line="360" w:lineRule="auto"/>
        <w:ind w:left="480"/>
        <w:rPr>
          <w:rFonts w:hint="eastAsia"/>
          <w:sz w:val="24"/>
        </w:rPr>
      </w:pPr>
      <w:r>
        <w:rPr>
          <w:rFonts w:hint="eastAsia" w:ascii="SimHei" w:hAnsi="SimHei" w:eastAsia="黑体"/>
          <w:sz w:val="24"/>
        </w:rPr>
        <w:t>说明：</w:t>
      </w:r>
    </w:p>
    <w:p>
      <w:pPr>
        <w:numPr>
          <w:ilvl w:val="0"/>
          <w:numId w:val="11"/>
        </w:numPr>
        <w:tabs>
          <w:tab w:val="clear" w:pos="1200"/>
        </w:tabs>
        <w:spacing w:line="360" w:lineRule="auto"/>
        <w:ind w:left="0" w:firstLine="480"/>
        <w:rPr>
          <w:rFonts w:hint="eastAsia"/>
          <w:sz w:val="24"/>
        </w:rPr>
      </w:pPr>
      <w:r>
        <w:rPr>
          <w:rFonts w:hint="eastAsia" w:ascii="SimHei" w:hAnsi="SimHei" w:eastAsia="黑体"/>
          <w:sz w:val="24"/>
        </w:rPr>
        <w:t>该项指标平均值指</w:t>
      </w:r>
      <w:r>
        <w:rPr>
          <w:rFonts w:hint="eastAsia" w:ascii="SimHei" w:hAnsi="SimHei" w:eastAsia="黑体"/>
          <w:sz w:val="24"/>
          <w:lang w:eastAsia="zh-CN"/>
        </w:rPr>
        <w:t>_____</w:t>
      </w:r>
      <w:r>
        <w:rPr>
          <w:rFonts w:hint="eastAsia" w:ascii="SimHei" w:hAnsi="SimHei" w:eastAsia="黑体"/>
          <w:sz w:val="24"/>
        </w:rPr>
        <w:t>控股下属所有实行年薪制的企业该项指标的平均值。</w:t>
      </w:r>
    </w:p>
    <w:p>
      <w:pPr>
        <w:numPr>
          <w:ilvl w:val="0"/>
          <w:numId w:val="11"/>
        </w:numPr>
        <w:tabs>
          <w:tab w:val="clear" w:pos="1200"/>
        </w:tabs>
        <w:spacing w:line="360" w:lineRule="auto"/>
        <w:ind w:left="0" w:firstLine="480"/>
        <w:rPr>
          <w:rFonts w:hint="eastAsia"/>
          <w:sz w:val="24"/>
        </w:rPr>
      </w:pPr>
      <w:r>
        <w:rPr>
          <w:rFonts w:hint="eastAsia" w:ascii="SimHei" w:hAnsi="SimHei" w:eastAsia="黑体"/>
          <w:sz w:val="24"/>
        </w:rPr>
        <w:t>企业某项指标为负值时，该项得分为0分。</w:t>
      </w:r>
    </w:p>
    <w:p>
      <w:pPr>
        <w:numPr>
          <w:ilvl w:val="0"/>
          <w:numId w:val="7"/>
        </w:numPr>
        <w:tabs>
          <w:tab w:val="left" w:pos="993"/>
        </w:tabs>
        <w:spacing w:line="360" w:lineRule="auto"/>
        <w:rPr>
          <w:rFonts w:hint="eastAsia"/>
          <w:sz w:val="24"/>
        </w:rPr>
      </w:pPr>
      <w:r>
        <w:rPr>
          <w:rFonts w:hint="eastAsia" w:ascii="SimHei" w:hAnsi="SimHei" w:eastAsia="黑体"/>
          <w:sz w:val="24"/>
        </w:rPr>
        <w:t>基本年薪基数</w:t>
      </w:r>
    </w:p>
    <w:p>
      <w:pPr>
        <w:spacing w:line="360" w:lineRule="auto"/>
        <w:ind w:firstLine="480" w:firstLineChars="200"/>
        <w:rPr>
          <w:rFonts w:hint="eastAsia"/>
          <w:sz w:val="24"/>
        </w:rPr>
      </w:pPr>
      <w:r>
        <w:rPr>
          <w:rFonts w:hint="eastAsia" w:ascii="SimHei" w:hAnsi="SimHei" w:eastAsia="黑体"/>
          <w:sz w:val="24"/>
        </w:rPr>
        <w:t>基本年薪基数根据山东</w:t>
      </w:r>
      <w:r>
        <w:rPr>
          <w:rFonts w:hint="eastAsia" w:ascii="SimHei" w:hAnsi="SimHei" w:cs="宋体" w:eastAsia="黑体"/>
          <w:sz w:val="24"/>
          <w:lang w:eastAsia="zh-CN"/>
        </w:rPr>
        <w:t>_____</w:t>
      </w:r>
      <w:r>
        <w:rPr>
          <w:rFonts w:hint="eastAsia" w:ascii="SimHei" w:hAnsi="SimHei" w:cs="宋体" w:eastAsia="黑体"/>
          <w:sz w:val="24"/>
        </w:rPr>
        <w:t>某集团</w:t>
      </w:r>
      <w:r>
        <w:rPr>
          <w:rFonts w:hint="eastAsia" w:ascii="SimHei" w:hAnsi="SimHei" w:eastAsia="黑体"/>
          <w:sz w:val="24"/>
        </w:rPr>
        <w:t>副总经理年薪水平确定。具体的计算方法如下：</w:t>
      </w:r>
    </w:p>
    <w:p>
      <w:pPr>
        <w:spacing w:line="360" w:lineRule="auto"/>
        <w:ind w:firstLine="1200" w:firstLineChars="500"/>
        <w:rPr>
          <w:rFonts w:hint="eastAsia"/>
          <w:sz w:val="24"/>
        </w:rPr>
      </w:pPr>
      <w:r>
        <w:rPr>
          <w:rFonts w:hint="eastAsia" w:ascii="SimHei" w:hAnsi="SimHei" w:eastAsia="黑体"/>
          <w:sz w:val="24"/>
        </w:rPr>
        <w:t>基本年薪基数＝</w:t>
      </w:r>
      <w:r>
        <w:rPr>
          <w:rFonts w:hint="eastAsia" w:ascii="SimHei" w:hAnsi="SimHei" w:eastAsia="黑体"/>
          <w:sz w:val="24"/>
          <w:lang w:eastAsia="zh-CN"/>
        </w:rPr>
        <w:t>_____</w:t>
      </w:r>
      <w:r>
        <w:rPr>
          <w:rFonts w:hint="eastAsia" w:ascii="SimHei" w:hAnsi="SimHei" w:eastAsia="黑体"/>
          <w:sz w:val="24"/>
        </w:rPr>
        <w:t>某集团副总经理基本年薪</w:t>
      </w:r>
    </w:p>
    <w:p>
      <w:pPr>
        <w:spacing w:line="360" w:lineRule="auto"/>
        <w:ind w:firstLine="480" w:firstLineChars="200"/>
        <w:rPr>
          <w:rFonts w:hint="eastAsia"/>
          <w:sz w:val="24"/>
        </w:rPr>
      </w:pPr>
      <w:r>
        <w:rPr>
          <w:rFonts w:hint="eastAsia" w:ascii="SimHei" w:hAnsi="SimHei" w:cs="宋体" w:eastAsia="黑体"/>
          <w:sz w:val="24"/>
          <w:lang w:eastAsia="zh-CN"/>
        </w:rPr>
        <w:t>_____</w:t>
      </w:r>
      <w:r>
        <w:rPr>
          <w:rFonts w:hint="eastAsia" w:ascii="SimHei" w:hAnsi="SimHei" w:cs="宋体" w:eastAsia="黑体"/>
          <w:sz w:val="24"/>
        </w:rPr>
        <w:t>某集团</w:t>
      </w:r>
      <w:r>
        <w:rPr>
          <w:rFonts w:hint="eastAsia" w:ascii="SimHei" w:hAnsi="SimHei" w:eastAsia="黑体"/>
          <w:sz w:val="24"/>
        </w:rPr>
        <w:t>副总经理的基本年薪根据</w:t>
      </w:r>
      <w:r>
        <w:rPr>
          <w:rFonts w:hint="eastAsia" w:ascii="SimHei" w:hAnsi="SimHei" w:eastAsia="黑体"/>
          <w:sz w:val="24"/>
          <w:lang w:eastAsia="zh-CN"/>
        </w:rPr>
        <w:t>_____</w:t>
      </w:r>
      <w:r>
        <w:rPr>
          <w:rFonts w:hint="eastAsia" w:ascii="SimHei" w:hAnsi="SimHei" w:eastAsia="黑体"/>
          <w:sz w:val="24"/>
        </w:rPr>
        <w:t>控股的主管部门和本公司的相关规定执行。</w:t>
      </w:r>
    </w:p>
    <w:p>
      <w:pPr>
        <w:spacing w:line="360" w:lineRule="auto"/>
        <w:ind w:firstLine="480" w:firstLineChars="200"/>
        <w:rPr>
          <w:rFonts w:hint="eastAsia"/>
          <w:sz w:val="24"/>
        </w:rPr>
      </w:pPr>
      <w:r>
        <w:rPr>
          <w:rFonts w:hint="eastAsia" w:ascii="SimHei" w:hAnsi="SimHei" w:eastAsia="黑体"/>
          <w:sz w:val="24"/>
        </w:rPr>
        <w:t>基本年薪基数的提高：只有在</w:t>
      </w:r>
      <w:r>
        <w:rPr>
          <w:rFonts w:hint="eastAsia" w:ascii="SimHei" w:hAnsi="SimHei" w:eastAsia="黑体"/>
          <w:sz w:val="24"/>
          <w:lang w:eastAsia="zh-CN"/>
        </w:rPr>
        <w:t>_____</w:t>
      </w:r>
      <w:r>
        <w:rPr>
          <w:rFonts w:hint="eastAsia" w:ascii="SimHei" w:hAnsi="SimHei" w:eastAsia="黑体"/>
          <w:sz w:val="24"/>
        </w:rPr>
        <w:t>控股整体经营良好、高层管理人员基本年薪提高一档，并且本权属公司达到预定经营目标的情况下，本权属公司负责人基本年薪基数才可以提高一档。</w:t>
      </w:r>
    </w:p>
    <w:p>
      <w:pPr>
        <w:pStyle w:val="2"/>
        <w:spacing w:beforeLines="0" w:afterLines="0"/>
        <w:rPr>
          <w:rFonts w:hint="eastAsia" w:ascii="黑体" w:eastAsia="黑体"/>
          <w:sz w:val="32"/>
        </w:rPr>
      </w:pPr>
      <w:r>
        <w:rPr>
          <w:rFonts w:ascii="SimHei" w:hAnsi="SimHei" w:eastAsia="黑体"/>
        </w:rPr>
      </w:r>
      <w:bookmarkStart w:id="27" w:name="_Toc81283109"/>
      <w:r>
        <w:rPr>
          <w:rFonts w:hint="eastAsia" w:ascii="SimHei" w:hAnsi="SimHei" w:eastAsia="黑体"/>
        </w:rPr>
        <w:t>附件2：</w:t>
      </w:r>
      <w:bookmarkStart w:id="28" w:name="_Hlt81282208"/>
      <w:bookmarkEnd w:id="28"/>
      <w:r>
        <w:rPr>
          <w:rFonts w:hint="eastAsia" w:ascii="SimHei" w:hAnsi="SimHei" w:eastAsia="黑体"/>
        </w:rPr>
        <w:t>效益年薪实施细则</w:t>
      </w:r>
      <w:bookmarkEnd w:id="27"/>
    </w:p>
    <w:p>
      <w:pPr>
        <w:tabs>
          <w:tab w:val="left" w:pos="709"/>
        </w:tabs>
        <w:spacing w:line="360" w:lineRule="auto"/>
        <w:ind w:firstLine="480" w:firstLineChars="200"/>
        <w:rPr>
          <w:rFonts w:hint="eastAsia"/>
          <w:sz w:val="24"/>
        </w:rPr>
      </w:pPr>
      <w:r>
        <w:rPr>
          <w:rFonts w:hint="eastAsia" w:ascii="SimHei" w:hAnsi="SimHei" w:eastAsia="黑体"/>
          <w:sz w:val="24"/>
        </w:rPr>
        <w:t>效益年薪是指按照企业经营业绩核定和支付给经营者的报酬，它是根据效益年薪系数、调节系数和综合评价系数确定的。</w:t>
      </w:r>
    </w:p>
    <w:p>
      <w:pPr>
        <w:numPr>
          <w:ilvl w:val="1"/>
          <w:numId w:val="12"/>
        </w:numPr>
        <w:tabs>
          <w:tab w:val="left" w:pos="709"/>
          <w:tab w:val="left" w:pos="993"/>
          <w:tab w:val="clear" w:pos="1380"/>
        </w:tabs>
        <w:spacing w:before="156" w:beforeLines="50" w:after="156" w:afterLines="50" w:line="360" w:lineRule="auto"/>
        <w:ind w:left="850" w:hanging="425"/>
        <w:rPr>
          <w:rFonts w:hint="eastAsia"/>
          <w:b/>
          <w:sz w:val="24"/>
        </w:rPr>
      </w:pPr>
      <w:r>
        <w:rPr>
          <w:rFonts w:hint="eastAsia" w:ascii="SimHei" w:hAnsi="SimHei" w:eastAsia="黑体"/>
          <w:b/>
          <w:sz w:val="24"/>
        </w:rPr>
        <w:t>效益年薪计算公式</w:t>
      </w:r>
    </w:p>
    <w:p>
      <w:pPr>
        <w:tabs>
          <w:tab w:val="left" w:pos="709"/>
        </w:tabs>
        <w:spacing w:line="360" w:lineRule="auto"/>
        <w:ind w:left="426"/>
        <w:rPr>
          <w:rFonts w:hint="eastAsia"/>
          <w:sz w:val="24"/>
        </w:rPr>
      </w:pPr>
      <w:r>
        <w:rPr>
          <w:rFonts w:hint="eastAsia" w:ascii="SimHei" w:hAnsi="SimHei" w:eastAsia="黑体"/>
          <w:sz w:val="24"/>
        </w:rPr>
        <w:t>如果当年应计经营性净资产增值额为正值，效益年薪计算公式如下：</w:t>
      </w:r>
    </w:p>
    <w:p>
      <w:pPr>
        <w:spacing w:line="360" w:lineRule="auto"/>
        <w:ind w:firstLine="912" w:firstLineChars="380"/>
        <w:rPr>
          <w:rFonts w:hint="eastAsia"/>
          <w:sz w:val="24"/>
        </w:rPr>
      </w:pPr>
      <w:r>
        <w:rPr>
          <w:rFonts w:hint="eastAsia" w:ascii="SimHei" w:hAnsi="SimHei" w:eastAsia="黑体"/>
          <w:sz w:val="24"/>
        </w:rPr>
        <w:t>效益年薪</w:t>
      </w:r>
      <w:r>
        <w:rPr>
          <w:rFonts w:hint="eastAsia" w:ascii="SimHei" w:hAnsi="SimHei" w:eastAsia="黑体"/>
          <w:sz w:val="24"/>
        </w:rPr>
        <w:t>＝</w:t>
      </w:r>
      <w:r>
        <w:rPr>
          <w:rFonts w:hint="eastAsia" w:ascii="SimHei" w:hAnsi="SimHei" w:eastAsia="黑体"/>
          <w:sz w:val="24"/>
        </w:rPr>
        <w:t>效益年薪基数×调节系数×综合评价系数</w:t>
      </w:r>
    </w:p>
    <w:p>
      <w:pPr>
        <w:tabs>
          <w:tab w:val="left" w:pos="709"/>
        </w:tabs>
        <w:spacing w:line="360" w:lineRule="auto"/>
        <w:ind w:firstLine="422" w:firstLineChars="176"/>
        <w:rPr>
          <w:rFonts w:hint="eastAsia"/>
          <w:sz w:val="24"/>
        </w:rPr>
      </w:pPr>
      <w:r>
        <w:rPr>
          <w:rFonts w:hint="eastAsia" w:ascii="SimHei" w:hAnsi="SimHei" w:eastAsia="黑体"/>
          <w:sz w:val="24"/>
        </w:rPr>
        <w:t>其中，效益年薪基数、调节系数和综合评价系数的计算见本细则下面内容。</w:t>
      </w:r>
    </w:p>
    <w:p>
      <w:pPr>
        <w:tabs>
          <w:tab w:val="left" w:pos="709"/>
        </w:tabs>
        <w:spacing w:line="360" w:lineRule="auto"/>
        <w:ind w:firstLine="422" w:firstLineChars="176"/>
        <w:rPr>
          <w:rFonts w:hint="eastAsia"/>
          <w:sz w:val="24"/>
        </w:rPr>
      </w:pPr>
      <w:r>
        <w:rPr>
          <w:rFonts w:hint="eastAsia" w:ascii="SimHei" w:hAnsi="SimHei" w:eastAsia="黑体"/>
          <w:sz w:val="24"/>
        </w:rPr>
        <w:t>如果当年应计经营性净资产增值额为负值，则应计挂账效益年薪，其计算公式如下：</w:t>
      </w:r>
    </w:p>
    <w:p>
      <w:pPr>
        <w:tabs>
          <w:tab w:val="left" w:pos="993"/>
        </w:tabs>
        <w:spacing w:line="360" w:lineRule="auto"/>
        <w:ind w:firstLine="435"/>
        <w:rPr>
          <w:rFonts w:hint="eastAsia"/>
          <w:sz w:val="24"/>
        </w:rPr>
      </w:pPr>
      <w:r>
        <w:rPr>
          <w:rFonts w:hint="eastAsia" w:ascii="SimHei" w:hAnsi="SimHei" w:eastAsia="黑体"/>
          <w:sz w:val="24"/>
        </w:rPr>
        <w:t>挂账效益年薪</w:t>
      </w:r>
      <w:r>
        <w:rPr>
          <w:rFonts w:hint="eastAsia" w:ascii="SimHei" w:hAnsi="SimHei" w:eastAsia="黑体"/>
          <w:sz w:val="24"/>
        </w:rPr>
        <w:t>＝</w:t>
      </w:r>
      <w:r>
        <w:rPr>
          <w:rFonts w:hint="eastAsia" w:ascii="SimHei" w:hAnsi="SimHei" w:eastAsia="黑体"/>
          <w:sz w:val="24"/>
        </w:rPr>
        <w:t>（挂账效益年薪基</w:t>
      </w:r>
      <w:r>
        <w:rPr>
          <w:rFonts w:hint="eastAsia" w:ascii="SimHei" w:hAnsi="SimHei" w:eastAsia="黑体"/>
          <w:sz w:val="24"/>
        </w:rPr>
        <w:t>数／</w:t>
      </w:r>
      <w:r>
        <w:rPr>
          <w:rFonts w:hint="eastAsia" w:ascii="SimHei" w:hAnsi="SimHei" w:eastAsia="黑体"/>
          <w:sz w:val="24"/>
        </w:rPr>
        <w:t>综合评价系数）×折扣评价系数</w:t>
      </w:r>
    </w:p>
    <w:p>
      <w:pPr>
        <w:tabs>
          <w:tab w:val="left" w:pos="709"/>
        </w:tabs>
        <w:spacing w:line="360" w:lineRule="auto"/>
        <w:rPr>
          <w:rFonts w:hint="eastAsia"/>
          <w:sz w:val="24"/>
        </w:rPr>
      </w:pPr>
      <w:r>
        <w:rPr>
          <w:rFonts w:hint="eastAsia" w:ascii="SimHei" w:hAnsi="SimHei" w:eastAsia="黑体"/>
          <w:sz w:val="24"/>
        </w:rPr>
        <w:t>其中，挂账效益年薪基数按应计经营性净资产增值额（负值）的绝对值参照效益年薪基数的计算方法核定（见效益年薪基数八级超额累退计算表），综合评价系数的确定与效益年薪的核定方法一致。试行期间折扣系数定为30%，需要变更时由企业董事会决定。</w:t>
      </w:r>
    </w:p>
    <w:p>
      <w:pPr>
        <w:numPr>
          <w:ilvl w:val="1"/>
          <w:numId w:val="12"/>
        </w:numPr>
        <w:tabs>
          <w:tab w:val="left" w:pos="709"/>
          <w:tab w:val="left" w:pos="993"/>
          <w:tab w:val="clear" w:pos="1380"/>
        </w:tabs>
        <w:spacing w:before="156" w:beforeLines="50" w:after="156" w:afterLines="50" w:line="360" w:lineRule="auto"/>
        <w:ind w:left="850" w:hanging="425"/>
        <w:rPr>
          <w:rFonts w:hint="eastAsia"/>
          <w:b/>
          <w:sz w:val="24"/>
        </w:rPr>
      </w:pPr>
      <w:r>
        <w:rPr>
          <w:rFonts w:hint="eastAsia" w:ascii="SimHei" w:hAnsi="SimHei" w:eastAsia="黑体"/>
          <w:b/>
          <w:sz w:val="24"/>
        </w:rPr>
        <w:t>效益年薪的计算</w:t>
      </w:r>
    </w:p>
    <w:p>
      <w:pPr>
        <w:tabs>
          <w:tab w:val="left" w:pos="709"/>
        </w:tabs>
        <w:spacing w:line="360" w:lineRule="auto"/>
        <w:ind w:firstLine="480"/>
        <w:rPr>
          <w:rFonts w:hint="eastAsia"/>
          <w:sz w:val="24"/>
        </w:rPr>
      </w:pPr>
      <w:r>
        <w:rPr>
          <w:rFonts w:hint="eastAsia" w:ascii="SimHei" w:hAnsi="SimHei" w:eastAsia="黑体"/>
          <w:sz w:val="24"/>
        </w:rPr>
        <w:t>效益年薪主要根据企业效益好坏发放，因而也要体现效益增长的相对数和绝对数。因为，简单地根据增长的绝对数确定基数，不能很好的反映企业的经营效益改善。本方案根据不同的净资产收益率确定对经营性净资产增值额的提取比例，它使效益年薪更全面地反映企业“效益”的提高而不仅仅限于总量的增长。</w:t>
      </w:r>
    </w:p>
    <w:p>
      <w:pPr>
        <w:numPr>
          <w:ilvl w:val="0"/>
          <w:numId w:val="13"/>
        </w:numPr>
        <w:tabs>
          <w:tab w:val="left" w:pos="709"/>
        </w:tabs>
        <w:spacing w:line="360" w:lineRule="auto"/>
        <w:rPr>
          <w:rFonts w:hint="eastAsia"/>
          <w:sz w:val="24"/>
        </w:rPr>
      </w:pPr>
      <w:r>
        <w:rPr>
          <w:rFonts w:hint="eastAsia" w:ascii="SimHei" w:hAnsi="SimHei" w:eastAsia="黑体"/>
          <w:sz w:val="24"/>
        </w:rPr>
        <w:t>效益年薪基数的计算公式如下：</w:t>
      </w:r>
    </w:p>
    <w:p>
      <w:pPr>
        <w:tabs>
          <w:tab w:val="left" w:pos="709"/>
        </w:tabs>
        <w:spacing w:line="360" w:lineRule="auto"/>
        <w:ind w:left="481" w:leftChars="229" w:firstLine="480" w:firstLineChars="200"/>
        <w:rPr>
          <w:rFonts w:hint="eastAsia" w:ascii="宋体" w:hAnsi="宋体"/>
          <w:sz w:val="24"/>
        </w:rPr>
      </w:pPr>
      <w:r>
        <w:rPr>
          <w:rFonts w:hint="eastAsia" w:ascii="SimHei" w:hAnsi="SimHei" w:eastAsia="黑体"/>
          <w:sz w:val="24"/>
        </w:rPr>
        <w:t>效益年薪基数＝∑（A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w:t>
      </w:r>
    </w:p>
    <w:p>
      <w:pPr>
        <w:tabs>
          <w:tab w:val="left" w:pos="709"/>
        </w:tabs>
        <w:spacing w:line="360" w:lineRule="auto"/>
        <w:ind w:left="481" w:leftChars="229" w:firstLine="480" w:firstLineChars="200"/>
        <w:jc w:val="center"/>
        <w:rPr>
          <w:rFonts w:hint="eastAsia" w:ascii="宋体" w:hAnsi="宋体"/>
          <w:sz w:val="24"/>
        </w:rPr>
      </w:pPr>
      <w:r>
        <w:rPr>
          <w:rFonts w:hint="eastAsia" w:ascii="SimHei" w:hAnsi="SimHei" w:eastAsia="黑体"/>
          <w:sz w:val="24"/>
        </w:rPr>
        <w:t>表1  效益年薪基数八级超额累退计算表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68"/>
        <w:gridCol w:w="1134"/>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69" w:type="dxa"/>
            <w:gridSpan w:val="2"/>
            <w:noWrap w:val="0"/>
            <w:vAlign w:val="center"/>
          </w:tcPr>
          <w:p>
            <w:pPr>
              <w:tabs>
                <w:tab w:val="left" w:pos="709"/>
              </w:tabs>
              <w:spacing w:line="360" w:lineRule="auto"/>
              <w:jc w:val="center"/>
              <w:rPr>
                <w:rFonts w:hint="eastAsia"/>
                <w:sz w:val="24"/>
              </w:rPr>
            </w:pPr>
            <w:r>
              <w:rPr>
                <w:rFonts w:hint="eastAsia" w:ascii="SimHei" w:hAnsi="SimHei" w:eastAsia="黑体"/>
                <w:sz w:val="24"/>
              </w:rPr>
              <w:t>应计经营性净资产增值额</w:t>
            </w:r>
          </w:p>
        </w:tc>
        <w:tc>
          <w:tcPr>
            <w:tcW w:w="2835" w:type="dxa"/>
            <w:gridSpan w:val="2"/>
            <w:noWrap w:val="0"/>
            <w:vAlign w:val="center"/>
          </w:tcPr>
          <w:p>
            <w:pPr>
              <w:tabs>
                <w:tab w:val="left" w:pos="709"/>
              </w:tabs>
              <w:spacing w:line="360" w:lineRule="auto"/>
              <w:jc w:val="center"/>
              <w:rPr>
                <w:rFonts w:hint="eastAsia"/>
                <w:sz w:val="24"/>
              </w:rPr>
            </w:pPr>
            <w:r>
              <w:rPr>
                <w:rFonts w:hint="eastAsia" w:ascii="SimHei" w:hAnsi="SimHei" w:eastAsia="黑体"/>
                <w:sz w:val="24"/>
              </w:rPr>
              <w:t>基本计提比例</w:t>
            </w:r>
          </w:p>
        </w:tc>
        <w:tc>
          <w:tcPr>
            <w:tcW w:w="2318" w:type="dxa"/>
            <w:vMerge w:val="restart"/>
            <w:noWrap w:val="0"/>
            <w:vAlign w:val="center"/>
          </w:tcPr>
          <w:p>
            <w:pPr>
              <w:tabs>
                <w:tab w:val="left" w:pos="709"/>
              </w:tabs>
              <w:spacing w:line="360" w:lineRule="auto"/>
              <w:jc w:val="center"/>
              <w:rPr>
                <w:rFonts w:hint="eastAsia"/>
                <w:sz w:val="24"/>
              </w:rPr>
            </w:pPr>
            <w:r>
              <w:rPr>
                <w:rFonts w:hint="eastAsia" w:ascii="SimHei" w:hAnsi="SimHei" w:eastAsia="黑体"/>
                <w:sz w:val="24"/>
              </w:rPr>
              <w:t>效益年薪基数范围</w:t>
            </w:r>
          </w:p>
          <w:p>
            <w:pPr>
              <w:tabs>
                <w:tab w:val="left" w:pos="709"/>
              </w:tabs>
              <w:spacing w:line="360" w:lineRule="auto"/>
              <w:jc w:val="center"/>
              <w:rPr>
                <w:rFonts w:hint="eastAsia"/>
                <w:sz w:val="24"/>
              </w:rPr>
            </w:pPr>
            <w:r>
              <w:rPr>
                <w:rFonts w:hint="eastAsia" w:ascii="SimHei" w:hAnsi="SimHei" w:eastAsia="黑体"/>
                <w:sz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变量A</w:t>
            </w:r>
            <w:r>
              <w:rPr>
                <w:rFonts w:hint="eastAsia" w:ascii="SimHei" w:hAnsi="SimHei" w:eastAsia="黑体"/>
                <w:sz w:val="24"/>
                <w:vertAlign w:val="subscript"/>
              </w:rPr>
              <w:t>i</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区间（单位：万元）</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变量</w:t>
            </w:r>
            <w:r>
              <w:rPr>
                <w:rFonts w:hint="eastAsia" w:ascii="SimHei" w:hAnsi="SimHei" w:eastAsia="黑体"/>
                <w:sz w:val="24"/>
              </w:rPr>
              <w:t>B</w:t>
            </w:r>
            <w:r>
              <w:rPr>
                <w:rFonts w:hint="eastAsia" w:ascii="SimHei" w:hAnsi="SimHei" w:eastAsia="黑体"/>
                <w:sz w:val="24"/>
                <w:vertAlign w:val="subscript"/>
              </w:rPr>
              <w:t>i</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计提比例（‰）</w:t>
            </w:r>
          </w:p>
        </w:tc>
        <w:tc>
          <w:tcPr>
            <w:tcW w:w="2318" w:type="dxa"/>
            <w:vMerge w:val="continue"/>
            <w:noWrap w:val="0"/>
            <w:vAlign w:val="top"/>
          </w:tcPr>
          <w:p>
            <w:pPr>
              <w:tabs>
                <w:tab w:val="left" w:pos="709"/>
              </w:tabs>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ascii="宋体" w:hAnsi="宋体"/>
                <w:sz w:val="24"/>
              </w:rPr>
            </w:pPr>
            <w:r>
              <w:rPr>
                <w:rFonts w:hint="eastAsia" w:ascii="SimHei" w:hAnsi="SimHei" w:eastAsia="黑体"/>
                <w:sz w:val="24"/>
              </w:rPr>
              <w:t>A</w:t>
            </w:r>
            <w:r>
              <w:rPr>
                <w:rFonts w:hint="eastAsia" w:ascii="SimHei" w:hAnsi="SimHei" w:eastAsia="黑体"/>
                <w:sz w:val="24"/>
                <w:vertAlign w:val="subscript"/>
              </w:rPr>
              <w:t>1</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0＜X≤100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1</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20</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2</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100＜X≤200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2</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14</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20000-34000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3</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200＜X≤400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3</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12</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34000-58000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4</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400＜X≤600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4</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10</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58000-78000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5</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600＜X≤1000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5</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8</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78000-110000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6</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1000＜X≤2000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6</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6</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110000-170000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7</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2000＜X≤3000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7</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4</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170000-210000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tabs>
                <w:tab w:val="left" w:pos="709"/>
              </w:tabs>
              <w:spacing w:line="360" w:lineRule="auto"/>
              <w:jc w:val="center"/>
              <w:rPr>
                <w:rFonts w:hint="eastAsia"/>
                <w:sz w:val="24"/>
              </w:rPr>
            </w:pPr>
            <w:r>
              <w:rPr>
                <w:rFonts w:hint="eastAsia" w:ascii="SimHei" w:hAnsi="SimHei" w:eastAsia="黑体"/>
                <w:sz w:val="24"/>
              </w:rPr>
              <w:t>A</w:t>
            </w:r>
            <w:r>
              <w:rPr>
                <w:rFonts w:hint="eastAsia" w:ascii="SimHei" w:hAnsi="SimHei" w:eastAsia="黑体"/>
                <w:sz w:val="24"/>
                <w:vertAlign w:val="subscript"/>
              </w:rPr>
              <w:t>8</w:t>
            </w:r>
          </w:p>
        </w:tc>
        <w:tc>
          <w:tcPr>
            <w:tcW w:w="2268" w:type="dxa"/>
            <w:noWrap w:val="0"/>
            <w:vAlign w:val="center"/>
          </w:tcPr>
          <w:p>
            <w:pPr>
              <w:tabs>
                <w:tab w:val="left" w:pos="709"/>
              </w:tabs>
              <w:spacing w:line="360" w:lineRule="auto"/>
              <w:jc w:val="center"/>
              <w:rPr>
                <w:rFonts w:hint="eastAsia"/>
                <w:sz w:val="24"/>
              </w:rPr>
            </w:pPr>
            <w:r>
              <w:rPr>
                <w:rFonts w:hint="eastAsia" w:ascii="SimHei" w:hAnsi="SimHei" w:eastAsia="黑体"/>
                <w:sz w:val="24"/>
              </w:rPr>
              <w:t>X＞3000</w:t>
            </w:r>
          </w:p>
        </w:tc>
        <w:tc>
          <w:tcPr>
            <w:tcW w:w="1134" w:type="dxa"/>
            <w:noWrap w:val="0"/>
            <w:vAlign w:val="center"/>
          </w:tcPr>
          <w:p>
            <w:pPr>
              <w:tabs>
                <w:tab w:val="left" w:pos="709"/>
              </w:tabs>
              <w:spacing w:line="360" w:lineRule="auto"/>
              <w:jc w:val="center"/>
              <w:rPr>
                <w:rFonts w:hint="eastAsia"/>
                <w:sz w:val="24"/>
              </w:rPr>
            </w:pPr>
            <w:r>
              <w:rPr>
                <w:rFonts w:hint="eastAsia" w:ascii="SimHei" w:hAnsi="SimHei" w:eastAsia="黑体"/>
                <w:sz w:val="24"/>
              </w:rPr>
              <w:t>B</w:t>
            </w:r>
            <w:r>
              <w:rPr>
                <w:rFonts w:hint="eastAsia" w:ascii="SimHei" w:hAnsi="SimHei" w:eastAsia="黑体"/>
                <w:sz w:val="24"/>
                <w:vertAlign w:val="subscript"/>
              </w:rPr>
              <w:t>8</w:t>
            </w:r>
          </w:p>
        </w:tc>
        <w:tc>
          <w:tcPr>
            <w:tcW w:w="1701" w:type="dxa"/>
            <w:noWrap w:val="0"/>
            <w:vAlign w:val="center"/>
          </w:tcPr>
          <w:p>
            <w:pPr>
              <w:tabs>
                <w:tab w:val="left" w:pos="709"/>
              </w:tabs>
              <w:spacing w:line="360" w:lineRule="auto"/>
              <w:jc w:val="center"/>
              <w:rPr>
                <w:rFonts w:hint="eastAsia"/>
                <w:sz w:val="24"/>
              </w:rPr>
            </w:pPr>
            <w:r>
              <w:rPr>
                <w:rFonts w:hint="eastAsia" w:ascii="SimHei" w:hAnsi="SimHei" w:eastAsia="黑体"/>
                <w:sz w:val="24"/>
              </w:rPr>
              <w:t>3</w:t>
            </w:r>
          </w:p>
        </w:tc>
        <w:tc>
          <w:tcPr>
            <w:tcW w:w="2318" w:type="dxa"/>
            <w:noWrap w:val="0"/>
            <w:vAlign w:val="center"/>
          </w:tcPr>
          <w:p>
            <w:pPr>
              <w:tabs>
                <w:tab w:val="left" w:pos="709"/>
              </w:tabs>
              <w:spacing w:line="360" w:lineRule="auto"/>
              <w:jc w:val="center"/>
              <w:rPr>
                <w:rFonts w:hint="eastAsia"/>
                <w:sz w:val="24"/>
              </w:rPr>
            </w:pPr>
            <w:r>
              <w:rPr>
                <w:rFonts w:hint="eastAsia" w:ascii="SimHei" w:hAnsi="SimHei" w:eastAsia="黑体"/>
                <w:sz w:val="24"/>
              </w:rPr>
              <w:t>＞</w:t>
            </w:r>
            <w:r>
              <w:rPr>
                <w:rFonts w:hint="eastAsia" w:ascii="SimHei" w:hAnsi="SimHei" w:eastAsia="黑体"/>
                <w:sz w:val="24"/>
              </w:rPr>
              <w:t>210000</w:t>
            </w:r>
          </w:p>
        </w:tc>
      </w:tr>
    </w:tbl>
    <w:p>
      <w:pPr>
        <w:spacing w:line="360" w:lineRule="auto"/>
        <w:ind w:firstLine="435"/>
        <w:rPr>
          <w:rFonts w:hint="eastAsia" w:ascii="楷体_GB2312" w:hAnsi="宋体" w:eastAsia="楷体_GB2312"/>
          <w:szCs w:val="21"/>
        </w:rPr>
      </w:pPr>
      <w:r>
        <w:rPr>
          <w:rFonts w:hint="eastAsia" w:ascii="SimHei" w:hAnsi="SimHei" w:eastAsia="黑体"/>
          <w:sz w:val="24"/>
        </w:rPr>
        <w:t>其中，A</w:t>
      </w:r>
      <w:r>
        <w:rPr>
          <w:rFonts w:hint="eastAsia" w:ascii="SimHei" w:hAnsi="SimHei" w:eastAsia="黑体"/>
          <w:sz w:val="24"/>
          <w:vertAlign w:val="subscript"/>
        </w:rPr>
        <w:t>i</w:t>
      </w:r>
      <w:r>
        <w:rPr>
          <w:rFonts w:hint="eastAsia" w:ascii="SimHei" w:hAnsi="SimHei" w:eastAsia="黑体"/>
          <w:sz w:val="24"/>
        </w:rPr>
        <w:t>是各档的应计经营性净资产增值额，B</w:t>
      </w:r>
      <w:r>
        <w:rPr>
          <w:rFonts w:hint="eastAsia" w:ascii="SimHei" w:hAnsi="SimHei" w:eastAsia="黑体"/>
          <w:sz w:val="24"/>
          <w:vertAlign w:val="subscript"/>
        </w:rPr>
        <w:t>i</w:t>
      </w:r>
      <w:r>
        <w:rPr>
          <w:rFonts w:hint="eastAsia" w:ascii="SimHei" w:hAnsi="SimHei" w:eastAsia="黑体"/>
          <w:sz w:val="24"/>
        </w:rPr>
        <w:t>是对应的各档提取比例；应计经营性净资产增值额＝A＝∑A</w:t>
      </w:r>
      <w:r>
        <w:rPr>
          <w:rFonts w:hint="eastAsia" w:ascii="SimHei" w:hAnsi="SimHei" w:eastAsia="黑体"/>
          <w:sz w:val="24"/>
          <w:vertAlign w:val="subscript"/>
        </w:rPr>
        <w:t>i</w:t>
      </w:r>
      <w:r>
        <w:rPr>
          <w:rFonts w:hint="eastAsia" w:ascii="SimHei" w:hAnsi="SimHei" w:eastAsia="黑体"/>
          <w:sz w:val="24"/>
        </w:rPr>
        <w:t>，A</w:t>
      </w:r>
      <w:r>
        <w:rPr>
          <w:rFonts w:hint="eastAsia" w:ascii="SimHei" w:hAnsi="SimHei" w:eastAsia="黑体"/>
          <w:sz w:val="24"/>
          <w:vertAlign w:val="subscript"/>
        </w:rPr>
        <w:t>i</w:t>
      </w:r>
      <w:r>
        <w:rPr>
          <w:rFonts w:hint="eastAsia" w:ascii="SimHei" w:hAnsi="SimHei" w:eastAsia="黑体"/>
          <w:sz w:val="24"/>
        </w:rPr>
        <w:t>是分段值。</w:t>
      </w:r>
    </w:p>
    <w:p>
      <w:pPr>
        <w:numPr>
          <w:ilvl w:val="0"/>
          <w:numId w:val="13"/>
        </w:numPr>
        <w:tabs>
          <w:tab w:val="left" w:pos="709"/>
        </w:tabs>
        <w:spacing w:line="360" w:lineRule="auto"/>
        <w:rPr>
          <w:rFonts w:hint="eastAsia"/>
          <w:sz w:val="24"/>
        </w:rPr>
      </w:pPr>
      <w:r>
        <w:rPr>
          <w:rFonts w:hint="eastAsia" w:ascii="SimHei" w:hAnsi="SimHei" w:eastAsia="黑体"/>
          <w:sz w:val="24"/>
        </w:rPr>
        <w:t>应计经营性净资产增值额的计算</w:t>
      </w:r>
    </w:p>
    <w:p>
      <w:pPr>
        <w:tabs>
          <w:tab w:val="left" w:pos="709"/>
        </w:tabs>
        <w:spacing w:line="360" w:lineRule="auto"/>
        <w:ind w:firstLine="480" w:firstLineChars="200"/>
        <w:rPr>
          <w:rFonts w:hint="eastAsia"/>
          <w:sz w:val="24"/>
        </w:rPr>
      </w:pPr>
      <w:r>
        <w:rPr>
          <w:rFonts w:hint="eastAsia" w:ascii="SimHei" w:hAnsi="SimHei" w:eastAsia="黑体"/>
          <w:sz w:val="24"/>
        </w:rPr>
        <w:t>经营性净资产增值额指来自企业正常经营的生产经营的那部分净资产增值额。</w:t>
      </w:r>
    </w:p>
    <w:p>
      <w:pPr>
        <w:tabs>
          <w:tab w:val="left" w:pos="709"/>
        </w:tabs>
        <w:spacing w:line="360" w:lineRule="auto"/>
        <w:ind w:firstLine="480" w:firstLineChars="200"/>
        <w:rPr>
          <w:rFonts w:hint="eastAsia"/>
          <w:sz w:val="24"/>
        </w:rPr>
      </w:pPr>
      <w:r>
        <w:rPr>
          <w:rFonts w:hint="eastAsia" w:ascii="SimHei" w:hAnsi="SimHei" w:eastAsia="黑体"/>
          <w:sz w:val="24"/>
        </w:rPr>
        <w:t>“应计经营性净资产增值额”可通过下表计算得出：</w:t>
      </w:r>
    </w:p>
    <w:p>
      <w:pPr>
        <w:tabs>
          <w:tab w:val="left" w:pos="709"/>
        </w:tabs>
        <w:spacing w:line="360" w:lineRule="auto"/>
        <w:ind w:firstLine="480" w:firstLineChars="200"/>
        <w:jc w:val="center"/>
        <w:rPr>
          <w:rFonts w:hint="eastAsia"/>
          <w:sz w:val="24"/>
        </w:rPr>
      </w:pPr>
      <w:r>
        <w:rPr>
          <w:rFonts w:hint="eastAsia" w:ascii="SimHei" w:hAnsi="SimHei" w:eastAsia="黑体"/>
          <w:sz w:val="24"/>
        </w:rPr>
        <w:t>表2  应计经营性净资产增值额计算及项目说明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jc w:val="center"/>
              <w:rPr>
                <w:rFonts w:hint="eastAsia"/>
                <w:sz w:val="24"/>
              </w:rPr>
            </w:pPr>
            <w:r>
              <w:rPr>
                <w:rFonts w:hint="eastAsia" w:ascii="SimHei" w:hAnsi="SimHei" w:eastAsia="黑体"/>
                <w:sz w:val="24"/>
              </w:rPr>
              <w:t>项目名称</w:t>
            </w:r>
          </w:p>
        </w:tc>
        <w:tc>
          <w:tcPr>
            <w:tcW w:w="5720" w:type="dxa"/>
            <w:noWrap w:val="0"/>
            <w:vAlign w:val="top"/>
          </w:tcPr>
          <w:p>
            <w:pPr>
              <w:tabs>
                <w:tab w:val="left" w:pos="709"/>
              </w:tabs>
              <w:spacing w:line="360" w:lineRule="auto"/>
              <w:jc w:val="center"/>
              <w:rPr>
                <w:rFonts w:hint="eastAsia"/>
                <w:sz w:val="24"/>
              </w:rPr>
            </w:pPr>
            <w:r>
              <w:rPr>
                <w:rFonts w:hint="eastAsia" w:ascii="SimHei" w:hAnsi="SimHei" w:eastAsia="黑体"/>
                <w:sz w:val="24"/>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rPr>
                <w:rFonts w:hint="eastAsia"/>
                <w:sz w:val="24"/>
              </w:rPr>
            </w:pPr>
            <w:r>
              <w:rPr>
                <w:rFonts w:hint="eastAsia" w:ascii="SimHei" w:hAnsi="SimHei" w:eastAsia="黑体"/>
                <w:sz w:val="24"/>
              </w:rPr>
              <w:t>净利润</w:t>
            </w:r>
          </w:p>
        </w:tc>
        <w:tc>
          <w:tcPr>
            <w:tcW w:w="5720" w:type="dxa"/>
            <w:noWrap w:val="0"/>
            <w:vAlign w:val="top"/>
          </w:tcPr>
          <w:p>
            <w:pPr>
              <w:tabs>
                <w:tab w:val="left" w:pos="709"/>
              </w:tabs>
              <w:spacing w:line="360" w:lineRule="auto"/>
              <w:rPr>
                <w:rFonts w:hint="eastAsia"/>
                <w:sz w:val="24"/>
              </w:rPr>
            </w:pPr>
            <w:r>
              <w:rPr>
                <w:rFonts w:hint="eastAsia" w:ascii="SimHei" w:hAnsi="SimHei" w:eastAsia="黑体"/>
                <w:sz w:val="24"/>
              </w:rPr>
              <w:t>企业合并损益表中的相应项目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rPr>
                <w:rFonts w:hint="eastAsia"/>
                <w:sz w:val="24"/>
              </w:rPr>
            </w:pPr>
            <w:r>
              <w:rPr>
                <w:rFonts w:hint="eastAsia" w:ascii="SimHei" w:hAnsi="SimHei" w:eastAsia="黑体"/>
                <w:sz w:val="24"/>
              </w:rPr>
              <w:t>加：消化遗留的待处理财产损益</w:t>
            </w:r>
          </w:p>
        </w:tc>
        <w:tc>
          <w:tcPr>
            <w:tcW w:w="5720" w:type="dxa"/>
            <w:noWrap w:val="0"/>
            <w:vAlign w:val="top"/>
          </w:tcPr>
          <w:p>
            <w:pPr>
              <w:tabs>
                <w:tab w:val="left" w:pos="709"/>
              </w:tabs>
              <w:rPr>
                <w:rFonts w:hint="eastAsia"/>
                <w:sz w:val="24"/>
              </w:rPr>
            </w:pPr>
            <w:r>
              <w:rPr>
                <w:rFonts w:hint="eastAsia" w:ascii="SimHei" w:hAnsi="SimHei" w:eastAsia="黑体"/>
                <w:sz w:val="24"/>
              </w:rPr>
              <w:t>企业本年处理的以前年度遗留的待处理流动资产、固定资产损失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rPr>
                <w:rFonts w:hint="eastAsia"/>
                <w:sz w:val="24"/>
              </w:rPr>
            </w:pPr>
            <w:r>
              <w:rPr>
                <w:rFonts w:hint="eastAsia" w:ascii="SimHei" w:hAnsi="SimHei" w:eastAsia="黑体"/>
                <w:sz w:val="24"/>
              </w:rPr>
              <w:t xml:space="preserve">    消化遗留的不良资产</w:t>
            </w:r>
          </w:p>
        </w:tc>
        <w:tc>
          <w:tcPr>
            <w:tcW w:w="5720" w:type="dxa"/>
            <w:noWrap w:val="0"/>
            <w:vAlign w:val="top"/>
          </w:tcPr>
          <w:p>
            <w:pPr>
              <w:tabs>
                <w:tab w:val="left" w:pos="709"/>
              </w:tabs>
              <w:rPr>
                <w:rFonts w:hint="eastAsia"/>
                <w:sz w:val="24"/>
              </w:rPr>
            </w:pPr>
            <w:r>
              <w:rPr>
                <w:rFonts w:hint="eastAsia" w:ascii="SimHei" w:hAnsi="SimHei" w:eastAsia="黑体"/>
                <w:sz w:val="24"/>
              </w:rPr>
              <w:t>企业本年处理以前年度（含前任经营者）遗留的三年以上应收账款、存货、以及其他界定为不良资产部分的金额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rPr>
                <w:rFonts w:hint="eastAsia"/>
                <w:sz w:val="24"/>
              </w:rPr>
            </w:pPr>
            <w:r>
              <w:rPr>
                <w:rFonts w:hint="eastAsia" w:ascii="SimHei" w:hAnsi="SimHei" w:eastAsia="黑体"/>
                <w:sz w:val="24"/>
              </w:rPr>
              <w:t>减：拆迁补贴收入</w:t>
            </w:r>
          </w:p>
        </w:tc>
        <w:tc>
          <w:tcPr>
            <w:tcW w:w="5720" w:type="dxa"/>
            <w:noWrap w:val="0"/>
            <w:vAlign w:val="top"/>
          </w:tcPr>
          <w:p>
            <w:pPr>
              <w:tabs>
                <w:tab w:val="left" w:pos="709"/>
              </w:tabs>
              <w:spacing w:line="360" w:lineRule="auto"/>
              <w:rPr>
                <w:rFonts w:hint="eastAsia"/>
                <w:sz w:val="24"/>
              </w:rPr>
            </w:pPr>
            <w:r>
              <w:rPr>
                <w:rFonts w:hint="eastAsia" w:ascii="SimHei" w:hAnsi="SimHei" w:eastAsia="黑体"/>
                <w:sz w:val="24"/>
              </w:rPr>
              <w:t>企业年度内收到用于非费用性的拆迁补贴收入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rPr>
                <w:rFonts w:hint="eastAsia"/>
                <w:sz w:val="24"/>
              </w:rPr>
            </w:pPr>
            <w:r>
              <w:rPr>
                <w:rFonts w:hint="eastAsia" w:ascii="SimHei" w:hAnsi="SimHei" w:eastAsia="黑体"/>
                <w:sz w:val="24"/>
              </w:rPr>
              <w:t xml:space="preserve">    本年新增不良资产</w:t>
            </w:r>
          </w:p>
        </w:tc>
        <w:tc>
          <w:tcPr>
            <w:tcW w:w="5720" w:type="dxa"/>
            <w:noWrap w:val="0"/>
            <w:vAlign w:val="top"/>
          </w:tcPr>
          <w:p>
            <w:pPr>
              <w:tabs>
                <w:tab w:val="left" w:pos="709"/>
              </w:tabs>
              <w:rPr>
                <w:rFonts w:hint="eastAsia"/>
                <w:sz w:val="24"/>
              </w:rPr>
            </w:pPr>
            <w:r>
              <w:rPr>
                <w:rFonts w:hint="eastAsia" w:ascii="SimHei" w:hAnsi="SimHei" w:eastAsia="黑体"/>
                <w:sz w:val="24"/>
              </w:rPr>
              <w:t>本年新增收不回的应收帐款、应处理而未处理的存货、以及其他被界定为不良资产的项目金额（由审计机构按照有关实施细则认定）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rPr>
                <w:rFonts w:hint="eastAsia"/>
                <w:sz w:val="24"/>
              </w:rPr>
            </w:pPr>
            <w:r>
              <w:rPr>
                <w:rFonts w:hint="eastAsia" w:ascii="SimHei" w:hAnsi="SimHei" w:eastAsia="黑体"/>
                <w:sz w:val="24"/>
              </w:rPr>
              <w:t xml:space="preserve">    子公司以前年度收益调整</w:t>
            </w:r>
          </w:p>
        </w:tc>
        <w:tc>
          <w:tcPr>
            <w:tcW w:w="5720" w:type="dxa"/>
            <w:noWrap w:val="0"/>
            <w:vAlign w:val="top"/>
          </w:tcPr>
          <w:p>
            <w:pPr>
              <w:tabs>
                <w:tab w:val="left" w:pos="709"/>
              </w:tabs>
              <w:rPr>
                <w:rFonts w:hint="eastAsia"/>
                <w:sz w:val="24"/>
              </w:rPr>
            </w:pPr>
            <w:r>
              <w:rPr>
                <w:rFonts w:hint="eastAsia" w:ascii="SimHei" w:hAnsi="SimHei" w:eastAsia="黑体"/>
                <w:sz w:val="24"/>
              </w:rPr>
              <w:t>子公司本年度发生的调整以前年度损益事项对本年收益的调增额，而本年收益调减额不在这里考虑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spacing w:line="360" w:lineRule="auto"/>
              <w:rPr>
                <w:rFonts w:hint="eastAsia"/>
                <w:sz w:val="24"/>
              </w:rPr>
            </w:pPr>
            <w:r>
              <w:rPr>
                <w:rFonts w:hint="eastAsia" w:ascii="SimHei" w:hAnsi="SimHei" w:eastAsia="黑体"/>
                <w:sz w:val="24"/>
              </w:rPr>
              <w:t xml:space="preserve">    本年新增待处理财产损失</w:t>
            </w:r>
          </w:p>
        </w:tc>
        <w:tc>
          <w:tcPr>
            <w:tcW w:w="5720" w:type="dxa"/>
            <w:noWrap w:val="0"/>
            <w:vAlign w:val="top"/>
          </w:tcPr>
          <w:p>
            <w:pPr>
              <w:tabs>
                <w:tab w:val="left" w:pos="709"/>
              </w:tabs>
              <w:spacing w:line="360" w:lineRule="auto"/>
              <w:rPr>
                <w:rFonts w:hint="eastAsia"/>
                <w:sz w:val="24"/>
              </w:rPr>
            </w:pPr>
            <w:r>
              <w:rPr>
                <w:rFonts w:hint="eastAsia" w:ascii="SimHei" w:hAnsi="SimHei" w:eastAsia="黑体"/>
                <w:sz w:val="24"/>
              </w:rPr>
              <w:t>本年新增的待处理流动资产、固定资产损失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tabs>
                <w:tab w:val="left" w:pos="709"/>
              </w:tabs>
              <w:rPr>
                <w:rFonts w:hint="eastAsia"/>
                <w:sz w:val="24"/>
              </w:rPr>
            </w:pPr>
            <w:r>
              <w:rPr>
                <w:rFonts w:hint="eastAsia" w:ascii="SimHei" w:hAnsi="SimHei" w:eastAsia="黑体"/>
                <w:sz w:val="24"/>
              </w:rPr>
              <w:t xml:space="preserve">    由审计机关查出未摊及少提费用</w:t>
            </w:r>
          </w:p>
        </w:tc>
        <w:tc>
          <w:tcPr>
            <w:tcW w:w="5720" w:type="dxa"/>
            <w:noWrap w:val="0"/>
            <w:vAlign w:val="top"/>
          </w:tcPr>
          <w:p>
            <w:pPr>
              <w:tabs>
                <w:tab w:val="left" w:pos="709"/>
              </w:tabs>
              <w:rPr>
                <w:rFonts w:hint="eastAsia"/>
                <w:sz w:val="24"/>
              </w:rPr>
            </w:pPr>
            <w:r>
              <w:rPr>
                <w:rFonts w:hint="eastAsia" w:ascii="SimHei" w:hAnsi="SimHei" w:eastAsia="黑体"/>
                <w:sz w:val="24"/>
              </w:rPr>
              <w:t>在年度审计中查出的该摊销而没有摊销、该计提而没有计提的费用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bottom w:val="single" w:color="auto" w:sz="4" w:space="0"/>
            </w:tcBorders>
            <w:noWrap w:val="0"/>
            <w:vAlign w:val="top"/>
          </w:tcPr>
          <w:p>
            <w:pPr>
              <w:tabs>
                <w:tab w:val="left" w:pos="709"/>
              </w:tabs>
              <w:spacing w:line="360" w:lineRule="auto"/>
              <w:rPr>
                <w:rFonts w:hint="eastAsia"/>
                <w:sz w:val="24"/>
              </w:rPr>
            </w:pPr>
            <w:r>
              <w:rPr>
                <w:rFonts w:hint="eastAsia" w:ascii="SimHei" w:hAnsi="SimHei" w:eastAsia="黑体"/>
                <w:sz w:val="24"/>
              </w:rPr>
              <w:t xml:space="preserve">    其他</w:t>
            </w:r>
          </w:p>
        </w:tc>
        <w:tc>
          <w:tcPr>
            <w:tcW w:w="5720" w:type="dxa"/>
            <w:tcBorders>
              <w:bottom w:val="single" w:color="auto" w:sz="4" w:space="0"/>
            </w:tcBorders>
            <w:noWrap w:val="0"/>
            <w:vAlign w:val="top"/>
          </w:tcPr>
          <w:p>
            <w:pPr>
              <w:tabs>
                <w:tab w:val="left" w:pos="709"/>
              </w:tabs>
              <w:rPr>
                <w:rFonts w:hint="eastAsia"/>
                <w:sz w:val="24"/>
              </w:rPr>
            </w:pPr>
            <w:r>
              <w:rPr>
                <w:rFonts w:hint="eastAsia" w:ascii="SimHei" w:hAnsi="SimHei" w:eastAsia="黑体"/>
                <w:sz w:val="24"/>
                <w:lang w:eastAsia="zh-CN"/>
              </w:rPr>
              <w:t>_____</w:t>
            </w:r>
            <w:r>
              <w:rPr>
                <w:rFonts w:hint="eastAsia" w:ascii="SimHei" w:hAnsi="SimHei" w:eastAsia="黑体"/>
                <w:sz w:val="24"/>
              </w:rPr>
              <w:t>控股董事会或薪酬委员会认定的其他应扣除的项目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D9D9D9"/>
            <w:noWrap w:val="0"/>
            <w:vAlign w:val="top"/>
          </w:tcPr>
          <w:p>
            <w:pPr>
              <w:tabs>
                <w:tab w:val="left" w:pos="709"/>
              </w:tabs>
              <w:spacing w:line="360" w:lineRule="auto"/>
              <w:rPr>
                <w:rFonts w:hint="eastAsia"/>
                <w:sz w:val="24"/>
              </w:rPr>
            </w:pPr>
            <w:r>
              <w:rPr>
                <w:rFonts w:hint="eastAsia" w:ascii="SimHei" w:hAnsi="SimHei" w:eastAsia="黑体"/>
                <w:sz w:val="24"/>
              </w:rPr>
              <w:t>＝ 经营性净资产增值额</w:t>
            </w:r>
          </w:p>
        </w:tc>
        <w:tc>
          <w:tcPr>
            <w:tcW w:w="5720" w:type="dxa"/>
            <w:shd w:val="clear" w:color="auto" w:fill="D9D9D9"/>
            <w:noWrap w:val="0"/>
            <w:vAlign w:val="top"/>
          </w:tcPr>
          <w:p>
            <w:pPr>
              <w:tabs>
                <w:tab w:val="left" w:pos="709"/>
              </w:tabs>
              <w:spacing w:line="360" w:lineRule="auto"/>
              <w:rPr>
                <w:rFonts w:hint="eastAsia"/>
                <w:sz w:val="24"/>
              </w:rPr>
            </w:pPr>
          </w:p>
        </w:tc>
      </w:tr>
    </w:tbl>
    <w:p>
      <w:pPr>
        <w:tabs>
          <w:tab w:val="left" w:pos="709"/>
        </w:tabs>
        <w:spacing w:line="360" w:lineRule="auto"/>
        <w:rPr>
          <w:rFonts w:hint="eastAsia"/>
          <w:sz w:val="24"/>
        </w:rPr>
      </w:pPr>
      <w:r>
        <w:rPr>
          <w:rFonts w:hint="eastAsia" w:ascii="SimHei" w:hAnsi="SimHei" w:eastAsia="黑体"/>
          <w:sz w:val="24"/>
        </w:rPr>
        <w:t>应计经营性净资产增值额的计算说明：</w:t>
      </w:r>
    </w:p>
    <w:p>
      <w:pPr>
        <w:tabs>
          <w:tab w:val="left" w:pos="709"/>
        </w:tabs>
        <w:spacing w:line="360" w:lineRule="auto"/>
        <w:ind w:firstLine="480"/>
        <w:rPr>
          <w:rFonts w:hint="eastAsia"/>
          <w:sz w:val="24"/>
        </w:rPr>
      </w:pPr>
      <w:r>
        <w:rPr>
          <w:rFonts w:hint="eastAsia" w:ascii="SimHei" w:hAnsi="SimHei" w:eastAsia="黑体"/>
          <w:sz w:val="24"/>
        </w:rPr>
        <w:t>经营性净资产增值额目标为负值时：</w:t>
      </w:r>
    </w:p>
    <w:p>
      <w:pPr>
        <w:tabs>
          <w:tab w:val="left" w:pos="709"/>
        </w:tabs>
        <w:spacing w:line="360" w:lineRule="auto"/>
        <w:ind w:firstLine="480"/>
        <w:rPr>
          <w:rFonts w:hint="eastAsia"/>
          <w:sz w:val="24"/>
        </w:rPr>
      </w:pPr>
      <w:r>
        <w:rPr>
          <w:rFonts w:hint="eastAsia" w:ascii="SimHei" w:hAnsi="SimHei" w:eastAsia="黑体"/>
          <w:sz w:val="24"/>
        </w:rPr>
        <w:t>应计经营性净资产增值额</w:t>
      </w:r>
      <w:r>
        <w:rPr>
          <w:rFonts w:hint="eastAsia" w:ascii="SimHei" w:hAnsi="SimHei" w:eastAsia="黑体"/>
          <w:sz w:val="24"/>
        </w:rPr>
        <w:t>＝</w:t>
      </w:r>
      <w:r>
        <w:rPr>
          <w:rFonts w:hint="eastAsia" w:ascii="SimHei" w:hAnsi="SimHei" w:eastAsia="黑体"/>
          <w:sz w:val="24"/>
        </w:rPr>
        <w:t>经营性净资产增值额－经营性净资产增值目标</w:t>
      </w:r>
    </w:p>
    <w:p>
      <w:pPr>
        <w:tabs>
          <w:tab w:val="left" w:pos="709"/>
        </w:tabs>
        <w:spacing w:line="360" w:lineRule="auto"/>
        <w:ind w:firstLine="480"/>
        <w:rPr>
          <w:rFonts w:hint="eastAsia"/>
          <w:sz w:val="24"/>
        </w:rPr>
      </w:pPr>
      <w:r>
        <w:rPr>
          <w:rFonts w:hint="eastAsia" w:ascii="SimHei" w:hAnsi="SimHei" w:eastAsia="黑体"/>
          <w:sz w:val="24"/>
        </w:rPr>
        <w:t>经营性净资产增值额目标为正值时：</w:t>
      </w:r>
    </w:p>
    <w:p>
      <w:pPr>
        <w:tabs>
          <w:tab w:val="left" w:pos="709"/>
        </w:tabs>
        <w:spacing w:line="360" w:lineRule="auto"/>
        <w:ind w:firstLine="480"/>
        <w:rPr>
          <w:rFonts w:hint="eastAsia"/>
          <w:sz w:val="24"/>
        </w:rPr>
      </w:pPr>
      <w:r>
        <w:rPr>
          <w:rFonts w:hint="eastAsia" w:ascii="SimHei" w:hAnsi="SimHei" w:eastAsia="黑体"/>
          <w:sz w:val="24"/>
        </w:rPr>
        <w:t>应计经营性净资产增值额</w:t>
      </w:r>
      <w:r>
        <w:rPr>
          <w:rFonts w:hint="eastAsia" w:ascii="SimHei" w:hAnsi="SimHei" w:eastAsia="黑体"/>
          <w:sz w:val="24"/>
        </w:rPr>
        <w:t>＝</w:t>
      </w:r>
      <w:r>
        <w:rPr>
          <w:rFonts w:hint="eastAsia" w:ascii="SimHei" w:hAnsi="SimHei" w:eastAsia="黑体"/>
          <w:sz w:val="24"/>
        </w:rPr>
        <w:t>经营性净资产增值额</w:t>
      </w:r>
    </w:p>
    <w:p>
      <w:pPr>
        <w:numPr>
          <w:ilvl w:val="1"/>
          <w:numId w:val="12"/>
        </w:numPr>
        <w:tabs>
          <w:tab w:val="left" w:pos="709"/>
          <w:tab w:val="left" w:pos="993"/>
          <w:tab w:val="clear" w:pos="1380"/>
        </w:tabs>
        <w:spacing w:before="156" w:beforeLines="50" w:after="156" w:afterLines="50" w:line="360" w:lineRule="auto"/>
        <w:ind w:left="850" w:hanging="425"/>
        <w:rPr>
          <w:rFonts w:hint="eastAsia"/>
          <w:b/>
          <w:sz w:val="24"/>
        </w:rPr>
      </w:pPr>
      <w:r>
        <w:rPr>
          <w:rFonts w:hint="eastAsia" w:ascii="SimHei" w:hAnsi="SimHei" w:eastAsia="黑体"/>
          <w:b/>
          <w:sz w:val="24"/>
        </w:rPr>
        <w:t>调节系数计算办法</w:t>
      </w:r>
    </w:p>
    <w:p>
      <w:pPr>
        <w:tabs>
          <w:tab w:val="left" w:pos="709"/>
        </w:tabs>
        <w:spacing w:line="360" w:lineRule="auto"/>
        <w:ind w:firstLine="480"/>
        <w:rPr>
          <w:rFonts w:hint="eastAsia"/>
          <w:sz w:val="24"/>
        </w:rPr>
      </w:pPr>
      <w:r>
        <w:rPr>
          <w:rFonts w:hint="eastAsia" w:ascii="SimHei" w:hAnsi="SimHei" w:eastAsia="黑体"/>
          <w:sz w:val="24"/>
        </w:rPr>
        <w:t>调节系数根据增值目标完成率和调整后净资产收益率综合确定。其具体确定办法如下：</w:t>
      </w:r>
    </w:p>
    <w:p>
      <w:pPr>
        <w:numPr>
          <w:ilvl w:val="0"/>
          <w:numId w:val="14"/>
        </w:numPr>
        <w:tabs>
          <w:tab w:val="left" w:pos="709"/>
          <w:tab w:val="left" w:pos="851"/>
          <w:tab w:val="clear" w:pos="1215"/>
        </w:tabs>
        <w:spacing w:line="360" w:lineRule="auto"/>
        <w:ind w:left="0" w:firstLine="480"/>
        <w:rPr>
          <w:rFonts w:hint="eastAsia" w:ascii="宋体" w:hAnsi="宋体"/>
          <w:sz w:val="24"/>
        </w:rPr>
      </w:pPr>
      <w:r>
        <w:rPr>
          <w:rFonts w:hint="eastAsia" w:ascii="SimHei" w:hAnsi="SimHei" w:eastAsia="黑体"/>
          <w:sz w:val="24"/>
        </w:rPr>
        <w:t>当调整后净资产收益率≥5%时，调节</w:t>
      </w:r>
      <w:r>
        <w:rPr>
          <w:rFonts w:hint="eastAsia" w:ascii="SimHei" w:hAnsi="SimHei" w:eastAsia="黑体"/>
          <w:sz w:val="24"/>
        </w:rPr>
        <w:t>系数＝增值目标完成系数＋10×（调整后净资产收益率－5%），但调节系数最高值不超过2.0。</w:t>
      </w:r>
    </w:p>
    <w:p>
      <w:pPr>
        <w:numPr>
          <w:ilvl w:val="0"/>
          <w:numId w:val="14"/>
        </w:numPr>
        <w:tabs>
          <w:tab w:val="left" w:pos="709"/>
          <w:tab w:val="left" w:pos="851"/>
          <w:tab w:val="clear" w:pos="1215"/>
        </w:tabs>
        <w:spacing w:line="360" w:lineRule="auto"/>
        <w:ind w:left="0" w:firstLine="480"/>
        <w:rPr>
          <w:rFonts w:hint="eastAsia"/>
          <w:sz w:val="24"/>
        </w:rPr>
      </w:pPr>
      <w:r>
        <w:rPr>
          <w:rFonts w:hint="eastAsia" w:ascii="SimHei" w:hAnsi="SimHei" w:eastAsia="黑体"/>
          <w:sz w:val="24"/>
        </w:rPr>
        <w:t>当调整后净资产收益率＜5%时，调节系数</w:t>
      </w:r>
      <w:r>
        <w:rPr>
          <w:rFonts w:hint="eastAsia" w:ascii="SimHei" w:hAnsi="SimHei" w:eastAsia="黑体"/>
          <w:sz w:val="24"/>
        </w:rPr>
        <w:t>＝增值目标完成系数＋5×（调整后净资产收益率－5%），但调节系数最低不低于0。</w:t>
      </w:r>
    </w:p>
    <w:p>
      <w:pPr>
        <w:tabs>
          <w:tab w:val="left" w:pos="709"/>
        </w:tabs>
        <w:spacing w:line="360" w:lineRule="auto"/>
        <w:ind w:firstLine="480"/>
        <w:rPr>
          <w:rFonts w:hint="eastAsia" w:ascii="宋体" w:hAnsi="宋体"/>
          <w:sz w:val="24"/>
        </w:rPr>
      </w:pPr>
      <w:r>
        <w:rPr>
          <w:rFonts w:hint="eastAsia" w:ascii="SimHei" w:hAnsi="SimHei" w:eastAsia="黑体"/>
          <w:sz w:val="24"/>
        </w:rPr>
        <w:t>其中，</w:t>
      </w:r>
    </w:p>
    <w:p>
      <w:pPr>
        <w:tabs>
          <w:tab w:val="left" w:pos="709"/>
        </w:tabs>
        <w:spacing w:line="360" w:lineRule="auto"/>
        <w:ind w:firstLine="480"/>
        <w:rPr>
          <w:rFonts w:hint="eastAsia" w:ascii="宋体" w:hAnsi="宋体"/>
          <w:sz w:val="24"/>
        </w:rPr>
      </w:pPr>
      <w:r>
        <w:rPr>
          <w:rFonts w:hint="eastAsia" w:ascii="SimHei" w:hAnsi="SimHei" w:eastAsia="黑体"/>
          <w:sz w:val="24"/>
        </w:rPr>
        <w:t xml:space="preserve">调整后净资产收益率＝应计经营性净资产增值额／[（期初净资产＋期末净资产）／2] </w:t>
      </w:r>
    </w:p>
    <w:p>
      <w:pPr>
        <w:tabs>
          <w:tab w:val="left" w:pos="709"/>
        </w:tabs>
        <w:spacing w:line="360" w:lineRule="auto"/>
        <w:ind w:firstLine="480"/>
        <w:rPr>
          <w:rFonts w:hint="eastAsia" w:ascii="宋体" w:hAnsi="宋体"/>
          <w:sz w:val="24"/>
        </w:rPr>
      </w:pPr>
      <w:r>
        <w:rPr>
          <w:rFonts w:hint="eastAsia" w:ascii="SimHei" w:hAnsi="SimHei" w:eastAsia="黑体"/>
          <w:sz w:val="24"/>
        </w:rPr>
        <w:t>上式中，期初（期末）净资产指企业按年薪制考核要求经审计调整后的会计报表（已剔除不良资产）上的数额。如果净资产在考核年度内由于兼并、评估、新增投资等非经营性因素影响而变动额超过变动前金额50%的企业，应按照该企业的各月净资产计算其平均净资产。</w:t>
      </w:r>
    </w:p>
    <w:p>
      <w:pPr>
        <w:tabs>
          <w:tab w:val="left" w:pos="709"/>
        </w:tabs>
        <w:spacing w:line="360" w:lineRule="auto"/>
        <w:ind w:firstLine="480"/>
        <w:rPr>
          <w:rFonts w:hint="eastAsia" w:ascii="宋体" w:hAnsi="宋体"/>
          <w:sz w:val="24"/>
        </w:rPr>
      </w:pPr>
      <w:r>
        <w:rPr>
          <w:rFonts w:hint="eastAsia" w:ascii="SimHei" w:hAnsi="SimHei" w:eastAsia="黑体"/>
          <w:sz w:val="24"/>
        </w:rPr>
        <w:t>上面调节系数计算的两公式中的增值目标完成系数是根据增值目标完成率W确定。W的计算公式如下：</w:t>
      </w:r>
    </w:p>
    <w:p>
      <w:pPr>
        <w:tabs>
          <w:tab w:val="left" w:pos="709"/>
        </w:tabs>
        <w:spacing w:line="360" w:lineRule="auto"/>
        <w:ind w:firstLine="480"/>
        <w:rPr>
          <w:rFonts w:hint="eastAsia" w:ascii="宋体" w:hAnsi="宋体"/>
          <w:sz w:val="24"/>
        </w:rPr>
      </w:pPr>
      <w:r>
        <w:rPr>
          <w:rFonts w:hint="eastAsia" w:ascii="SimHei" w:hAnsi="SimHei" w:eastAsia="黑体"/>
          <w:sz w:val="24"/>
        </w:rPr>
        <w:t>增值目标完成率W＝应计经营性净资产增值额／经营性净资产增值额目标值</w:t>
      </w:r>
    </w:p>
    <w:p>
      <w:pPr>
        <w:tabs>
          <w:tab w:val="left" w:pos="709"/>
        </w:tabs>
        <w:spacing w:line="360" w:lineRule="auto"/>
        <w:ind w:firstLine="480"/>
        <w:rPr>
          <w:rFonts w:hint="eastAsia" w:ascii="宋体" w:hAnsi="宋体"/>
          <w:sz w:val="24"/>
        </w:rPr>
      </w:pPr>
      <w:r>
        <w:rPr>
          <w:rFonts w:hint="eastAsia" w:ascii="SimHei" w:hAnsi="SimHei" w:eastAsia="黑体"/>
          <w:sz w:val="24"/>
        </w:rPr>
        <w:t>当W≤60%时，增值目标完成系数＝0.5×W；</w:t>
      </w:r>
    </w:p>
    <w:p>
      <w:pPr>
        <w:tabs>
          <w:tab w:val="left" w:pos="709"/>
        </w:tabs>
        <w:spacing w:line="360" w:lineRule="auto"/>
        <w:ind w:firstLine="480"/>
        <w:rPr>
          <w:rFonts w:hint="eastAsia" w:ascii="宋体" w:hAnsi="宋体"/>
          <w:sz w:val="24"/>
        </w:rPr>
      </w:pPr>
      <w:r>
        <w:rPr>
          <w:rFonts w:hint="eastAsia" w:ascii="SimHei" w:hAnsi="SimHei" w:eastAsia="黑体"/>
          <w:sz w:val="24"/>
        </w:rPr>
        <w:t>当60%</w:t>
      </w:r>
      <w:r>
        <w:rPr>
          <w:rFonts w:hint="eastAsia" w:ascii="SimHei" w:hAnsi="SimHei" w:eastAsia="黑体"/>
          <w:sz w:val="24"/>
        </w:rPr>
        <w:t>＜W≤80%时，增值目标完成系数＝0.8×W；</w:t>
      </w:r>
    </w:p>
    <w:p>
      <w:pPr>
        <w:tabs>
          <w:tab w:val="left" w:pos="709"/>
        </w:tabs>
        <w:spacing w:line="360" w:lineRule="auto"/>
        <w:ind w:firstLine="480"/>
        <w:rPr>
          <w:rFonts w:hint="eastAsia" w:ascii="宋体" w:hAnsi="宋体"/>
          <w:sz w:val="24"/>
        </w:rPr>
      </w:pPr>
      <w:r>
        <w:rPr>
          <w:rFonts w:hint="eastAsia" w:ascii="SimHei" w:hAnsi="SimHei" w:eastAsia="黑体"/>
          <w:sz w:val="24"/>
        </w:rPr>
        <w:t>当</w:t>
      </w:r>
      <w:r>
        <w:rPr>
          <w:rFonts w:hint="eastAsia" w:ascii="SimHei" w:hAnsi="SimHei" w:eastAsia="黑体"/>
          <w:sz w:val="24"/>
        </w:rPr>
        <w:t>80%</w:t>
      </w:r>
      <w:r>
        <w:rPr>
          <w:rFonts w:hint="eastAsia" w:ascii="SimHei" w:hAnsi="SimHei" w:eastAsia="黑体"/>
          <w:sz w:val="24"/>
        </w:rPr>
        <w:t>＜W≤150%时，增值目标完成系数＝W；</w:t>
      </w:r>
    </w:p>
    <w:p>
      <w:pPr>
        <w:tabs>
          <w:tab w:val="left" w:pos="709"/>
        </w:tabs>
        <w:spacing w:line="360" w:lineRule="auto"/>
        <w:ind w:firstLine="480"/>
        <w:rPr>
          <w:rFonts w:hint="eastAsia" w:ascii="宋体" w:hAnsi="宋体"/>
          <w:sz w:val="24"/>
        </w:rPr>
      </w:pPr>
      <w:r>
        <w:rPr>
          <w:rFonts w:hint="eastAsia" w:ascii="SimHei" w:hAnsi="SimHei" w:eastAsia="黑体"/>
          <w:sz w:val="24"/>
        </w:rPr>
        <w:t>当</w:t>
      </w:r>
      <w:r>
        <w:rPr>
          <w:rFonts w:hint="eastAsia" w:ascii="SimHei" w:hAnsi="SimHei" w:eastAsia="黑体"/>
          <w:sz w:val="24"/>
        </w:rPr>
        <w:t>150%</w:t>
      </w:r>
      <w:r>
        <w:rPr>
          <w:rFonts w:hint="eastAsia" w:ascii="SimHei" w:hAnsi="SimHei" w:eastAsia="黑体"/>
          <w:sz w:val="24"/>
        </w:rPr>
        <w:t>＜W时，增值目标完成系数＝1.5。</w:t>
      </w:r>
    </w:p>
    <w:p>
      <w:pPr>
        <w:tabs>
          <w:tab w:val="left" w:pos="709"/>
        </w:tabs>
        <w:spacing w:line="360" w:lineRule="auto"/>
        <w:ind w:firstLine="480"/>
        <w:rPr>
          <w:rFonts w:hint="eastAsia" w:ascii="宋体" w:hAnsi="宋体"/>
          <w:sz w:val="24"/>
        </w:rPr>
      </w:pPr>
      <w:r>
        <w:rPr>
          <w:rFonts w:hint="eastAsia" w:ascii="SimHei" w:hAnsi="SimHei" w:eastAsia="黑体"/>
          <w:sz w:val="24"/>
        </w:rPr>
        <w:t>当经营性净资产增值额目标值为负值时，其增值目标完成率的计算公式如下：</w:t>
      </w:r>
    </w:p>
    <w:p>
      <w:pPr>
        <w:tabs>
          <w:tab w:val="left" w:pos="709"/>
        </w:tabs>
        <w:spacing w:line="360" w:lineRule="auto"/>
        <w:ind w:firstLine="480"/>
        <w:rPr>
          <w:rFonts w:hint="eastAsia" w:ascii="宋体" w:hAnsi="宋体"/>
          <w:sz w:val="24"/>
        </w:rPr>
      </w:pPr>
      <w:r>
        <w:rPr>
          <w:rFonts w:hint="eastAsia" w:ascii="SimHei" w:hAnsi="SimHei" w:eastAsia="黑体"/>
          <w:sz w:val="24"/>
        </w:rPr>
        <w:t>增值目标完成率W＝1＋（应计经营性净资产增值额／经营性净资产增值额目标值的绝对值）</w:t>
      </w:r>
    </w:p>
    <w:p>
      <w:pPr>
        <w:tabs>
          <w:tab w:val="left" w:pos="709"/>
        </w:tabs>
        <w:spacing w:line="360" w:lineRule="auto"/>
        <w:ind w:firstLine="480"/>
        <w:rPr>
          <w:rFonts w:hint="eastAsia" w:ascii="宋体" w:hAnsi="宋体"/>
          <w:sz w:val="24"/>
        </w:rPr>
      </w:pPr>
      <w:r>
        <w:rPr>
          <w:rFonts w:hint="eastAsia" w:ascii="SimHei" w:hAnsi="SimHei" w:eastAsia="黑体"/>
          <w:sz w:val="24"/>
        </w:rPr>
        <w:t>此情况下的增值目标完成率最高值也不超过1.5。上式中，应计经营性净资产增值额应大于0，说明已完成了目标，所以W≥1。</w:t>
      </w:r>
    </w:p>
    <w:p>
      <w:pPr>
        <w:tabs>
          <w:tab w:val="left" w:pos="709"/>
        </w:tabs>
        <w:spacing w:line="360" w:lineRule="auto"/>
        <w:ind w:firstLine="480"/>
        <w:rPr>
          <w:rFonts w:hint="eastAsia" w:ascii="宋体" w:hAnsi="宋体"/>
          <w:sz w:val="24"/>
        </w:rPr>
      </w:pPr>
      <w:r>
        <w:rPr>
          <w:rFonts w:hint="eastAsia" w:ascii="SimHei" w:hAnsi="SimHei" w:eastAsia="黑体"/>
          <w:sz w:val="24"/>
        </w:rPr>
        <w:t>应计经营性净资产增值额目标值的确定详见表2。</w:t>
      </w:r>
    </w:p>
    <w:p>
      <w:pPr>
        <w:numPr>
          <w:ilvl w:val="1"/>
          <w:numId w:val="12"/>
        </w:numPr>
        <w:tabs>
          <w:tab w:val="left" w:pos="709"/>
          <w:tab w:val="left" w:pos="993"/>
          <w:tab w:val="clear" w:pos="1380"/>
        </w:tabs>
        <w:spacing w:before="156" w:beforeLines="50" w:after="156" w:afterLines="50" w:line="360" w:lineRule="auto"/>
        <w:ind w:left="850" w:hanging="425"/>
        <w:rPr>
          <w:rFonts w:hint="eastAsia"/>
          <w:b/>
          <w:sz w:val="24"/>
        </w:rPr>
      </w:pPr>
      <w:r>
        <w:rPr>
          <w:rFonts w:hint="eastAsia" w:ascii="SimHei" w:hAnsi="SimHei" w:eastAsia="黑体"/>
          <w:b/>
          <w:sz w:val="24"/>
        </w:rPr>
        <w:t>综合评价系数计算办法</w:t>
      </w:r>
    </w:p>
    <w:p>
      <w:pPr>
        <w:tabs>
          <w:tab w:val="left" w:pos="709"/>
        </w:tabs>
        <w:spacing w:line="360" w:lineRule="auto"/>
        <w:ind w:firstLine="480"/>
        <w:rPr>
          <w:rFonts w:hint="eastAsia" w:ascii="宋体" w:hAnsi="宋体"/>
          <w:sz w:val="24"/>
        </w:rPr>
      </w:pPr>
      <w:r>
        <w:rPr>
          <w:rFonts w:hint="eastAsia" w:ascii="SimHei" w:hAnsi="SimHei" w:eastAsia="黑体"/>
          <w:sz w:val="24"/>
        </w:rPr>
        <w:t>综合评价系数根据下表（表3）四大类指标确定：财务收益状况指标、发展能力状况指标、资产运营状况指标和偿债能力状况指标。具体的说，根据各部分指标的实际完成值与目标值的对比，来确定各指标的评价系数，最后由各指标的评价系数之和得出综合评价系数。</w:t>
      </w:r>
    </w:p>
    <w:p>
      <w:pPr>
        <w:numPr>
          <w:ilvl w:val="0"/>
          <w:numId w:val="15"/>
        </w:numPr>
        <w:tabs>
          <w:tab w:val="left" w:pos="709"/>
        </w:tabs>
        <w:spacing w:line="360" w:lineRule="auto"/>
        <w:rPr>
          <w:rFonts w:hint="eastAsia" w:ascii="宋体" w:hAnsi="宋体"/>
          <w:sz w:val="24"/>
        </w:rPr>
      </w:pPr>
      <w:r>
        <w:rPr>
          <w:rFonts w:hint="eastAsia" w:ascii="SimHei" w:hAnsi="SimHei" w:eastAsia="黑体"/>
          <w:sz w:val="24"/>
        </w:rPr>
        <w:t>综合评价系数计算公式表</w:t>
      </w:r>
    </w:p>
    <w:p>
      <w:pPr>
        <w:tabs>
          <w:tab w:val="left" w:pos="709"/>
        </w:tabs>
        <w:spacing w:line="360" w:lineRule="auto"/>
        <w:jc w:val="center"/>
        <w:rPr>
          <w:rFonts w:hint="eastAsia" w:ascii="宋体" w:hAnsi="宋体"/>
          <w:sz w:val="24"/>
        </w:rPr>
      </w:pPr>
      <w:r>
        <w:rPr>
          <w:rFonts w:hint="eastAsia" w:ascii="SimHei" w:hAnsi="SimHei" w:eastAsia="黑体"/>
          <w:sz w:val="24"/>
        </w:rPr>
        <w:t>表3 评价指标、评价系数及评价系数的计算公式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9"/>
        <w:gridCol w:w="689"/>
        <w:gridCol w:w="2784"/>
        <w:gridCol w:w="71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top"/>
          </w:tcPr>
          <w:p>
            <w:pPr>
              <w:tabs>
                <w:tab w:val="left" w:pos="709"/>
              </w:tabs>
              <w:spacing w:line="360" w:lineRule="auto"/>
              <w:jc w:val="center"/>
              <w:rPr>
                <w:rFonts w:hint="eastAsia"/>
                <w:sz w:val="24"/>
              </w:rPr>
            </w:pPr>
            <w:r>
              <w:rPr>
                <w:rFonts w:hint="eastAsia" w:ascii="SimHei" w:hAnsi="SimHei" w:eastAsia="黑体"/>
                <w:sz w:val="24"/>
              </w:rPr>
              <w:t>指标类别</w:t>
            </w:r>
          </w:p>
        </w:tc>
        <w:tc>
          <w:tcPr>
            <w:tcW w:w="708" w:type="dxa"/>
            <w:gridSpan w:val="2"/>
            <w:noWrap w:val="0"/>
            <w:vAlign w:val="top"/>
          </w:tcPr>
          <w:p>
            <w:pPr>
              <w:tabs>
                <w:tab w:val="left" w:pos="709"/>
              </w:tabs>
              <w:spacing w:line="360" w:lineRule="auto"/>
              <w:rPr>
                <w:rFonts w:hint="eastAsia"/>
                <w:sz w:val="24"/>
              </w:rPr>
            </w:pPr>
            <w:r>
              <w:rPr>
                <w:rFonts w:hint="eastAsia" w:ascii="SimHei" w:hAnsi="SimHei" w:eastAsia="黑体"/>
                <w:sz w:val="24"/>
              </w:rPr>
              <w:t>序号</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指标名称</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权重</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评价系数计算公式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restart"/>
            <w:noWrap w:val="0"/>
            <w:vAlign w:val="top"/>
          </w:tcPr>
          <w:p>
            <w:pPr>
              <w:tabs>
                <w:tab w:val="left" w:pos="709"/>
              </w:tabs>
              <w:spacing w:line="360" w:lineRule="auto"/>
              <w:jc w:val="center"/>
              <w:rPr>
                <w:rFonts w:hint="eastAsia"/>
                <w:sz w:val="24"/>
              </w:rPr>
            </w:pPr>
            <w:r>
              <w:rPr>
                <w:rFonts w:hint="eastAsia" w:ascii="SimHei" w:hAnsi="SimHei" w:eastAsia="黑体"/>
                <w:sz w:val="24"/>
              </w:rPr>
              <w:t>财务效益状况指标（权重0.4）</w:t>
            </w: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1</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总资产收益率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0.25</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0.2</w:t>
            </w:r>
            <w:r>
              <w:rPr>
                <w:rFonts w:hint="eastAsia" w:ascii="SimHei" w:hAnsi="SimHei" w:eastAsia="黑体"/>
                <w:sz w:val="24"/>
              </w:rPr>
              <w:t>5×实际完成值／目标值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top"/>
          </w:tcPr>
          <w:p>
            <w:pPr>
              <w:tabs>
                <w:tab w:val="left" w:pos="709"/>
              </w:tabs>
              <w:spacing w:line="360" w:lineRule="auto"/>
              <w:jc w:val="center"/>
              <w:rPr>
                <w:rFonts w:hint="eastAsia"/>
                <w:sz w:val="24"/>
              </w:rPr>
            </w:pP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2</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现金流对营业利润比率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0.15</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按现金流的状况分级计算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restart"/>
            <w:noWrap w:val="0"/>
            <w:vAlign w:val="top"/>
          </w:tcPr>
          <w:p>
            <w:pPr>
              <w:tabs>
                <w:tab w:val="left" w:pos="709"/>
              </w:tabs>
              <w:spacing w:line="360" w:lineRule="auto"/>
              <w:jc w:val="center"/>
              <w:rPr>
                <w:rFonts w:hint="eastAsia"/>
                <w:sz w:val="24"/>
              </w:rPr>
            </w:pPr>
            <w:r>
              <w:rPr>
                <w:rFonts w:hint="eastAsia" w:ascii="SimHei" w:hAnsi="SimHei" w:eastAsia="黑体"/>
                <w:sz w:val="24"/>
              </w:rPr>
              <w:t>发展能力指标</w:t>
            </w:r>
          </w:p>
          <w:p>
            <w:pPr>
              <w:tabs>
                <w:tab w:val="left" w:pos="709"/>
              </w:tabs>
              <w:spacing w:line="360" w:lineRule="auto"/>
              <w:jc w:val="center"/>
              <w:rPr>
                <w:rFonts w:hint="eastAsia"/>
                <w:sz w:val="24"/>
              </w:rPr>
            </w:pPr>
            <w:r>
              <w:rPr>
                <w:rFonts w:hint="eastAsia" w:ascii="SimHei" w:hAnsi="SimHei" w:eastAsia="黑体"/>
                <w:sz w:val="24"/>
              </w:rPr>
              <w:t>（权重0.2）</w:t>
            </w: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3</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主营业务收入增长率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0.10</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0.10</w:t>
            </w:r>
            <w:r>
              <w:rPr>
                <w:rFonts w:hint="eastAsia" w:ascii="SimHei" w:hAnsi="SimHei" w:eastAsia="黑体"/>
                <w:sz w:val="24"/>
              </w:rPr>
              <w:t>×实际完成值／目标值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top"/>
          </w:tcPr>
          <w:p>
            <w:pPr>
              <w:tabs>
                <w:tab w:val="left" w:pos="709"/>
              </w:tabs>
              <w:spacing w:line="360" w:lineRule="auto"/>
              <w:jc w:val="center"/>
              <w:rPr>
                <w:rFonts w:hint="eastAsia"/>
                <w:sz w:val="24"/>
              </w:rPr>
            </w:pP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4</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净资产增长率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0.10</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0.10</w:t>
            </w:r>
            <w:r>
              <w:rPr>
                <w:rFonts w:hint="eastAsia" w:ascii="SimHei" w:hAnsi="SimHei" w:eastAsia="黑体"/>
                <w:sz w:val="24"/>
              </w:rPr>
              <w:t>×实际完成值／目标值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restart"/>
            <w:noWrap w:val="0"/>
            <w:vAlign w:val="top"/>
          </w:tcPr>
          <w:p>
            <w:pPr>
              <w:tabs>
                <w:tab w:val="left" w:pos="709"/>
              </w:tabs>
              <w:spacing w:line="360" w:lineRule="auto"/>
              <w:jc w:val="center"/>
              <w:rPr>
                <w:sz w:val="24"/>
              </w:rPr>
            </w:pPr>
            <w:r>
              <w:rPr>
                <w:rFonts w:hint="eastAsia" w:ascii="SimHei" w:hAnsi="SimHei" w:eastAsia="黑体"/>
                <w:sz w:val="24"/>
              </w:rPr>
              <w:t>资产运营状况</w:t>
            </w:r>
          </w:p>
          <w:p>
            <w:pPr>
              <w:tabs>
                <w:tab w:val="left" w:pos="709"/>
              </w:tabs>
              <w:spacing w:line="360" w:lineRule="auto"/>
              <w:jc w:val="center"/>
              <w:rPr>
                <w:rFonts w:hint="eastAsia"/>
                <w:sz w:val="24"/>
              </w:rPr>
            </w:pPr>
            <w:r>
              <w:rPr>
                <w:rFonts w:hint="eastAsia" w:ascii="SimHei" w:hAnsi="SimHei" w:eastAsia="黑体"/>
                <w:sz w:val="24"/>
              </w:rPr>
              <w:t>（权重0.3）</w:t>
            </w: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5</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存货周转率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0.15</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0.15</w:t>
            </w:r>
            <w:r>
              <w:rPr>
                <w:rFonts w:hint="eastAsia" w:ascii="SimHei" w:hAnsi="SimHei" w:eastAsia="黑体"/>
                <w:sz w:val="24"/>
              </w:rPr>
              <w:t>×实际完成值／目标值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6" w:type="dxa"/>
            <w:vMerge w:val="continue"/>
            <w:noWrap w:val="0"/>
            <w:vAlign w:val="top"/>
          </w:tcPr>
          <w:p>
            <w:pPr>
              <w:tabs>
                <w:tab w:val="left" w:pos="709"/>
              </w:tabs>
              <w:spacing w:line="360" w:lineRule="auto"/>
              <w:jc w:val="center"/>
              <w:rPr>
                <w:rFonts w:hint="eastAsia"/>
                <w:sz w:val="24"/>
              </w:rPr>
            </w:pPr>
          </w:p>
        </w:tc>
        <w:tc>
          <w:tcPr>
            <w:tcW w:w="708" w:type="dxa"/>
            <w:gridSpan w:val="2"/>
            <w:noWrap w:val="0"/>
            <w:vAlign w:val="top"/>
          </w:tcPr>
          <w:p>
            <w:pPr>
              <w:tabs>
                <w:tab w:val="left" w:pos="709"/>
              </w:tabs>
              <w:spacing w:line="360" w:lineRule="auto"/>
              <w:jc w:val="center"/>
              <w:rPr>
                <w:rFonts w:hint="eastAsia"/>
                <w:sz w:val="24"/>
              </w:rPr>
            </w:pPr>
            <w:r>
              <w:rPr>
                <w:rFonts w:hint="eastAsia" w:ascii="SimHei" w:hAnsi="SimHei" w:eastAsia="黑体"/>
                <w:sz w:val="24"/>
              </w:rPr>
              <w:t>6</w:t>
            </w:r>
          </w:p>
        </w:tc>
        <w:tc>
          <w:tcPr>
            <w:tcW w:w="2784" w:type="dxa"/>
            <w:noWrap w:val="0"/>
            <w:vAlign w:val="top"/>
          </w:tcPr>
          <w:p>
            <w:pPr>
              <w:tabs>
                <w:tab w:val="left" w:pos="709"/>
              </w:tabs>
              <w:spacing w:line="360" w:lineRule="auto"/>
              <w:rPr>
                <w:rFonts w:hint="eastAsia"/>
                <w:sz w:val="24"/>
              </w:rPr>
            </w:pPr>
            <w:r>
              <w:rPr>
                <w:rFonts w:hint="eastAsia" w:ascii="SimHei" w:hAnsi="SimHei" w:eastAsia="黑体"/>
                <w:sz w:val="24"/>
              </w:rPr>
              <w:t>应收账款周转率</w:t>
            </w:r>
          </w:p>
        </w:tc>
        <w:tc>
          <w:tcPr>
            <w:tcW w:w="712" w:type="dxa"/>
            <w:noWrap w:val="0"/>
            <w:vAlign w:val="top"/>
          </w:tcPr>
          <w:p>
            <w:pPr>
              <w:tabs>
                <w:tab w:val="left" w:pos="709"/>
              </w:tabs>
              <w:spacing w:line="360" w:lineRule="auto"/>
              <w:jc w:val="center"/>
              <w:rPr>
                <w:rFonts w:hint="eastAsia"/>
                <w:sz w:val="24"/>
              </w:rPr>
            </w:pPr>
            <w:r>
              <w:rPr>
                <w:rFonts w:hint="eastAsia" w:ascii="SimHei" w:hAnsi="SimHei" w:eastAsia="黑体"/>
                <w:sz w:val="24"/>
              </w:rPr>
              <w:t>0.15</w:t>
            </w:r>
          </w:p>
        </w:tc>
        <w:tc>
          <w:tcPr>
            <w:tcW w:w="3083" w:type="dxa"/>
            <w:noWrap w:val="0"/>
            <w:vAlign w:val="top"/>
          </w:tcPr>
          <w:p>
            <w:pPr>
              <w:tabs>
                <w:tab w:val="left" w:pos="709"/>
              </w:tabs>
              <w:spacing w:line="360" w:lineRule="auto"/>
              <w:rPr>
                <w:rFonts w:hint="eastAsia"/>
                <w:sz w:val="24"/>
              </w:rPr>
            </w:pPr>
            <w:r>
              <w:rPr>
                <w:rFonts w:hint="eastAsia" w:ascii="SimHei" w:hAnsi="SimHei" w:eastAsia="黑体"/>
                <w:sz w:val="24"/>
              </w:rPr>
              <w:t>0.15</w:t>
            </w:r>
            <w:r>
              <w:rPr>
                <w:rFonts w:hint="eastAsia" w:ascii="SimHei" w:hAnsi="SimHei" w:eastAsia="黑体"/>
                <w:sz w:val="24"/>
              </w:rPr>
              <w:t>×实际完成值／目标值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pPr>
              <w:tabs>
                <w:tab w:val="left" w:pos="709"/>
              </w:tabs>
              <w:spacing w:line="360" w:lineRule="auto"/>
              <w:jc w:val="center"/>
              <w:rPr>
                <w:rFonts w:hint="eastAsia"/>
                <w:sz w:val="24"/>
              </w:rPr>
            </w:pPr>
            <w:r>
              <w:rPr>
                <w:rFonts w:hint="eastAsia" w:ascii="SimHei" w:hAnsi="SimHei" w:eastAsia="黑体"/>
                <w:sz w:val="24"/>
              </w:rPr>
              <w:t>偿债能力状况</w:t>
            </w:r>
          </w:p>
          <w:p>
            <w:pPr>
              <w:tabs>
                <w:tab w:val="left" w:pos="709"/>
              </w:tabs>
              <w:spacing w:line="360" w:lineRule="auto"/>
              <w:jc w:val="center"/>
              <w:rPr>
                <w:rFonts w:hint="eastAsia"/>
                <w:sz w:val="24"/>
              </w:rPr>
            </w:pPr>
            <w:r>
              <w:rPr>
                <w:rFonts w:hint="eastAsia" w:ascii="SimHei" w:hAnsi="SimHei" w:eastAsia="黑体"/>
                <w:sz w:val="24"/>
              </w:rPr>
              <w:t>（权重0.1）</w:t>
            </w:r>
          </w:p>
        </w:tc>
        <w:tc>
          <w:tcPr>
            <w:tcW w:w="708" w:type="dxa"/>
            <w:gridSpan w:val="2"/>
            <w:noWrap w:val="0"/>
            <w:vAlign w:val="center"/>
          </w:tcPr>
          <w:p>
            <w:pPr>
              <w:tabs>
                <w:tab w:val="left" w:pos="709"/>
              </w:tabs>
              <w:spacing w:line="360" w:lineRule="auto"/>
              <w:jc w:val="center"/>
              <w:rPr>
                <w:rFonts w:hint="eastAsia"/>
                <w:sz w:val="24"/>
              </w:rPr>
            </w:pPr>
            <w:r>
              <w:rPr>
                <w:rFonts w:hint="eastAsia" w:ascii="SimHei" w:hAnsi="SimHei" w:eastAsia="黑体"/>
                <w:sz w:val="24"/>
              </w:rPr>
              <w:t>7</w:t>
            </w:r>
          </w:p>
        </w:tc>
        <w:tc>
          <w:tcPr>
            <w:tcW w:w="2784" w:type="dxa"/>
            <w:noWrap w:val="0"/>
            <w:vAlign w:val="center"/>
          </w:tcPr>
          <w:p>
            <w:pPr>
              <w:tabs>
                <w:tab w:val="left" w:pos="709"/>
              </w:tabs>
              <w:spacing w:line="360" w:lineRule="auto"/>
              <w:rPr>
                <w:rFonts w:hint="eastAsia"/>
                <w:sz w:val="24"/>
              </w:rPr>
            </w:pPr>
            <w:r>
              <w:rPr>
                <w:rFonts w:hint="eastAsia" w:ascii="SimHei" w:hAnsi="SimHei" w:eastAsia="黑体"/>
                <w:sz w:val="24"/>
              </w:rPr>
              <w:t>资产负债率</w:t>
            </w:r>
          </w:p>
        </w:tc>
        <w:tc>
          <w:tcPr>
            <w:tcW w:w="712" w:type="dxa"/>
            <w:noWrap w:val="0"/>
            <w:vAlign w:val="center"/>
          </w:tcPr>
          <w:p>
            <w:pPr>
              <w:tabs>
                <w:tab w:val="left" w:pos="709"/>
              </w:tabs>
              <w:spacing w:line="360" w:lineRule="auto"/>
              <w:jc w:val="center"/>
              <w:rPr>
                <w:rFonts w:hint="eastAsia"/>
                <w:sz w:val="24"/>
              </w:rPr>
            </w:pPr>
            <w:r>
              <w:rPr>
                <w:rFonts w:hint="eastAsia" w:ascii="SimHei" w:hAnsi="SimHei" w:eastAsia="黑体"/>
                <w:sz w:val="24"/>
              </w:rPr>
              <w:t>0.10</w:t>
            </w:r>
          </w:p>
        </w:tc>
        <w:tc>
          <w:tcPr>
            <w:tcW w:w="3083" w:type="dxa"/>
            <w:noWrap w:val="0"/>
            <w:vAlign w:val="center"/>
          </w:tcPr>
          <w:p>
            <w:pPr>
              <w:tabs>
                <w:tab w:val="left" w:pos="709"/>
              </w:tabs>
              <w:spacing w:line="360" w:lineRule="auto"/>
              <w:jc w:val="center"/>
              <w:rPr>
                <w:rFonts w:hint="eastAsia"/>
                <w:sz w:val="24"/>
              </w:rPr>
            </w:pPr>
            <w:r>
              <w:rPr>
                <w:rFonts w:hint="eastAsia" w:ascii="SimHei" w:hAnsi="SimHei" w:eastAsia="黑体"/>
                <w:sz w:val="24"/>
              </w:rPr>
              <w:t>见本部分第（四）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8" w:type="dxa"/>
            <w:gridSpan w:val="4"/>
            <w:tcBorders>
              <w:bottom w:val="single" w:color="auto" w:sz="4" w:space="0"/>
            </w:tcBorders>
            <w:noWrap w:val="0"/>
            <w:vAlign w:val="center"/>
          </w:tcPr>
          <w:p>
            <w:pPr>
              <w:tabs>
                <w:tab w:val="left" w:pos="709"/>
              </w:tabs>
              <w:spacing w:line="360" w:lineRule="auto"/>
              <w:jc w:val="center"/>
              <w:rPr>
                <w:rFonts w:hint="eastAsia"/>
                <w:sz w:val="24"/>
              </w:rPr>
            </w:pPr>
            <w:r>
              <w:rPr>
                <w:rFonts w:hint="eastAsia" w:ascii="SimHei" w:hAnsi="SimHei" w:eastAsia="黑体"/>
                <w:sz w:val="24"/>
              </w:rPr>
              <w:t>合计</w:t>
            </w:r>
          </w:p>
        </w:tc>
        <w:tc>
          <w:tcPr>
            <w:tcW w:w="712" w:type="dxa"/>
            <w:noWrap w:val="0"/>
            <w:vAlign w:val="center"/>
          </w:tcPr>
          <w:p>
            <w:pPr>
              <w:tabs>
                <w:tab w:val="left" w:pos="709"/>
              </w:tabs>
              <w:spacing w:line="360" w:lineRule="auto"/>
              <w:jc w:val="center"/>
              <w:rPr>
                <w:rFonts w:hint="eastAsia"/>
                <w:sz w:val="24"/>
              </w:rPr>
            </w:pPr>
            <w:r>
              <w:rPr>
                <w:rFonts w:hint="eastAsia" w:ascii="SimHei" w:hAnsi="SimHei" w:eastAsia="黑体"/>
                <w:sz w:val="24"/>
              </w:rPr>
              <w:t>1</w:t>
            </w:r>
          </w:p>
        </w:tc>
        <w:tc>
          <w:tcPr>
            <w:tcW w:w="3083" w:type="dxa"/>
            <w:noWrap w:val="0"/>
            <w:vAlign w:val="center"/>
          </w:tcPr>
          <w:p>
            <w:pPr>
              <w:tabs>
                <w:tab w:val="left" w:pos="709"/>
              </w:tabs>
              <w:spacing w:line="360" w:lineRule="auto"/>
              <w:jc w:val="center"/>
              <w:rPr>
                <w:rFonts w:hint="eastAsia"/>
                <w:sz w:val="24"/>
              </w:rPr>
            </w:pPr>
            <w:r>
              <w:rPr>
                <w:rFonts w:hint="eastAsia" w:ascii="SimHei" w:hAnsi="SimHei" w:eastAsia="黑体"/>
                <w:sz w:val="24"/>
              </w:rPr>
              <w:t>综合评价系数</w:t>
            </w:r>
            <w:r>
              <w:rPr>
                <w:rFonts w:hint="eastAsia" w:ascii="SimHei" w:hAnsi="SimHei" w:eastAsia="黑体"/>
                <w:sz w:val="24"/>
              </w:rPr>
              <w:t>＝∑各指标评价系数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1875" w:type="dxa"/>
            <w:gridSpan w:val="2"/>
            <w:tcBorders>
              <w:right w:val="single" w:color="auto" w:sz="6" w:space="0"/>
            </w:tcBorders>
            <w:noWrap w:val="0"/>
            <w:vAlign w:val="center"/>
          </w:tcPr>
          <w:p>
            <w:pPr>
              <w:tabs>
                <w:tab w:val="left" w:pos="709"/>
              </w:tabs>
              <w:spacing w:line="360" w:lineRule="auto"/>
              <w:jc w:val="center"/>
              <w:rPr>
                <w:rFonts w:hint="eastAsia"/>
                <w:sz w:val="24"/>
              </w:rPr>
            </w:pPr>
            <w:r>
              <w:rPr>
                <w:rFonts w:hint="eastAsia" w:ascii="SimHei" w:hAnsi="SimHei" w:eastAsia="黑体"/>
                <w:sz w:val="24"/>
              </w:rPr>
              <w:t>备注</w:t>
            </w:r>
          </w:p>
        </w:tc>
        <w:tc>
          <w:tcPr>
            <w:tcW w:w="7268" w:type="dxa"/>
            <w:gridSpan w:val="4"/>
            <w:tcBorders>
              <w:left w:val="single" w:color="auto" w:sz="6" w:space="0"/>
            </w:tcBorders>
            <w:noWrap w:val="0"/>
            <w:vAlign w:val="center"/>
          </w:tcPr>
          <w:p>
            <w:pPr>
              <w:tabs>
                <w:tab w:val="left" w:pos="709"/>
              </w:tabs>
              <w:spacing w:line="360" w:lineRule="auto"/>
              <w:ind w:firstLine="420" w:firstLineChars="200"/>
              <w:rPr>
                <w:rFonts w:hint="eastAsia"/>
              </w:rPr>
            </w:pPr>
            <w:r>
              <w:rPr>
                <w:rFonts w:hint="eastAsia" w:ascii="SimHei" w:hAnsi="SimHei" w:eastAsia="黑体"/>
              </w:rPr>
              <w:t>由于目前山东</w:t>
            </w:r>
            <w:r>
              <w:rPr>
                <w:rFonts w:hint="eastAsia" w:ascii="SimHei" w:hAnsi="SimHei" w:eastAsia="黑体"/>
                <w:lang w:eastAsia="zh-CN"/>
              </w:rPr>
              <w:t>_____</w:t>
            </w:r>
            <w:r>
              <w:rPr>
                <w:rFonts w:hint="eastAsia" w:ascii="SimHei" w:hAnsi="SimHei" w:eastAsia="黑体"/>
              </w:rPr>
              <w:t>和香港</w:t>
            </w:r>
            <w:r>
              <w:rPr>
                <w:rFonts w:hint="eastAsia" w:ascii="SimHei" w:hAnsi="SimHei" w:eastAsia="黑体"/>
                <w:lang w:eastAsia="zh-CN"/>
              </w:rPr>
              <w:t>_____</w:t>
            </w:r>
            <w:r>
              <w:rPr>
                <w:rFonts w:hint="eastAsia" w:ascii="SimHei" w:hAnsi="SimHei" w:eastAsia="黑体"/>
              </w:rPr>
              <w:t>的业务大多为贸易，在计算综合评价系数时，资产运营状况指标暂不考虑，发展能力指标权重增为0.5，其中主营业务收入0.25，最大值0.3、净资产增长率0.25，最大值0.3，其他不变。</w:t>
            </w:r>
          </w:p>
        </w:tc>
      </w:tr>
    </w:tbl>
    <w:p>
      <w:pPr>
        <w:tabs>
          <w:tab w:val="left" w:pos="709"/>
        </w:tabs>
        <w:spacing w:line="360" w:lineRule="auto"/>
        <w:rPr>
          <w:rFonts w:hint="eastAsia"/>
          <w:sz w:val="24"/>
        </w:rPr>
      </w:pPr>
      <w:r>
        <w:rPr>
          <w:rFonts w:hint="eastAsia" w:ascii="SimHei" w:hAnsi="SimHei" w:eastAsia="黑体"/>
          <w:sz w:val="24"/>
        </w:rPr>
        <w:t>注：资产负债率的目标值定为60%，现金流对营业利润比率的目标值定为1。上述各项指标的数据根据经审计并按本公司规定剔出不良资产后的相关会计报表数据确定。</w:t>
      </w:r>
    </w:p>
    <w:p>
      <w:pPr>
        <w:numPr>
          <w:ilvl w:val="0"/>
          <w:numId w:val="15"/>
        </w:numPr>
        <w:tabs>
          <w:tab w:val="left" w:pos="709"/>
        </w:tabs>
        <w:spacing w:line="360" w:lineRule="auto"/>
        <w:rPr>
          <w:rFonts w:hint="eastAsia" w:ascii="宋体" w:hAnsi="宋体"/>
          <w:sz w:val="24"/>
        </w:rPr>
      </w:pPr>
      <w:r>
        <w:rPr>
          <w:rFonts w:hint="eastAsia" w:ascii="SimHei" w:hAnsi="SimHei" w:eastAsia="黑体"/>
          <w:sz w:val="24"/>
        </w:rPr>
        <w:t>财务指标的说明和计算公式</w:t>
      </w:r>
    </w:p>
    <w:p>
      <w:pPr>
        <w:numPr>
          <w:ilvl w:val="0"/>
          <w:numId w:val="16"/>
        </w:numPr>
        <w:tabs>
          <w:tab w:val="left" w:pos="709"/>
        </w:tabs>
        <w:spacing w:line="360" w:lineRule="auto"/>
        <w:rPr>
          <w:rFonts w:hint="eastAsia" w:ascii="宋体" w:hAnsi="宋体"/>
          <w:b/>
          <w:bCs/>
          <w:sz w:val="24"/>
        </w:rPr>
      </w:pPr>
      <w:r>
        <w:rPr>
          <w:rFonts w:hint="eastAsia" w:ascii="SimHei" w:hAnsi="SimHei" w:eastAsia="黑体"/>
          <w:b/>
          <w:bCs/>
          <w:sz w:val="24"/>
        </w:rPr>
        <w:t>总资产收益率</w:t>
      </w:r>
    </w:p>
    <w:p>
      <w:pPr>
        <w:numPr>
          <w:ilvl w:val="0"/>
          <w:numId w:val="17"/>
        </w:numPr>
        <w:tabs>
          <w:tab w:val="left" w:pos="709"/>
        </w:tabs>
        <w:spacing w:line="360" w:lineRule="auto"/>
        <w:rPr>
          <w:rFonts w:hint="eastAsia" w:ascii="宋体" w:hAnsi="宋体"/>
          <w:sz w:val="24"/>
        </w:rPr>
      </w:pPr>
      <w:r>
        <w:rPr>
          <w:rFonts w:hint="eastAsia" w:ascii="SimHei" w:hAnsi="SimHei" w:eastAsia="黑体"/>
          <w:sz w:val="24"/>
        </w:rPr>
        <w:t>计算公式</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总资产收益率＝{利润总额／[（年初总资产＋年末总资产）／2]</w:t>
      </w:r>
      <w:r>
        <w:rPr>
          <w:rFonts w:hint="eastAsia" w:ascii="SimHei" w:hAnsi="SimHei" w:eastAsia="黑体"/>
          <w:sz w:val="24"/>
        </w:rPr>
        <w:t>}×100%</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其中，利润总额是损益表上相应项目的金额，总资产是资产负债表上相应项目的金额。</w:t>
      </w:r>
    </w:p>
    <w:p>
      <w:pPr>
        <w:numPr>
          <w:ilvl w:val="0"/>
          <w:numId w:val="17"/>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本指标反映了企业全部资产获取收益的水平，是衡量企业整体经营管理绩效的综合指标，也是企业管理人员控制最多的指标。指标值越高表示单位资产的获利水平越高，企业资产运营越有效。</w:t>
      </w:r>
    </w:p>
    <w:p>
      <w:pPr>
        <w:numPr>
          <w:ilvl w:val="0"/>
          <w:numId w:val="17"/>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总资产收益率评价系数＝0.2</w:t>
      </w:r>
      <w:r>
        <w:rPr>
          <w:rFonts w:hint="eastAsia" w:ascii="SimHei" w:hAnsi="SimHei" w:eastAsia="黑体"/>
          <w:sz w:val="24"/>
        </w:rPr>
        <w:t>5×本年总资产收益率／目标值</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最大值和最小值的限制：评价系数最大值为0.4，如果评价系数计算值为负数时，取其评价系数等于0。</w:t>
      </w: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现金流对营业利润比</w:t>
      </w:r>
      <w:r>
        <w:rPr>
          <w:rFonts w:hint="eastAsia" w:ascii="SimHei" w:hAnsi="SimHei" w:eastAsia="黑体"/>
          <w:b/>
          <w:bCs/>
          <w:sz w:val="24"/>
        </w:rPr>
        <w:t>率</w:t>
      </w:r>
    </w:p>
    <w:p>
      <w:pPr>
        <w:numPr>
          <w:ilvl w:val="0"/>
          <w:numId w:val="18"/>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本指标显示了经营活动现金流量净额（以下简称“现金流”）与营业利润间的差异程度，可有效的防止人为的操纵利润。该比例越高说明账面利润有越充足的现金流作保证。</w:t>
      </w:r>
    </w:p>
    <w:p>
      <w:pPr>
        <w:numPr>
          <w:ilvl w:val="0"/>
          <w:numId w:val="18"/>
        </w:numPr>
        <w:tabs>
          <w:tab w:val="left" w:pos="709"/>
        </w:tabs>
        <w:spacing w:line="360" w:lineRule="auto"/>
        <w:rPr>
          <w:rFonts w:hint="eastAsia" w:ascii="宋体" w:hAnsi="宋体"/>
          <w:sz w:val="24"/>
        </w:rPr>
      </w:pPr>
      <w:r>
        <w:rPr>
          <w:rFonts w:hint="eastAsia" w:ascii="SimHei" w:hAnsi="SimHei" w:eastAsia="黑体"/>
          <w:sz w:val="24"/>
        </w:rPr>
        <w:t>计算公式</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现金流对营业利润比率</w:t>
      </w:r>
      <w:r>
        <w:rPr>
          <w:rFonts w:hint="eastAsia" w:ascii="SimHei" w:hAnsi="SimHei" w:eastAsia="黑体"/>
          <w:sz w:val="24"/>
        </w:rPr>
        <w:t>＝（经营活动产生的现金流量净额／营业利润）</w:t>
      </w:r>
      <w:r>
        <w:rPr>
          <w:rFonts w:hint="eastAsia" w:ascii="SimHei" w:hAnsi="SimHei" w:eastAsia="黑体"/>
          <w:sz w:val="24"/>
        </w:rPr>
        <w:t>×100%</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其中，经营活动产生的现金流量净额是现金流量表上相应项目的金额，营业利润是损益表相应项目的金额。</w:t>
      </w:r>
    </w:p>
    <w:p>
      <w:pPr>
        <w:numPr>
          <w:ilvl w:val="0"/>
          <w:numId w:val="18"/>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sz w:val="24"/>
        </w:rPr>
      </w:pPr>
      <w:r>
        <w:rPr>
          <w:rFonts w:hint="eastAsia" w:ascii="SimHei" w:hAnsi="SimHei" w:eastAsia="黑体"/>
          <w:sz w:val="24"/>
        </w:rPr>
        <w:t>现金流对营业利润比率的评价系数，按经营活动产生的现金流和营业利润的情况分档确定，方法如下表所示：</w:t>
      </w:r>
    </w:p>
    <w:p>
      <w:pPr>
        <w:tabs>
          <w:tab w:val="left" w:pos="709"/>
        </w:tabs>
        <w:spacing w:line="360" w:lineRule="auto"/>
        <w:ind w:firstLine="480" w:firstLineChars="200"/>
        <w:rPr>
          <w:sz w:val="24"/>
        </w:rPr>
      </w:pPr>
      <w:r>
        <w:rPr>
          <w:rFonts w:hint="eastAsia" w:ascii="SimHei" w:hAnsi="SimHei" w:eastAsia="黑体"/>
          <w:sz w:val="24"/>
        </w:rPr>
        <w:t>当营业利润＞0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相关指标情况（X）</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比率得分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现金流＜0</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现金流／营业利润≥1</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现金流／营业利润＜1</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等于其比率</w:t>
            </w:r>
            <w:r>
              <w:rPr>
                <w:rFonts w:hint="eastAsia" w:ascii="SimHei" w:hAnsi="SimHei" w:eastAsia="黑体"/>
                <w:sz w:val="24"/>
              </w:rPr>
              <w:t>×0.3</w:t>
            </w:r>
          </w:p>
        </w:tc>
      </w:tr>
    </w:tbl>
    <w:p>
      <w:pPr>
        <w:tabs>
          <w:tab w:val="left" w:pos="709"/>
        </w:tabs>
        <w:spacing w:line="360" w:lineRule="auto"/>
        <w:ind w:firstLine="480" w:firstLineChars="200"/>
        <w:rPr>
          <w:rFonts w:hint="eastAsia"/>
          <w:sz w:val="24"/>
        </w:rPr>
      </w:pPr>
      <w:r>
        <w:rPr>
          <w:rFonts w:hint="eastAsia" w:ascii="SimHei" w:hAnsi="SimHei" w:eastAsia="黑体"/>
          <w:sz w:val="24"/>
        </w:rPr>
        <w:t>当营业利润≤0</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相关指标情况（X）</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比率得分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现金流＜0</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lef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现金流≥0</w:t>
            </w:r>
          </w:p>
        </w:tc>
        <w:tc>
          <w:tcPr>
            <w:tcW w:w="4261" w:type="dxa"/>
            <w:tcBorders>
              <w:right w:val="nil"/>
            </w:tcBorders>
            <w:noWrap w:val="0"/>
            <w:vAlign w:val="top"/>
          </w:tcPr>
          <w:p>
            <w:pPr>
              <w:tabs>
                <w:tab w:val="left" w:pos="709"/>
              </w:tabs>
              <w:spacing w:line="360" w:lineRule="auto"/>
              <w:jc w:val="center"/>
              <w:rPr>
                <w:rFonts w:hint="eastAsia"/>
                <w:sz w:val="24"/>
              </w:rPr>
            </w:pPr>
            <w:r>
              <w:rPr>
                <w:rFonts w:hint="eastAsia" w:ascii="SimHei" w:hAnsi="SimHei" w:eastAsia="黑体"/>
                <w:sz w:val="24"/>
              </w:rPr>
              <w:t>0.5×0.15</w:t>
            </w:r>
          </w:p>
        </w:tc>
      </w:tr>
    </w:tbl>
    <w:p>
      <w:pPr>
        <w:tabs>
          <w:tab w:val="left" w:pos="709"/>
        </w:tabs>
        <w:spacing w:line="360" w:lineRule="auto"/>
        <w:ind w:firstLine="480" w:firstLineChars="200"/>
        <w:rPr>
          <w:rFonts w:hint="eastAsia" w:ascii="宋体" w:hAnsi="宋体"/>
          <w:sz w:val="24"/>
        </w:rPr>
      </w:pP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主营业务增长率</w:t>
      </w:r>
    </w:p>
    <w:p>
      <w:pPr>
        <w:numPr>
          <w:ilvl w:val="0"/>
          <w:numId w:val="19"/>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本指标是衡量企业经营状况、预测企业经营业务拓展趋势的重要标志。指标越高说明业务增长速度越快，企业市场前景越好，但应同时考虑企业的销售政策与信用政策。</w:t>
      </w:r>
    </w:p>
    <w:p>
      <w:pPr>
        <w:numPr>
          <w:ilvl w:val="0"/>
          <w:numId w:val="19"/>
        </w:numPr>
        <w:tabs>
          <w:tab w:val="left" w:pos="709"/>
        </w:tabs>
        <w:spacing w:line="360" w:lineRule="auto"/>
        <w:rPr>
          <w:rFonts w:hint="eastAsia" w:ascii="宋体" w:hAnsi="宋体"/>
          <w:sz w:val="24"/>
        </w:rPr>
      </w:pPr>
      <w:r>
        <w:rPr>
          <w:rFonts w:hint="eastAsia" w:ascii="SimHei" w:hAnsi="SimHei" w:eastAsia="黑体"/>
          <w:sz w:val="24"/>
        </w:rPr>
        <w:t>计算公式</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主营业务增长率</w:t>
      </w:r>
      <w:r>
        <w:rPr>
          <w:rFonts w:hint="eastAsia" w:ascii="SimHei" w:hAnsi="SimHei" w:eastAsia="黑体"/>
          <w:sz w:val="24"/>
        </w:rPr>
        <w:t>＝[（本年主营业务收入－上年主营业务收入）／上年主营业务收入]</w:t>
      </w:r>
      <w:r>
        <w:rPr>
          <w:rFonts w:hint="eastAsia" w:ascii="SimHei" w:hAnsi="SimHei" w:eastAsia="黑体"/>
          <w:sz w:val="24"/>
        </w:rPr>
        <w:t>×100%</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其中，主营业务收入是损益表上主营业务收入项目的金额。</w:t>
      </w:r>
    </w:p>
    <w:p>
      <w:pPr>
        <w:numPr>
          <w:ilvl w:val="0"/>
          <w:numId w:val="19"/>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主营业务收入增长率评价系数＝0.1</w:t>
      </w:r>
      <w:r>
        <w:rPr>
          <w:rFonts w:hint="eastAsia" w:ascii="SimHei" w:hAnsi="SimHei" w:eastAsia="黑体"/>
          <w:sz w:val="24"/>
        </w:rPr>
        <w:t>×实际完成值／目标值</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最大值和最小值的限制：评价系数最大值为0.15，如果评价系数计算值为负数时，取其评价系数等于0。</w:t>
      </w: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净资产增长率</w:t>
      </w:r>
    </w:p>
    <w:p>
      <w:pPr>
        <w:numPr>
          <w:ilvl w:val="0"/>
          <w:numId w:val="20"/>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left="480"/>
        <w:rPr>
          <w:rFonts w:hint="eastAsia"/>
          <w:sz w:val="24"/>
        </w:rPr>
      </w:pPr>
      <w:r>
        <w:rPr>
          <w:rFonts w:hint="eastAsia" w:ascii="SimHei" w:hAnsi="SimHei" w:eastAsia="黑体"/>
          <w:sz w:val="24"/>
        </w:rPr>
        <w:t>本指标反映了企业净资产的增长情况。</w:t>
      </w:r>
    </w:p>
    <w:p>
      <w:pPr>
        <w:numPr>
          <w:ilvl w:val="0"/>
          <w:numId w:val="20"/>
        </w:numPr>
        <w:tabs>
          <w:tab w:val="left" w:pos="709"/>
        </w:tabs>
        <w:spacing w:line="360" w:lineRule="auto"/>
        <w:rPr>
          <w:rFonts w:hint="eastAsia"/>
          <w:sz w:val="24"/>
        </w:rPr>
      </w:pPr>
      <w:r>
        <w:rPr>
          <w:rFonts w:hint="eastAsia" w:ascii="SimHei" w:hAnsi="SimHei" w:eastAsia="黑体"/>
          <w:sz w:val="24"/>
        </w:rPr>
        <w:t>计算公式</w:t>
      </w:r>
    </w:p>
    <w:p>
      <w:pPr>
        <w:tabs>
          <w:tab w:val="left" w:pos="709"/>
        </w:tabs>
        <w:spacing w:line="360" w:lineRule="auto"/>
        <w:ind w:firstLine="1200" w:firstLineChars="500"/>
        <w:rPr>
          <w:rFonts w:hint="eastAsia" w:ascii="宋体" w:hAnsi="宋体"/>
          <w:sz w:val="24"/>
        </w:rPr>
      </w:pPr>
      <w:r>
        <w:rPr>
          <w:rFonts w:hint="eastAsia" w:ascii="SimHei" w:hAnsi="SimHei" w:eastAsia="黑体"/>
          <w:sz w:val="24"/>
        </w:rPr>
        <w:t>净资产增长率</w:t>
      </w:r>
      <w:r>
        <w:rPr>
          <w:rFonts w:hint="eastAsia" w:ascii="SimHei" w:hAnsi="SimHei" w:eastAsia="黑体"/>
          <w:sz w:val="24"/>
        </w:rPr>
        <w:t>＝[（年末净资产总额／年初净资产总额）－1]</w:t>
      </w:r>
      <w:r>
        <w:rPr>
          <w:rFonts w:hint="eastAsia" w:ascii="SimHei" w:hAnsi="SimHei" w:eastAsia="黑体"/>
          <w:sz w:val="24"/>
        </w:rPr>
        <w:t>×100%</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其中，净资产是资产负债表中相应的所有者权益（或股东权益）项目的金额。</w:t>
      </w:r>
    </w:p>
    <w:p>
      <w:pPr>
        <w:numPr>
          <w:ilvl w:val="0"/>
          <w:numId w:val="20"/>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left="480"/>
        <w:rPr>
          <w:rFonts w:hint="eastAsia" w:ascii="宋体" w:hAnsi="宋体"/>
          <w:sz w:val="24"/>
        </w:rPr>
      </w:pPr>
      <w:r>
        <w:rPr>
          <w:rFonts w:hint="eastAsia" w:ascii="SimHei" w:hAnsi="SimHei" w:eastAsia="黑体"/>
          <w:sz w:val="24"/>
        </w:rPr>
        <w:t>净资产增长率评价系数＝0.1</w:t>
      </w:r>
      <w:r>
        <w:rPr>
          <w:rFonts w:hint="eastAsia" w:ascii="SimHei" w:hAnsi="SimHei" w:eastAsia="黑体"/>
          <w:sz w:val="24"/>
        </w:rPr>
        <w:t>×实际完成值／目标值</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最大值和最小值的限制：评价系数最大值为0.15，如果评价系数计算值为负数时，取其评价系数等于0。</w:t>
      </w: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存货周转率</w:t>
      </w:r>
    </w:p>
    <w:p>
      <w:pPr>
        <w:numPr>
          <w:ilvl w:val="0"/>
          <w:numId w:val="21"/>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本指标反映了企业从生产到销售等各个环节的管理效率，它还可以用于衡量存货变现的能力。如果本期产品销售率降低，供产销不平衡，存货大量积压，存货周转率就会降低，反之，如果产品销售率较高，存货周转率也会相对较高。</w:t>
      </w:r>
    </w:p>
    <w:p>
      <w:pPr>
        <w:numPr>
          <w:ilvl w:val="0"/>
          <w:numId w:val="21"/>
        </w:numPr>
        <w:tabs>
          <w:tab w:val="left" w:pos="709"/>
        </w:tabs>
        <w:spacing w:line="360" w:lineRule="auto"/>
        <w:rPr>
          <w:rFonts w:hint="eastAsia"/>
          <w:sz w:val="24"/>
        </w:rPr>
      </w:pPr>
      <w:r>
        <w:rPr>
          <w:rFonts w:hint="eastAsia" w:ascii="SimHei" w:hAnsi="SimHei" w:eastAsia="黑体"/>
          <w:sz w:val="24"/>
        </w:rPr>
        <w:t>计算公式</w:t>
      </w:r>
    </w:p>
    <w:p>
      <w:pPr>
        <w:tabs>
          <w:tab w:val="left" w:pos="709"/>
        </w:tabs>
        <w:spacing w:line="360" w:lineRule="auto"/>
        <w:ind w:firstLine="1200" w:firstLineChars="500"/>
        <w:rPr>
          <w:rFonts w:hint="eastAsia" w:ascii="宋体" w:hAnsi="宋体"/>
          <w:sz w:val="24"/>
        </w:rPr>
      </w:pPr>
      <w:r>
        <w:rPr>
          <w:rFonts w:hint="eastAsia" w:ascii="SimHei" w:hAnsi="SimHei" w:eastAsia="黑体"/>
          <w:sz w:val="24"/>
        </w:rPr>
        <w:t>存货周转率</w:t>
      </w:r>
      <w:r>
        <w:rPr>
          <w:rFonts w:hint="eastAsia" w:ascii="SimHei" w:hAnsi="SimHei" w:eastAsia="黑体"/>
          <w:sz w:val="24"/>
        </w:rPr>
        <w:t>＝（主营业务成本／本年存货平均余额）</w:t>
      </w:r>
      <w:r>
        <w:rPr>
          <w:rFonts w:hint="eastAsia" w:ascii="SimHei" w:hAnsi="SimHei" w:eastAsia="黑体"/>
          <w:sz w:val="24"/>
        </w:rPr>
        <w:t>×100%</w:t>
      </w:r>
    </w:p>
    <w:p>
      <w:pPr>
        <w:tabs>
          <w:tab w:val="left" w:pos="709"/>
        </w:tabs>
        <w:spacing w:line="360" w:lineRule="auto"/>
        <w:ind w:firstLine="480" w:firstLineChars="200"/>
        <w:rPr>
          <w:rFonts w:hint="eastAsia"/>
          <w:sz w:val="24"/>
        </w:rPr>
      </w:pPr>
      <w:r>
        <w:rPr>
          <w:rFonts w:hint="eastAsia" w:ascii="SimHei" w:hAnsi="SimHei" w:eastAsia="黑体"/>
          <w:sz w:val="24"/>
        </w:rPr>
        <w:t>其中，主营业务成本是损益表中相应项目的金额，本年存货平均余额是资产负债表上相应项目年初、年末金额的算术平均值。</w:t>
      </w:r>
    </w:p>
    <w:p>
      <w:pPr>
        <w:numPr>
          <w:ilvl w:val="0"/>
          <w:numId w:val="21"/>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存货周转率评价系数＝0.15</w:t>
      </w:r>
      <w:r>
        <w:rPr>
          <w:rFonts w:hint="eastAsia" w:ascii="SimHei" w:hAnsi="SimHei" w:eastAsia="黑体"/>
          <w:sz w:val="24"/>
        </w:rPr>
        <w:t>×实际完成值／目标值</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此评价系数最大值不超过0.2。</w:t>
      </w:r>
    </w:p>
    <w:p>
      <w:pPr>
        <w:numPr>
          <w:ilvl w:val="0"/>
          <w:numId w:val="21"/>
        </w:numPr>
        <w:tabs>
          <w:tab w:val="left" w:pos="709"/>
        </w:tabs>
        <w:spacing w:line="360" w:lineRule="auto"/>
        <w:rPr>
          <w:rFonts w:hint="eastAsia"/>
          <w:sz w:val="24"/>
        </w:rPr>
      </w:pPr>
      <w:r>
        <w:rPr>
          <w:rFonts w:hint="eastAsia" w:ascii="SimHei" w:hAnsi="SimHei" w:eastAsia="黑体"/>
          <w:sz w:val="24"/>
        </w:rPr>
        <w:t>应考虑的特殊情况</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如果历史因素导致存货积压过多，那么会对当期的存货周转率产生消极影响。如果考核期发生换任情况，在审计报告中需披露前任领导遗留的积压存货。在离任审计时，可将前任领导遗留的德积压存货分开单独核算，不列入后任存货周转率计算范围，以分清责任。处理这部分存货的损失在确认经营性净资产增值额时可以考虑加回。</w:t>
      </w: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应收账款周转率</w:t>
      </w:r>
    </w:p>
    <w:p>
      <w:pPr>
        <w:numPr>
          <w:ilvl w:val="0"/>
          <w:numId w:val="22"/>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本指标反映了企业应收账款的周转速度，采用本指标旨在促进企业制定合理的赊销政策，加大应收账款的收回力度。</w:t>
      </w:r>
    </w:p>
    <w:p>
      <w:pPr>
        <w:numPr>
          <w:ilvl w:val="0"/>
          <w:numId w:val="22"/>
        </w:numPr>
        <w:tabs>
          <w:tab w:val="left" w:pos="709"/>
        </w:tabs>
        <w:spacing w:line="360" w:lineRule="auto"/>
        <w:rPr>
          <w:rFonts w:hint="eastAsia"/>
          <w:sz w:val="24"/>
        </w:rPr>
      </w:pPr>
      <w:r>
        <w:rPr>
          <w:rFonts w:hint="eastAsia" w:ascii="SimHei" w:hAnsi="SimHei" w:eastAsia="黑体"/>
          <w:sz w:val="24"/>
        </w:rPr>
        <w:t>计算公式</w:t>
      </w:r>
    </w:p>
    <w:p>
      <w:pPr>
        <w:tabs>
          <w:tab w:val="left" w:pos="709"/>
        </w:tabs>
        <w:spacing w:line="360" w:lineRule="auto"/>
        <w:ind w:firstLine="960" w:firstLineChars="400"/>
        <w:rPr>
          <w:rFonts w:hint="eastAsia" w:ascii="宋体" w:hAnsi="宋体"/>
          <w:sz w:val="24"/>
        </w:rPr>
      </w:pPr>
      <w:r>
        <w:rPr>
          <w:rFonts w:hint="eastAsia" w:ascii="SimHei" w:hAnsi="SimHei" w:eastAsia="黑体"/>
          <w:sz w:val="24"/>
        </w:rPr>
        <w:t>应收账款周转率＝（主营业务收入／本年应收账款平均余额）</w:t>
      </w:r>
      <w:r>
        <w:rPr>
          <w:rFonts w:hint="eastAsia" w:ascii="SimHei" w:hAnsi="SimHei" w:eastAsia="黑体"/>
          <w:sz w:val="24"/>
        </w:rPr>
        <w:t>×100%</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其中，主营业务收入是损益表中相应项目的金额，本年应收账款平均余额是资产负债表上相应项目年初、年末金额的算术平均值。</w:t>
      </w:r>
    </w:p>
    <w:p>
      <w:pPr>
        <w:numPr>
          <w:ilvl w:val="0"/>
          <w:numId w:val="22"/>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应收账款周转率评价系数＝0.15</w:t>
      </w:r>
      <w:r>
        <w:rPr>
          <w:rFonts w:hint="eastAsia" w:ascii="SimHei" w:hAnsi="SimHei" w:eastAsia="黑体"/>
          <w:sz w:val="24"/>
        </w:rPr>
        <w:t>×实际完成值／目标值</w:t>
      </w:r>
    </w:p>
    <w:p>
      <w:pPr>
        <w:tabs>
          <w:tab w:val="left" w:pos="709"/>
        </w:tabs>
        <w:spacing w:line="360" w:lineRule="auto"/>
        <w:ind w:firstLine="480" w:firstLineChars="200"/>
        <w:rPr>
          <w:rFonts w:hint="eastAsia"/>
          <w:sz w:val="24"/>
        </w:rPr>
      </w:pPr>
      <w:r>
        <w:rPr>
          <w:rFonts w:hint="eastAsia" w:ascii="SimHei" w:hAnsi="SimHei" w:eastAsia="黑体"/>
          <w:sz w:val="24"/>
        </w:rPr>
        <w:t>此评价系数最大值不超过0.2。</w:t>
      </w:r>
    </w:p>
    <w:p>
      <w:pPr>
        <w:numPr>
          <w:ilvl w:val="0"/>
          <w:numId w:val="22"/>
        </w:numPr>
        <w:tabs>
          <w:tab w:val="left" w:pos="709"/>
        </w:tabs>
        <w:spacing w:line="360" w:lineRule="auto"/>
        <w:rPr>
          <w:rFonts w:hint="eastAsia"/>
          <w:sz w:val="24"/>
        </w:rPr>
      </w:pPr>
      <w:r>
        <w:rPr>
          <w:rFonts w:hint="eastAsia" w:ascii="SimHei" w:hAnsi="SimHei" w:eastAsia="黑体"/>
          <w:sz w:val="24"/>
        </w:rPr>
        <w:t>应考虑的特殊情况</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由于历史因素导致不良应收账款过多，那么会对当期的应收账款周转率产生消极影响。如果考核期发生换任情况，在审计报告中需披露前任领导遗留的不良应收账款，并在离任审计时，区分前任领导遗留的不良应收账款，并将其单独核算，在计算指标值时可剔出这部分应收账款。注销前任领导任职期间的应收账款而带来的坏账损失，在确认经营性净资产增值额时可以考虑加回。</w:t>
      </w:r>
    </w:p>
    <w:p>
      <w:pPr>
        <w:numPr>
          <w:ilvl w:val="0"/>
          <w:numId w:val="16"/>
        </w:numPr>
        <w:tabs>
          <w:tab w:val="left" w:pos="709"/>
          <w:tab w:val="left" w:pos="1134"/>
        </w:tabs>
        <w:spacing w:line="360" w:lineRule="auto"/>
        <w:ind w:firstLine="480"/>
        <w:rPr>
          <w:rFonts w:hint="eastAsia"/>
          <w:b/>
          <w:bCs/>
          <w:sz w:val="24"/>
        </w:rPr>
      </w:pPr>
      <w:r>
        <w:rPr>
          <w:rFonts w:hint="eastAsia" w:ascii="SimHei" w:hAnsi="SimHei" w:eastAsia="黑体"/>
          <w:b/>
          <w:bCs/>
          <w:sz w:val="24"/>
        </w:rPr>
        <w:t>资产负债率</w:t>
      </w:r>
    </w:p>
    <w:p>
      <w:pPr>
        <w:numPr>
          <w:ilvl w:val="0"/>
          <w:numId w:val="23"/>
        </w:numPr>
        <w:tabs>
          <w:tab w:val="left" w:pos="709"/>
        </w:tabs>
        <w:spacing w:line="360" w:lineRule="auto"/>
        <w:rPr>
          <w:rFonts w:hint="eastAsia"/>
          <w:sz w:val="24"/>
        </w:rPr>
      </w:pPr>
      <w:r>
        <w:rPr>
          <w:rFonts w:hint="eastAsia" w:ascii="SimHei" w:hAnsi="SimHei" w:eastAsia="黑体"/>
          <w:sz w:val="24"/>
        </w:rPr>
        <w:t>指标说明</w:t>
      </w:r>
    </w:p>
    <w:p>
      <w:pPr>
        <w:tabs>
          <w:tab w:val="left" w:pos="709"/>
        </w:tabs>
        <w:spacing w:line="360" w:lineRule="auto"/>
        <w:ind w:firstLine="480" w:firstLineChars="200"/>
        <w:rPr>
          <w:rFonts w:hint="eastAsia"/>
          <w:sz w:val="24"/>
        </w:rPr>
      </w:pPr>
      <w:r>
        <w:rPr>
          <w:rFonts w:hint="eastAsia" w:ascii="SimHei" w:hAnsi="SimHei" w:eastAsia="黑体"/>
          <w:sz w:val="24"/>
        </w:rPr>
        <w:t>该指标反映了企业负债的综合水平，同时也反映企业经营风险和长期发展能力的重要指标。</w:t>
      </w:r>
    </w:p>
    <w:p>
      <w:pPr>
        <w:numPr>
          <w:ilvl w:val="0"/>
          <w:numId w:val="23"/>
        </w:numPr>
        <w:tabs>
          <w:tab w:val="left" w:pos="709"/>
        </w:tabs>
        <w:spacing w:line="360" w:lineRule="auto"/>
        <w:rPr>
          <w:rFonts w:hint="eastAsia"/>
          <w:sz w:val="24"/>
        </w:rPr>
      </w:pPr>
      <w:r>
        <w:rPr>
          <w:rFonts w:hint="eastAsia" w:ascii="SimHei" w:hAnsi="SimHei" w:eastAsia="黑体"/>
          <w:sz w:val="24"/>
        </w:rPr>
        <w:t>计算公式</w:t>
      </w:r>
    </w:p>
    <w:p>
      <w:pPr>
        <w:tabs>
          <w:tab w:val="left" w:pos="709"/>
        </w:tabs>
        <w:spacing w:line="360" w:lineRule="auto"/>
        <w:ind w:firstLine="1440" w:firstLineChars="600"/>
        <w:rPr>
          <w:rFonts w:hint="eastAsia" w:ascii="宋体" w:hAnsi="宋体"/>
          <w:sz w:val="24"/>
        </w:rPr>
      </w:pPr>
      <w:r>
        <w:rPr>
          <w:rFonts w:hint="eastAsia" w:ascii="SimHei" w:hAnsi="SimHei" w:eastAsia="黑体"/>
          <w:sz w:val="24"/>
        </w:rPr>
        <w:t>资产负债率</w:t>
      </w:r>
      <w:r>
        <w:rPr>
          <w:rFonts w:hint="eastAsia" w:ascii="SimHei" w:hAnsi="SimHei" w:eastAsia="黑体"/>
          <w:sz w:val="24"/>
        </w:rPr>
        <w:t>＝（负债总额／资产总额）</w:t>
      </w:r>
      <w:r>
        <w:rPr>
          <w:rFonts w:hint="eastAsia" w:ascii="SimHei" w:hAnsi="SimHei" w:eastAsia="黑体"/>
          <w:sz w:val="24"/>
        </w:rPr>
        <w:t>×100%</w:t>
      </w:r>
    </w:p>
    <w:p>
      <w:pPr>
        <w:tabs>
          <w:tab w:val="left" w:pos="709"/>
        </w:tabs>
        <w:spacing w:line="360" w:lineRule="auto"/>
        <w:ind w:firstLine="480" w:firstLineChars="200"/>
        <w:rPr>
          <w:rFonts w:hint="eastAsia"/>
          <w:sz w:val="24"/>
        </w:rPr>
      </w:pPr>
      <w:r>
        <w:rPr>
          <w:rFonts w:hint="eastAsia" w:ascii="SimHei" w:hAnsi="SimHei" w:eastAsia="黑体"/>
          <w:sz w:val="24"/>
        </w:rPr>
        <w:t>其中，负债总额与资产总额均为资产负债表中相应项目的金额。</w:t>
      </w:r>
    </w:p>
    <w:p>
      <w:pPr>
        <w:numPr>
          <w:ilvl w:val="0"/>
          <w:numId w:val="23"/>
        </w:numPr>
        <w:tabs>
          <w:tab w:val="left" w:pos="709"/>
        </w:tabs>
        <w:spacing w:line="360" w:lineRule="auto"/>
        <w:rPr>
          <w:rFonts w:hint="eastAsia"/>
          <w:sz w:val="24"/>
        </w:rPr>
      </w:pPr>
      <w:r>
        <w:rPr>
          <w:rFonts w:hint="eastAsia" w:ascii="SimHei" w:hAnsi="SimHei" w:eastAsia="黑体"/>
          <w:sz w:val="24"/>
        </w:rPr>
        <w:t>评价系数的计算</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当实际资产负债比率＞60%，资产负债率评价系数＝0.1</w:t>
      </w:r>
      <w:r>
        <w:rPr>
          <w:rFonts w:hint="eastAsia" w:ascii="SimHei" w:hAnsi="SimHei" w:eastAsia="黑体"/>
          <w:sz w:val="24"/>
        </w:rPr>
        <w:t>×（实际资产负债比率×100－100）／（60－100）。（当资产负债率评价系数＜0时，此评价系数为0）</w:t>
      </w:r>
    </w:p>
    <w:p>
      <w:pPr>
        <w:tabs>
          <w:tab w:val="left" w:pos="709"/>
        </w:tabs>
        <w:spacing w:line="360" w:lineRule="auto"/>
        <w:ind w:firstLine="480" w:firstLineChars="200"/>
        <w:rPr>
          <w:rFonts w:hint="eastAsia"/>
          <w:sz w:val="24"/>
        </w:rPr>
      </w:pPr>
      <w:r>
        <w:rPr>
          <w:rFonts w:hint="eastAsia" w:ascii="SimHei" w:hAnsi="SimHei" w:eastAsia="黑体"/>
          <w:sz w:val="24"/>
        </w:rPr>
        <w:t>当实际资产负债比率≤60%时，资产负债率评价系数</w:t>
      </w:r>
      <w:r>
        <w:rPr>
          <w:rFonts w:hint="eastAsia" w:ascii="SimHei" w:hAnsi="SimHei" w:eastAsia="黑体"/>
          <w:sz w:val="24"/>
        </w:rPr>
        <w:t>＝0.1</w:t>
      </w:r>
    </w:p>
    <w:p>
      <w:pPr>
        <w:numPr>
          <w:ilvl w:val="0"/>
          <w:numId w:val="15"/>
        </w:numPr>
        <w:tabs>
          <w:tab w:val="left" w:pos="709"/>
        </w:tabs>
        <w:spacing w:line="360" w:lineRule="auto"/>
        <w:rPr>
          <w:rFonts w:hint="eastAsia" w:ascii="宋体" w:hAnsi="宋体"/>
          <w:sz w:val="24"/>
        </w:rPr>
      </w:pPr>
      <w:r>
        <w:rPr>
          <w:rFonts w:hint="eastAsia" w:ascii="SimHei" w:hAnsi="SimHei" w:eastAsia="黑体"/>
          <w:sz w:val="24"/>
        </w:rPr>
        <w:t>考核指标目标值的确定</w:t>
      </w:r>
    </w:p>
    <w:p>
      <w:pPr>
        <w:numPr>
          <w:ilvl w:val="0"/>
          <w:numId w:val="24"/>
        </w:numPr>
        <w:tabs>
          <w:tab w:val="left" w:pos="709"/>
        </w:tabs>
        <w:spacing w:line="360" w:lineRule="auto"/>
        <w:rPr>
          <w:rFonts w:hint="eastAsia"/>
          <w:sz w:val="24"/>
        </w:rPr>
      </w:pPr>
      <w:r>
        <w:rPr>
          <w:rFonts w:hint="eastAsia" w:ascii="SimHei" w:hAnsi="SimHei" w:eastAsia="黑体"/>
          <w:sz w:val="24"/>
        </w:rPr>
        <w:t>计算公式</w:t>
      </w:r>
    </w:p>
    <w:p>
      <w:pPr>
        <w:tabs>
          <w:tab w:val="left" w:pos="709"/>
        </w:tabs>
        <w:spacing w:line="360" w:lineRule="auto"/>
        <w:ind w:left="480"/>
        <w:jc w:val="center"/>
        <w:rPr>
          <w:rFonts w:hint="eastAsia"/>
          <w:sz w:val="24"/>
        </w:rPr>
      </w:pPr>
      <w:r>
        <w:rPr>
          <w:rFonts w:hint="eastAsia" w:ascii="SimHei" w:hAnsi="SimHei" w:eastAsia="黑体"/>
          <w:sz w:val="24"/>
        </w:rPr>
        <w:t>目标值＝（0.4×指标值</w:t>
      </w:r>
      <w:r>
        <w:rPr>
          <w:rFonts w:hint="eastAsia" w:ascii="SimHei" w:hAnsi="SimHei" w:eastAsia="黑体"/>
          <w:sz w:val="24"/>
          <w:vertAlign w:val="subscript"/>
        </w:rPr>
        <w:t>n－2</w:t>
      </w:r>
      <w:r>
        <w:rPr>
          <w:rFonts w:hint="eastAsia" w:ascii="SimHei" w:hAnsi="SimHei" w:eastAsia="黑体"/>
          <w:sz w:val="24"/>
        </w:rPr>
        <w:t>＋</w:t>
      </w:r>
      <w:r>
        <w:rPr>
          <w:rFonts w:hint="eastAsia" w:ascii="SimHei" w:hAnsi="SimHei" w:eastAsia="黑体"/>
          <w:sz w:val="24"/>
        </w:rPr>
        <w:t>0.6×指标值</w:t>
      </w:r>
      <w:r>
        <w:rPr>
          <w:rFonts w:hint="eastAsia" w:ascii="SimHei" w:hAnsi="SimHei" w:eastAsia="黑体"/>
          <w:sz w:val="24"/>
          <w:vertAlign w:val="subscript"/>
        </w:rPr>
        <w:t>n－1</w:t>
      </w:r>
      <w:r>
        <w:rPr>
          <w:rFonts w:hint="eastAsia" w:ascii="SimHei" w:hAnsi="SimHei" w:eastAsia="黑体"/>
          <w:sz w:val="24"/>
        </w:rPr>
        <w:t>）×协调系数</w:t>
      </w:r>
    </w:p>
    <w:p>
      <w:pPr>
        <w:tabs>
          <w:tab w:val="left" w:pos="709"/>
        </w:tabs>
        <w:spacing w:line="360" w:lineRule="auto"/>
        <w:ind w:firstLine="480" w:firstLineChars="200"/>
        <w:rPr>
          <w:rFonts w:hint="eastAsia"/>
          <w:sz w:val="24"/>
        </w:rPr>
      </w:pPr>
      <w:r>
        <w:rPr>
          <w:rFonts w:hint="eastAsia" w:ascii="SimHei" w:hAnsi="SimHei" w:eastAsia="黑体"/>
          <w:sz w:val="24"/>
        </w:rPr>
        <w:t>从年薪制的实际操作方面考虑，当n－1和n－2年的经营性净资产增值＞0，且在n－1年调整后净资产收益率＞5%和n－1年的经营性净资产增长率为30%以上的，经营性净资产增值额目标值和净资产增长率目标值的协调系数取0.85。其他指标目标值的协调系数取1。</w:t>
      </w:r>
    </w:p>
    <w:p>
      <w:pPr>
        <w:numPr>
          <w:ilvl w:val="0"/>
          <w:numId w:val="24"/>
        </w:numPr>
        <w:tabs>
          <w:tab w:val="left" w:pos="709"/>
        </w:tabs>
        <w:spacing w:line="360" w:lineRule="auto"/>
        <w:rPr>
          <w:rFonts w:hint="eastAsia"/>
          <w:sz w:val="24"/>
        </w:rPr>
      </w:pPr>
      <w:r>
        <w:rPr>
          <w:rFonts w:hint="eastAsia" w:ascii="SimHei" w:hAnsi="SimHei" w:eastAsia="黑体"/>
          <w:sz w:val="24"/>
        </w:rPr>
        <w:t>应考虑的特殊情况</w:t>
      </w:r>
    </w:p>
    <w:p>
      <w:pPr>
        <w:numPr>
          <w:ilvl w:val="0"/>
          <w:numId w:val="25"/>
        </w:numPr>
        <w:tabs>
          <w:tab w:val="left" w:pos="709"/>
        </w:tabs>
        <w:spacing w:line="360" w:lineRule="auto"/>
        <w:rPr>
          <w:rFonts w:hint="eastAsia"/>
          <w:sz w:val="24"/>
        </w:rPr>
      </w:pPr>
      <w:r>
        <w:rPr>
          <w:rFonts w:hint="eastAsia" w:ascii="SimHei" w:hAnsi="SimHei" w:eastAsia="黑体"/>
          <w:sz w:val="24"/>
        </w:rPr>
        <w:t>初次考核，对于缺少n－2年的指标值或n－2年的指标值不具可参考性，目标值＝指标值n－1×协调系数</w:t>
      </w:r>
    </w:p>
    <w:p>
      <w:pPr>
        <w:numPr>
          <w:ilvl w:val="0"/>
          <w:numId w:val="25"/>
        </w:numPr>
        <w:tabs>
          <w:tab w:val="left" w:pos="709"/>
        </w:tabs>
        <w:spacing w:line="360" w:lineRule="auto"/>
        <w:rPr>
          <w:rFonts w:hint="eastAsia"/>
          <w:sz w:val="24"/>
        </w:rPr>
      </w:pPr>
      <w:r>
        <w:rPr>
          <w:rFonts w:hint="eastAsia" w:ascii="SimHei" w:hAnsi="SimHei" w:eastAsia="黑体"/>
          <w:sz w:val="24"/>
        </w:rPr>
        <w:t>初次考核，如果新设立企业无n－1和n－2年的指标值或其n－1和n－2年指标值不具可参考性，目标值由董事会根据具体情况确定。</w:t>
      </w:r>
    </w:p>
    <w:p>
      <w:pPr>
        <w:numPr>
          <w:ilvl w:val="0"/>
          <w:numId w:val="25"/>
        </w:numPr>
        <w:tabs>
          <w:tab w:val="left" w:pos="709"/>
        </w:tabs>
        <w:spacing w:line="360" w:lineRule="auto"/>
        <w:rPr>
          <w:rFonts w:hint="eastAsia"/>
          <w:sz w:val="24"/>
        </w:rPr>
      </w:pPr>
      <w:r>
        <w:rPr>
          <w:rFonts w:hint="eastAsia" w:ascii="SimHei" w:hAnsi="SimHei" w:eastAsia="黑体"/>
          <w:sz w:val="24"/>
        </w:rPr>
        <w:t>特殊的企业可以根据企业申报的情况，由董事会根据具体情况酌情确定经营性净资产增值额目标协调系数。其他经营正常的企业的协调系数一律取1。</w:t>
      </w:r>
    </w:p>
    <w:p>
      <w:pPr>
        <w:numPr>
          <w:ilvl w:val="1"/>
          <w:numId w:val="12"/>
        </w:numPr>
        <w:tabs>
          <w:tab w:val="left" w:pos="709"/>
          <w:tab w:val="left" w:pos="993"/>
          <w:tab w:val="clear" w:pos="1380"/>
        </w:tabs>
        <w:spacing w:before="156" w:beforeLines="50" w:after="156" w:afterLines="50" w:line="360" w:lineRule="auto"/>
        <w:ind w:left="850" w:hanging="425"/>
        <w:rPr>
          <w:rFonts w:hint="eastAsia"/>
          <w:b/>
          <w:sz w:val="24"/>
        </w:rPr>
      </w:pPr>
      <w:r>
        <w:rPr>
          <w:rFonts w:hint="eastAsia" w:ascii="SimHei" w:hAnsi="SimHei" w:eastAsia="黑体"/>
          <w:b/>
          <w:sz w:val="24"/>
        </w:rPr>
        <w:t>特殊情况的考虑</w:t>
      </w:r>
    </w:p>
    <w:p>
      <w:pPr>
        <w:numPr>
          <w:ilvl w:val="0"/>
          <w:numId w:val="26"/>
        </w:numPr>
        <w:tabs>
          <w:tab w:val="left" w:pos="709"/>
        </w:tabs>
        <w:spacing w:line="360" w:lineRule="auto"/>
        <w:rPr>
          <w:rFonts w:hint="eastAsia"/>
          <w:sz w:val="24"/>
        </w:rPr>
      </w:pPr>
      <w:r>
        <w:rPr>
          <w:rFonts w:hint="eastAsia" w:ascii="SimHei" w:hAnsi="SimHei" w:eastAsia="黑体"/>
          <w:sz w:val="24"/>
        </w:rPr>
        <w:t>企业在考核年度发生兼并</w:t>
      </w:r>
    </w:p>
    <w:p>
      <w:pPr>
        <w:tabs>
          <w:tab w:val="left" w:pos="709"/>
        </w:tabs>
        <w:spacing w:line="360" w:lineRule="auto"/>
        <w:ind w:firstLine="480" w:firstLineChars="200"/>
        <w:rPr>
          <w:rFonts w:hint="eastAsia"/>
          <w:sz w:val="24"/>
        </w:rPr>
      </w:pPr>
      <w:r>
        <w:rPr>
          <w:rFonts w:hint="eastAsia" w:ascii="SimHei" w:hAnsi="SimHei" w:eastAsia="黑体"/>
          <w:sz w:val="24"/>
        </w:rPr>
        <w:t>企业在考核年度发生兼并，年末在编制合并报表时，被兼并企业应采用兼并完成日的资产负债表作为其资产负债表的年初数与母公司进行报表合并。</w:t>
      </w:r>
    </w:p>
    <w:p>
      <w:pPr>
        <w:numPr>
          <w:ilvl w:val="0"/>
          <w:numId w:val="26"/>
        </w:numPr>
        <w:tabs>
          <w:tab w:val="left" w:pos="709"/>
        </w:tabs>
        <w:spacing w:line="360" w:lineRule="auto"/>
        <w:rPr>
          <w:rFonts w:hint="eastAsia"/>
          <w:sz w:val="24"/>
        </w:rPr>
      </w:pPr>
      <w:r>
        <w:rPr>
          <w:rFonts w:hint="eastAsia" w:ascii="SimHei" w:hAnsi="SimHei" w:eastAsia="黑体"/>
          <w:sz w:val="24"/>
        </w:rPr>
        <w:t>对贡献突出企业的特别奖励</w:t>
      </w:r>
    </w:p>
    <w:p>
      <w:pPr>
        <w:numPr>
          <w:ilvl w:val="0"/>
          <w:numId w:val="27"/>
        </w:numPr>
        <w:tabs>
          <w:tab w:val="left" w:pos="709"/>
          <w:tab w:val="left" w:pos="851"/>
          <w:tab w:val="clear" w:pos="1320"/>
        </w:tabs>
        <w:spacing w:line="360" w:lineRule="auto"/>
        <w:ind w:left="0" w:firstLine="480"/>
        <w:rPr>
          <w:rFonts w:hint="eastAsia"/>
          <w:sz w:val="24"/>
        </w:rPr>
      </w:pPr>
      <w:r>
        <w:rPr>
          <w:rFonts w:hint="eastAsia" w:ascii="SimHei" w:hAnsi="SimHei" w:eastAsia="黑体"/>
          <w:sz w:val="24"/>
        </w:rPr>
        <w:t>贡献突出企业是指调整后净资产收益率大于12%的企业或者由董事会认定为贡献突出的企业。</w:t>
      </w:r>
    </w:p>
    <w:p>
      <w:pPr>
        <w:numPr>
          <w:ilvl w:val="0"/>
          <w:numId w:val="27"/>
        </w:numPr>
        <w:tabs>
          <w:tab w:val="left" w:pos="709"/>
          <w:tab w:val="left" w:pos="851"/>
          <w:tab w:val="clear" w:pos="1320"/>
        </w:tabs>
        <w:spacing w:line="360" w:lineRule="auto"/>
        <w:ind w:left="0" w:firstLine="480"/>
        <w:rPr>
          <w:rFonts w:hint="eastAsia"/>
          <w:sz w:val="24"/>
        </w:rPr>
      </w:pPr>
      <w:r>
        <w:rPr>
          <w:rFonts w:hint="eastAsia" w:ascii="SimHei" w:hAnsi="SimHei" w:eastAsia="黑体"/>
          <w:sz w:val="24"/>
        </w:rPr>
        <w:t>贡献突出的企业经营者，由公司董事会决定给予特殊奖励。</w:t>
      </w:r>
    </w:p>
    <w:p>
      <w:pPr>
        <w:numPr>
          <w:ilvl w:val="0"/>
          <w:numId w:val="26"/>
        </w:numPr>
        <w:tabs>
          <w:tab w:val="left" w:pos="709"/>
        </w:tabs>
        <w:spacing w:line="360" w:lineRule="auto"/>
        <w:rPr>
          <w:rFonts w:hint="eastAsia"/>
          <w:sz w:val="24"/>
        </w:rPr>
      </w:pPr>
      <w:r>
        <w:rPr>
          <w:rFonts w:hint="eastAsia" w:ascii="SimHei" w:hAnsi="SimHei" w:eastAsia="黑体"/>
          <w:sz w:val="24"/>
        </w:rPr>
        <w:t>新增不良资产和资产损失的说明</w:t>
      </w:r>
    </w:p>
    <w:p>
      <w:pPr>
        <w:numPr>
          <w:ilvl w:val="0"/>
          <w:numId w:val="28"/>
        </w:numPr>
        <w:tabs>
          <w:tab w:val="left" w:pos="709"/>
          <w:tab w:val="left" w:pos="851"/>
          <w:tab w:val="clear" w:pos="1320"/>
        </w:tabs>
        <w:spacing w:line="360" w:lineRule="auto"/>
        <w:ind w:left="0" w:firstLine="480"/>
        <w:rPr>
          <w:rFonts w:hint="eastAsia"/>
          <w:sz w:val="24"/>
        </w:rPr>
      </w:pPr>
      <w:r>
        <w:rPr>
          <w:rFonts w:hint="eastAsia" w:ascii="SimHei" w:hAnsi="SimHei" w:eastAsia="黑体"/>
          <w:sz w:val="24"/>
        </w:rPr>
        <w:t>不良资产为企业资产中难以参加正常生产经营的部分，主要包括账龄在三年以上的应收账款、预付账款和其他应收款、积压三年以上的存货和被投资单位连续三年未赢利的长期投资。资产损失为待处理流动资产损失和待处理固定资产损失之和。新增不良资产和新增资产损失即为考核期间发生的新增部分。</w:t>
      </w:r>
    </w:p>
    <w:p>
      <w:pPr>
        <w:numPr>
          <w:ilvl w:val="0"/>
          <w:numId w:val="28"/>
        </w:numPr>
        <w:tabs>
          <w:tab w:val="left" w:pos="709"/>
          <w:tab w:val="left" w:pos="851"/>
          <w:tab w:val="clear" w:pos="1320"/>
        </w:tabs>
        <w:spacing w:line="360" w:lineRule="auto"/>
        <w:ind w:left="0" w:firstLine="480"/>
        <w:rPr>
          <w:rFonts w:hint="eastAsia"/>
          <w:sz w:val="24"/>
        </w:rPr>
      </w:pPr>
      <w:r>
        <w:rPr>
          <w:rFonts w:hint="eastAsia" w:ascii="SimHei" w:hAnsi="SimHei" w:eastAsia="黑体"/>
          <w:sz w:val="24"/>
        </w:rPr>
        <w:t>本指标所采用的数据，在审计报告中单独说明，本指标采用的数据主要包括：</w:t>
      </w:r>
    </w:p>
    <w:p>
      <w:pPr>
        <w:numPr>
          <w:ilvl w:val="0"/>
          <w:numId w:val="29"/>
        </w:numPr>
        <w:tabs>
          <w:tab w:val="left" w:pos="709"/>
        </w:tabs>
        <w:spacing w:line="360" w:lineRule="auto"/>
        <w:rPr>
          <w:rFonts w:hint="eastAsia" w:ascii="宋体" w:hAnsi="宋体"/>
          <w:sz w:val="24"/>
        </w:rPr>
      </w:pPr>
      <w:r>
        <w:rPr>
          <w:rFonts w:hint="eastAsia" w:ascii="SimHei" w:hAnsi="SimHei" w:eastAsia="黑体"/>
          <w:sz w:val="24"/>
        </w:rPr>
        <w:t>本期新确认的不良资产和资产损失；</w:t>
      </w:r>
    </w:p>
    <w:p>
      <w:pPr>
        <w:numPr>
          <w:ilvl w:val="0"/>
          <w:numId w:val="29"/>
        </w:numPr>
        <w:tabs>
          <w:tab w:val="left" w:pos="709"/>
        </w:tabs>
        <w:spacing w:line="360" w:lineRule="auto"/>
        <w:rPr>
          <w:rFonts w:hint="eastAsia"/>
          <w:sz w:val="24"/>
        </w:rPr>
      </w:pPr>
      <w:r>
        <w:rPr>
          <w:rFonts w:hint="eastAsia" w:ascii="SimHei" w:hAnsi="SimHei" w:eastAsia="黑体"/>
          <w:sz w:val="24"/>
        </w:rPr>
        <w:t>本期处理的前期确认的资产损失；</w:t>
      </w:r>
    </w:p>
    <w:p>
      <w:pPr>
        <w:numPr>
          <w:ilvl w:val="0"/>
          <w:numId w:val="29"/>
        </w:numPr>
        <w:tabs>
          <w:tab w:val="left" w:pos="709"/>
        </w:tabs>
        <w:spacing w:line="360" w:lineRule="auto"/>
        <w:rPr>
          <w:rFonts w:hint="eastAsia"/>
          <w:sz w:val="24"/>
        </w:rPr>
      </w:pPr>
      <w:r>
        <w:rPr>
          <w:rFonts w:hint="eastAsia" w:ascii="SimHei" w:hAnsi="SimHei" w:eastAsia="黑体"/>
          <w:sz w:val="24"/>
        </w:rPr>
        <w:t>本期处理的前期确认不良资产的部分。</w:t>
      </w:r>
    </w:p>
    <w:p>
      <w:pPr>
        <w:numPr>
          <w:ilvl w:val="0"/>
          <w:numId w:val="28"/>
        </w:numPr>
        <w:tabs>
          <w:tab w:val="left" w:pos="709"/>
          <w:tab w:val="left" w:pos="851"/>
          <w:tab w:val="clear" w:pos="1320"/>
        </w:tabs>
        <w:spacing w:line="360" w:lineRule="auto"/>
        <w:ind w:left="0" w:firstLine="480"/>
        <w:rPr>
          <w:rFonts w:hint="eastAsia"/>
          <w:sz w:val="24"/>
        </w:rPr>
      </w:pPr>
      <w:r>
        <w:rPr>
          <w:rFonts w:hint="eastAsia" w:ascii="SimHei" w:hAnsi="SimHei" w:eastAsia="黑体"/>
          <w:sz w:val="24"/>
        </w:rPr>
        <w:t>计算方法</w:t>
      </w:r>
    </w:p>
    <w:p>
      <w:pPr>
        <w:numPr>
          <w:ilvl w:val="0"/>
          <w:numId w:val="30"/>
        </w:numPr>
        <w:tabs>
          <w:tab w:val="left" w:pos="709"/>
        </w:tabs>
        <w:spacing w:line="360" w:lineRule="auto"/>
        <w:ind w:left="0" w:firstLine="480"/>
        <w:rPr>
          <w:rFonts w:hint="eastAsia"/>
          <w:sz w:val="24"/>
        </w:rPr>
      </w:pPr>
      <w:r>
        <w:rPr>
          <w:rFonts w:hint="eastAsia" w:ascii="SimHei" w:hAnsi="SimHei" w:eastAsia="黑体"/>
          <w:sz w:val="24"/>
        </w:rPr>
        <w:t>如果本期有新确认的不良资产和资产损失，直接扣减应计企业经营性净资产增值额；</w:t>
      </w:r>
    </w:p>
    <w:p>
      <w:pPr>
        <w:numPr>
          <w:ilvl w:val="0"/>
          <w:numId w:val="30"/>
        </w:numPr>
        <w:tabs>
          <w:tab w:val="left" w:pos="709"/>
        </w:tabs>
        <w:spacing w:line="360" w:lineRule="auto"/>
        <w:ind w:left="0" w:firstLine="480"/>
        <w:rPr>
          <w:rFonts w:hint="eastAsia"/>
          <w:sz w:val="24"/>
        </w:rPr>
      </w:pPr>
      <w:r>
        <w:rPr>
          <w:rFonts w:hint="eastAsia" w:ascii="SimHei" w:hAnsi="SimHei" w:eastAsia="黑体"/>
          <w:sz w:val="24"/>
        </w:rPr>
        <w:t>前期确认为不良资产的应收账款在本期收回或注销，在本期以相同金额增加应计经营性净资产增值额；</w:t>
      </w:r>
    </w:p>
    <w:p>
      <w:pPr>
        <w:numPr>
          <w:ilvl w:val="0"/>
          <w:numId w:val="30"/>
        </w:numPr>
        <w:tabs>
          <w:tab w:val="left" w:pos="709"/>
        </w:tabs>
        <w:spacing w:line="360" w:lineRule="auto"/>
        <w:ind w:left="0" w:firstLine="480"/>
        <w:rPr>
          <w:rFonts w:hint="eastAsia"/>
          <w:sz w:val="24"/>
        </w:rPr>
      </w:pPr>
      <w:r>
        <w:rPr>
          <w:rFonts w:hint="eastAsia" w:ascii="SimHei" w:hAnsi="SimHei" w:eastAsia="黑体"/>
          <w:sz w:val="24"/>
        </w:rPr>
        <w:t>前期确认为不良资产的存货本期已作处理，本期按相同金额增加前期扣减的效益年薪（由于前面两项虽然前期已确认为不良资产，但是企业其实账面上并未作处理，前期确认不良资产的目的主要是不将实际损失递延至后期，本期账面上处理后实际损益在报表中得到反映，影响了企业实际的经济效益，因此必须加回前期扣减的效益年薪。）</w:t>
      </w:r>
    </w:p>
    <w:p>
      <w:pPr>
        <w:numPr>
          <w:ilvl w:val="0"/>
          <w:numId w:val="30"/>
        </w:numPr>
        <w:tabs>
          <w:tab w:val="left" w:pos="709"/>
        </w:tabs>
        <w:spacing w:line="360" w:lineRule="auto"/>
        <w:ind w:left="0" w:firstLine="480"/>
        <w:rPr>
          <w:rFonts w:hint="eastAsia"/>
          <w:sz w:val="24"/>
        </w:rPr>
      </w:pPr>
      <w:r>
        <w:rPr>
          <w:rFonts w:hint="eastAsia" w:ascii="SimHei" w:hAnsi="SimHei" w:eastAsia="黑体"/>
          <w:sz w:val="24"/>
        </w:rPr>
        <w:t>如果企业由于特殊原因导致不良资产和资产损失大幅增加，严重影响了效益年薪的评价，某集团报告，由董事会讨论并决定具体处理办法。</w:t>
      </w:r>
    </w:p>
    <w:p>
      <w:pPr>
        <w:numPr>
          <w:ilvl w:val="0"/>
          <w:numId w:val="26"/>
        </w:numPr>
        <w:tabs>
          <w:tab w:val="left" w:pos="709"/>
        </w:tabs>
        <w:spacing w:line="360" w:lineRule="auto"/>
        <w:rPr>
          <w:rFonts w:hint="eastAsia"/>
          <w:sz w:val="24"/>
        </w:rPr>
      </w:pPr>
      <w:r>
        <w:rPr>
          <w:rFonts w:hint="eastAsia" w:ascii="SimHei" w:hAnsi="SimHei" w:eastAsia="黑体"/>
          <w:sz w:val="24"/>
        </w:rPr>
        <w:t>消化历史遗留问题</w:t>
      </w:r>
    </w:p>
    <w:p>
      <w:pPr>
        <w:tabs>
          <w:tab w:val="left" w:pos="709"/>
        </w:tabs>
        <w:spacing w:line="360" w:lineRule="auto"/>
        <w:ind w:firstLine="480" w:firstLineChars="200"/>
        <w:rPr>
          <w:rFonts w:hint="eastAsia"/>
          <w:sz w:val="24"/>
        </w:rPr>
      </w:pPr>
      <w:r>
        <w:rPr>
          <w:rFonts w:hint="eastAsia" w:ascii="SimHei" w:hAnsi="SimHei" w:eastAsia="黑体"/>
          <w:sz w:val="24"/>
        </w:rPr>
        <w:t>前任经营者遗留的责任在离任审计中应充分披露，离任审计报告为下一任企业经营者在考核年度内消化历史遗留不良资产提供基本数据（依据）。</w:t>
      </w:r>
    </w:p>
    <w:p>
      <w:pPr>
        <w:numPr>
          <w:ilvl w:val="0"/>
          <w:numId w:val="26"/>
        </w:numPr>
        <w:tabs>
          <w:tab w:val="left" w:pos="0"/>
          <w:tab w:val="left" w:pos="709"/>
          <w:tab w:val="clear" w:pos="1200"/>
        </w:tabs>
        <w:spacing w:line="360" w:lineRule="auto"/>
        <w:ind w:left="0" w:firstLine="480"/>
        <w:rPr>
          <w:rFonts w:hint="eastAsia"/>
          <w:sz w:val="24"/>
        </w:rPr>
      </w:pPr>
      <w:r>
        <w:rPr>
          <w:rFonts w:hint="eastAsia" w:ascii="SimHei" w:hAnsi="SimHei" w:eastAsia="黑体"/>
          <w:sz w:val="24"/>
        </w:rPr>
        <w:t>鉴于香港</w:t>
      </w:r>
      <w:r>
        <w:rPr>
          <w:rFonts w:hint="eastAsia" w:ascii="SimHei" w:hAnsi="SimHei" w:eastAsia="黑体"/>
          <w:sz w:val="24"/>
          <w:lang w:eastAsia="zh-CN"/>
        </w:rPr>
        <w:t>_____</w:t>
      </w:r>
      <w:r>
        <w:rPr>
          <w:rFonts w:hint="eastAsia" w:ascii="SimHei" w:hAnsi="SimHei" w:eastAsia="黑体"/>
          <w:sz w:val="24"/>
        </w:rPr>
        <w:t>和山东</w:t>
      </w:r>
      <w:r>
        <w:rPr>
          <w:rFonts w:hint="eastAsia" w:ascii="SimHei" w:hAnsi="SimHei" w:eastAsia="黑体"/>
          <w:sz w:val="24"/>
          <w:lang w:eastAsia="zh-CN"/>
        </w:rPr>
        <w:t>_____</w:t>
      </w:r>
      <w:r>
        <w:rPr>
          <w:rFonts w:hint="eastAsia" w:ascii="SimHei" w:hAnsi="SimHei" w:eastAsia="黑体"/>
          <w:sz w:val="24"/>
        </w:rPr>
        <w:t>的历史原因，在计算效益年薪时，山东</w:t>
      </w:r>
      <w:r>
        <w:rPr>
          <w:rFonts w:hint="eastAsia" w:ascii="SimHei" w:hAnsi="SimHei" w:eastAsia="黑体"/>
          <w:sz w:val="24"/>
          <w:lang w:eastAsia="zh-CN"/>
        </w:rPr>
        <w:t>_____</w:t>
      </w:r>
      <w:r>
        <w:rPr>
          <w:rFonts w:hint="eastAsia" w:ascii="SimHei" w:hAnsi="SimHei" w:eastAsia="黑体"/>
          <w:sz w:val="24"/>
        </w:rPr>
        <w:t>和香港</w:t>
      </w:r>
      <w:r>
        <w:rPr>
          <w:rFonts w:hint="eastAsia" w:ascii="SimHei" w:hAnsi="SimHei" w:eastAsia="黑体"/>
          <w:sz w:val="24"/>
          <w:lang w:eastAsia="zh-CN"/>
        </w:rPr>
        <w:t>_____</w:t>
      </w:r>
      <w:r>
        <w:rPr>
          <w:rFonts w:hint="eastAsia" w:ascii="SimHei" w:hAnsi="SimHei" w:eastAsia="黑体"/>
          <w:sz w:val="24"/>
        </w:rPr>
        <w:t>的净利润较低，当实际应计经营性净资产增值额低于1000万时，不适用本方案的计算方式，具体按以下规则执行：</w:t>
      </w:r>
    </w:p>
    <w:p>
      <w:pPr>
        <w:tabs>
          <w:tab w:val="left" w:pos="495"/>
        </w:tabs>
        <w:spacing w:line="360" w:lineRule="auto"/>
        <w:rPr>
          <w:rFonts w:hint="eastAsia"/>
          <w:sz w:val="24"/>
        </w:rPr>
      </w:pPr>
      <w:r>
        <w:rPr>
          <w:rFonts w:hint="eastAsia" w:ascii="SimHei" w:hAnsi="SimHei" w:eastAsia="黑体"/>
          <w:sz w:val="24"/>
        </w:rPr>
        <w:tab/>
      </w:r>
      <w:r>
        <w:rPr>
          <w:rFonts w:hint="eastAsia" w:ascii="SimHei" w:hAnsi="SimHei" w:eastAsia="黑体"/>
          <w:sz w:val="24"/>
        </w:rPr>
        <w:t>1、应计经营性净资产增值额的确定：</w:t>
      </w:r>
    </w:p>
    <w:p>
      <w:pPr>
        <w:numPr>
          <w:ilvl w:val="1"/>
          <w:numId w:val="26"/>
        </w:numPr>
        <w:tabs>
          <w:tab w:val="left" w:pos="709"/>
        </w:tabs>
        <w:spacing w:line="360" w:lineRule="auto"/>
        <w:rPr>
          <w:rFonts w:hint="eastAsia"/>
          <w:sz w:val="24"/>
        </w:rPr>
      </w:pPr>
      <w:r>
        <w:rPr>
          <w:rFonts w:hint="eastAsia" w:ascii="SimHei" w:hAnsi="SimHei" w:eastAsia="黑体"/>
          <w:sz w:val="24"/>
        </w:rPr>
        <w:t>经营性净资产增值目标为负值</w:t>
      </w:r>
    </w:p>
    <w:p>
      <w:pPr>
        <w:numPr>
          <w:ilvl w:val="0"/>
          <w:numId w:val="31"/>
        </w:numPr>
        <w:tabs>
          <w:tab w:val="left" w:pos="709"/>
        </w:tabs>
        <w:spacing w:line="360" w:lineRule="auto"/>
        <w:rPr>
          <w:rFonts w:hint="eastAsia"/>
          <w:sz w:val="24"/>
        </w:rPr>
      </w:pPr>
      <w:r>
        <w:rPr>
          <w:rFonts w:hint="eastAsia" w:ascii="SimHei" w:hAnsi="SimHei" w:eastAsia="黑体"/>
          <w:sz w:val="24"/>
        </w:rPr>
        <w:t>当经营性净资产增值目标＜实际经营性净资产增值额＜0时</w:t>
      </w:r>
    </w:p>
    <w:p>
      <w:pPr>
        <w:tabs>
          <w:tab w:val="left" w:pos="709"/>
        </w:tabs>
        <w:spacing w:line="360" w:lineRule="auto"/>
        <w:ind w:left="1207"/>
        <w:rPr>
          <w:rFonts w:hint="eastAsia"/>
          <w:sz w:val="24"/>
        </w:rPr>
      </w:pPr>
      <w:r>
        <w:rPr>
          <w:rFonts w:hint="eastAsia" w:ascii="SimHei" w:hAnsi="SimHei" w:eastAsia="黑体"/>
          <w:sz w:val="24"/>
        </w:rPr>
        <w:t>应计经营性净资产增值额＝实际应计经营性净资产增值额×3；</w:t>
      </w:r>
    </w:p>
    <w:p>
      <w:pPr>
        <w:numPr>
          <w:ilvl w:val="0"/>
          <w:numId w:val="31"/>
        </w:numPr>
        <w:tabs>
          <w:tab w:val="left" w:pos="709"/>
        </w:tabs>
        <w:spacing w:line="360" w:lineRule="auto"/>
        <w:rPr>
          <w:rFonts w:hint="eastAsia"/>
          <w:sz w:val="24"/>
        </w:rPr>
      </w:pPr>
      <w:r>
        <w:rPr>
          <w:rFonts w:hint="eastAsia" w:ascii="SimHei" w:hAnsi="SimHei" w:eastAsia="黑体"/>
          <w:sz w:val="24"/>
        </w:rPr>
        <w:t>当实际经营性净资产增值额≥0时</w:t>
      </w:r>
    </w:p>
    <w:p>
      <w:pPr>
        <w:tabs>
          <w:tab w:val="left" w:pos="709"/>
        </w:tabs>
        <w:spacing w:line="360" w:lineRule="auto"/>
        <w:ind w:left="1207"/>
        <w:rPr>
          <w:rFonts w:hint="eastAsia"/>
          <w:sz w:val="24"/>
        </w:rPr>
      </w:pPr>
      <w:r>
        <w:rPr>
          <w:rFonts w:hint="eastAsia" w:ascii="SimHei" w:hAnsi="SimHei" w:eastAsia="黑体"/>
          <w:sz w:val="24"/>
        </w:rPr>
        <w:t>应计经营性净资产增值额＝经营性净资产增值目标绝对值×3＋实际经营性净资产增值额×5；</w:t>
      </w:r>
    </w:p>
    <w:p>
      <w:pPr>
        <w:numPr>
          <w:ilvl w:val="1"/>
          <w:numId w:val="26"/>
        </w:numPr>
        <w:tabs>
          <w:tab w:val="left" w:pos="709"/>
        </w:tabs>
        <w:spacing w:line="360" w:lineRule="auto"/>
        <w:rPr>
          <w:rFonts w:hint="eastAsia"/>
          <w:sz w:val="24"/>
        </w:rPr>
      </w:pPr>
      <w:r>
        <w:rPr>
          <w:rFonts w:hint="eastAsia" w:ascii="SimHei" w:hAnsi="SimHei" w:eastAsia="黑体"/>
          <w:sz w:val="24"/>
        </w:rPr>
        <w:t>经营性净资产增值目标为正值</w:t>
      </w:r>
    </w:p>
    <w:p>
      <w:pPr>
        <w:numPr>
          <w:ilvl w:val="0"/>
          <w:numId w:val="31"/>
        </w:numPr>
        <w:tabs>
          <w:tab w:val="left" w:pos="709"/>
        </w:tabs>
        <w:spacing w:line="360" w:lineRule="auto"/>
        <w:rPr>
          <w:rFonts w:hint="eastAsia"/>
          <w:sz w:val="24"/>
        </w:rPr>
      </w:pPr>
      <w:r>
        <w:rPr>
          <w:rFonts w:hint="eastAsia" w:ascii="SimHei" w:hAnsi="SimHei" w:eastAsia="黑体"/>
          <w:sz w:val="24"/>
        </w:rPr>
        <w:t>当0＜实际经营性净资产增值额＜经营性净资产增值目标时，</w:t>
      </w:r>
    </w:p>
    <w:p>
      <w:pPr>
        <w:tabs>
          <w:tab w:val="left" w:pos="709"/>
        </w:tabs>
        <w:spacing w:line="360" w:lineRule="auto"/>
        <w:ind w:left="1207"/>
        <w:rPr>
          <w:rFonts w:hint="eastAsia"/>
          <w:sz w:val="24"/>
        </w:rPr>
      </w:pPr>
      <w:r>
        <w:rPr>
          <w:rFonts w:hint="eastAsia" w:ascii="SimHei" w:hAnsi="SimHei" w:eastAsia="黑体"/>
          <w:sz w:val="24"/>
        </w:rPr>
        <w:t>应计经营性净资产增值额＝实际经营性净资产增值额×3；</w:t>
      </w:r>
    </w:p>
    <w:p>
      <w:pPr>
        <w:numPr>
          <w:ilvl w:val="0"/>
          <w:numId w:val="31"/>
        </w:numPr>
        <w:tabs>
          <w:tab w:val="left" w:pos="709"/>
        </w:tabs>
        <w:spacing w:line="360" w:lineRule="auto"/>
        <w:rPr>
          <w:rFonts w:hint="eastAsia"/>
          <w:sz w:val="24"/>
        </w:rPr>
      </w:pPr>
      <w:r>
        <w:rPr>
          <w:rFonts w:hint="eastAsia" w:ascii="SimHei" w:hAnsi="SimHei" w:eastAsia="黑体"/>
          <w:sz w:val="24"/>
        </w:rPr>
        <w:t>当实际经营性净资产增值额≥经营性净资产增值目标时，</w:t>
      </w:r>
    </w:p>
    <w:p>
      <w:pPr>
        <w:tabs>
          <w:tab w:val="left" w:pos="709"/>
        </w:tabs>
        <w:spacing w:line="360" w:lineRule="auto"/>
        <w:ind w:left="1207"/>
        <w:rPr>
          <w:rFonts w:hint="eastAsia"/>
          <w:sz w:val="24"/>
        </w:rPr>
      </w:pPr>
      <w:r>
        <w:rPr>
          <w:rFonts w:hint="eastAsia" w:ascii="SimHei" w:hAnsi="SimHei" w:eastAsia="黑体"/>
          <w:sz w:val="24"/>
        </w:rPr>
        <w:t>应计经营性净资产增值额＝经营性净资产增值目标×3</w:t>
      </w:r>
      <w:r>
        <w:rPr>
          <w:rFonts w:hint="eastAsia" w:ascii="SimHei" w:hAnsi="SimHei" w:eastAsia="黑体"/>
          <w:sz w:val="24"/>
        </w:rPr>
        <w:t>＋</w:t>
      </w:r>
      <w:r>
        <w:rPr>
          <w:rFonts w:hint="eastAsia" w:ascii="SimHei" w:hAnsi="SimHei" w:eastAsia="黑体"/>
          <w:sz w:val="24"/>
        </w:rPr>
        <w:t>（实际经营性净资产增值额－经营性净资产增值目标）×</w:t>
      </w:r>
      <w:r>
        <w:rPr>
          <w:rFonts w:hint="eastAsia" w:ascii="SimHei" w:hAnsi="SimHei" w:eastAsia="黑体"/>
          <w:sz w:val="24"/>
        </w:rPr>
        <w:t>5</w:t>
      </w:r>
      <w:r>
        <w:rPr>
          <w:rFonts w:hint="eastAsia" w:ascii="SimHei" w:hAnsi="SimHei" w:eastAsia="黑体"/>
          <w:sz w:val="24"/>
        </w:rPr>
        <w:t>；</w:t>
      </w:r>
    </w:p>
    <w:p>
      <w:pPr>
        <w:tabs>
          <w:tab w:val="left" w:pos="709"/>
        </w:tabs>
        <w:spacing w:line="360" w:lineRule="auto"/>
        <w:ind w:left="900"/>
        <w:rPr>
          <w:rFonts w:hint="eastAsia"/>
          <w:sz w:val="24"/>
        </w:rPr>
      </w:pPr>
      <w:r>
        <w:rPr>
          <w:rFonts w:hint="eastAsia" w:ascii="SimHei" w:hAnsi="SimHei" w:eastAsia="黑体"/>
          <w:sz w:val="24"/>
        </w:rPr>
        <w:t>3、应计经营性净资产增值额最大为2000万元；</w:t>
      </w:r>
    </w:p>
    <w:p>
      <w:pPr>
        <w:tabs>
          <w:tab w:val="left" w:pos="495"/>
        </w:tabs>
        <w:spacing w:line="360" w:lineRule="auto"/>
        <w:rPr>
          <w:rFonts w:hint="eastAsia"/>
          <w:sz w:val="24"/>
        </w:rPr>
      </w:pPr>
      <w:r>
        <w:rPr>
          <w:rFonts w:hint="eastAsia" w:ascii="SimHei" w:hAnsi="SimHei" w:eastAsia="黑体"/>
          <w:sz w:val="24"/>
        </w:rPr>
        <w:tab/>
      </w:r>
      <w:r>
        <w:rPr>
          <w:rFonts w:hint="eastAsia" w:ascii="SimHei" w:hAnsi="SimHei" w:eastAsia="黑体"/>
          <w:sz w:val="24"/>
        </w:rPr>
        <w:t>二、当实际应计经营性净资产增值额为负值时，计算挂账效益年薪；</w:t>
      </w:r>
    </w:p>
    <w:p>
      <w:pPr>
        <w:tabs>
          <w:tab w:val="left" w:pos="495"/>
        </w:tabs>
        <w:spacing w:line="360" w:lineRule="auto"/>
        <w:rPr>
          <w:rFonts w:hint="eastAsia"/>
          <w:sz w:val="24"/>
        </w:rPr>
      </w:pPr>
      <w:r>
        <w:rPr>
          <w:rFonts w:hint="eastAsia" w:ascii="SimHei" w:hAnsi="SimHei" w:eastAsia="黑体"/>
          <w:sz w:val="24"/>
        </w:rPr>
        <w:tab/>
      </w:r>
      <w:r>
        <w:rPr>
          <w:rFonts w:hint="eastAsia" w:ascii="SimHei" w:hAnsi="SimHei" w:eastAsia="黑体"/>
          <w:sz w:val="24"/>
        </w:rPr>
        <w:t>三、实际计提的效益年薪不得大于应计经营性净资产增值额。</w:t>
      </w:r>
    </w:p>
    <w:p>
      <w:pPr>
        <w:tabs>
          <w:tab w:val="left" w:pos="993"/>
          <w:tab w:val="left" w:pos="1418"/>
        </w:tabs>
        <w:spacing w:line="360" w:lineRule="auto"/>
        <w:ind w:firstLine="480" w:firstLineChars="200"/>
        <w:rPr>
          <w:rFonts w:hint="eastAsia"/>
          <w:sz w:val="24"/>
        </w:rPr>
      </w:pPr>
      <w:r>
        <w:rPr>
          <w:rFonts w:hint="eastAsia" w:ascii="SimHei" w:hAnsi="SimHei" w:eastAsia="黑体"/>
          <w:sz w:val="24"/>
        </w:rPr>
        <w:t>四、计算效益年薪的综合评价指数时，如果缺乏往年数据或往年数据缺乏参考性，则综合评价指数在[0.8，1.2]这个区间内选取，年初由</w:t>
      </w:r>
      <w:r>
        <w:rPr>
          <w:rFonts w:hint="eastAsia" w:ascii="SimHei" w:hAnsi="SimHei" w:eastAsia="黑体"/>
          <w:sz w:val="24"/>
          <w:lang w:eastAsia="zh-CN"/>
        </w:rPr>
        <w:t>_____</w:t>
      </w:r>
      <w:r>
        <w:rPr>
          <w:rFonts w:hint="eastAsia" w:ascii="SimHei" w:hAnsi="SimHei" w:eastAsia="黑体"/>
          <w:sz w:val="24"/>
        </w:rPr>
        <w:t>控股董事会确定。当已经具备计算综合评价指数的往年数据并且该数据具有参考性时，综合评价指数按正常方式计算。</w:t>
      </w:r>
    </w:p>
    <w:p>
      <w:pPr>
        <w:tabs>
          <w:tab w:val="left" w:pos="993"/>
          <w:tab w:val="left" w:pos="1418"/>
        </w:tabs>
        <w:spacing w:line="360" w:lineRule="auto"/>
        <w:ind w:firstLine="480" w:firstLineChars="200"/>
        <w:rPr>
          <w:rFonts w:hint="eastAsia"/>
          <w:sz w:val="24"/>
        </w:rPr>
      </w:pPr>
      <w:r>
        <w:rPr>
          <w:rFonts w:hint="eastAsia" w:ascii="SimHei" w:hAnsi="SimHei" w:eastAsia="黑体"/>
          <w:sz w:val="24"/>
        </w:rPr>
        <w:t>如果实际应计经营性净资产增值额超过1000万元，并且视为企业进入正常经营状况，不再适用以上公式。</w:t>
      </w:r>
    </w:p>
    <w:p>
      <w:pPr>
        <w:numPr>
          <w:ilvl w:val="0"/>
          <w:numId w:val="26"/>
        </w:numPr>
        <w:tabs>
          <w:tab w:val="left" w:pos="709"/>
        </w:tabs>
        <w:spacing w:line="360" w:lineRule="auto"/>
        <w:rPr>
          <w:rFonts w:hint="eastAsia"/>
          <w:sz w:val="24"/>
        </w:rPr>
      </w:pPr>
      <w:r>
        <w:rPr>
          <w:rFonts w:hint="eastAsia" w:ascii="SimHei" w:hAnsi="SimHei" w:eastAsia="黑体"/>
          <w:sz w:val="24"/>
        </w:rPr>
        <w:t>其他特殊情况</w:t>
      </w:r>
    </w:p>
    <w:p>
      <w:pPr>
        <w:tabs>
          <w:tab w:val="left" w:pos="709"/>
        </w:tabs>
        <w:spacing w:line="360" w:lineRule="auto"/>
        <w:ind w:firstLine="480" w:firstLineChars="200"/>
        <w:rPr>
          <w:rFonts w:hint="eastAsia"/>
          <w:sz w:val="24"/>
        </w:rPr>
      </w:pPr>
      <w:r>
        <w:rPr>
          <w:rFonts w:hint="eastAsia" w:ascii="SimHei" w:hAnsi="SimHei" w:eastAsia="黑体"/>
          <w:sz w:val="24"/>
        </w:rPr>
        <w:t>如果企业在考核年度内存在除上述提及的其他特殊情况，由</w:t>
      </w:r>
      <w:r>
        <w:rPr>
          <w:rFonts w:hint="eastAsia" w:ascii="SimHei" w:hAnsi="SimHei" w:eastAsia="黑体"/>
          <w:sz w:val="24"/>
          <w:lang w:eastAsia="zh-CN"/>
        </w:rPr>
        <w:t>_____</w:t>
      </w:r>
      <w:r>
        <w:rPr>
          <w:rFonts w:hint="eastAsia" w:ascii="SimHei" w:hAnsi="SimHei" w:eastAsia="黑体"/>
          <w:sz w:val="24"/>
        </w:rPr>
        <w:t>控股董事会或薪酬委员会另行确定并处理。</w:t>
      </w:r>
    </w:p>
    <w:p>
      <w:pPr>
        <w:pStyle w:val="2"/>
        <w:spacing w:beforeLines="0" w:afterLines="0"/>
        <w:rPr>
          <w:rFonts w:hint="eastAsia"/>
        </w:rPr>
      </w:pPr>
      <w:r>
        <w:rPr>
          <w:rFonts w:ascii="SimHei" w:hAnsi="SimHei" w:eastAsia="黑体"/>
          <w:sz w:val="24"/>
        </w:rPr>
      </w:r>
      <w:bookmarkStart w:id="29" w:name="_Toc81283110"/>
      <w:r>
        <w:rPr>
          <w:rFonts w:hint="eastAsia" w:ascii="SimHei" w:hAnsi="SimHei" w:eastAsia="黑体"/>
        </w:rPr>
        <w:t>附件3：</w:t>
      </w:r>
      <w:bookmarkStart w:id="30" w:name="_Hlt81282042"/>
      <w:bookmarkEnd w:id="30"/>
      <w:bookmarkStart w:id="31" w:name="_Hlt81282212"/>
      <w:bookmarkEnd w:id="31"/>
      <w:r>
        <w:rPr>
          <w:rFonts w:hint="eastAsia" w:ascii="SimHei" w:hAnsi="SimHei" w:eastAsia="黑体"/>
        </w:rPr>
        <w:t>长期激励收入实施细则</w:t>
      </w:r>
      <w:bookmarkEnd w:id="29"/>
    </w:p>
    <w:p>
      <w:pPr>
        <w:numPr>
          <w:ilvl w:val="1"/>
          <w:numId w:val="30"/>
        </w:numPr>
        <w:tabs>
          <w:tab w:val="left" w:pos="709"/>
          <w:tab w:val="left" w:pos="993"/>
          <w:tab w:val="clear" w:pos="1380"/>
        </w:tabs>
        <w:spacing w:before="156" w:beforeLines="50" w:after="156" w:afterLines="50" w:line="360" w:lineRule="auto"/>
        <w:ind w:left="0" w:firstLine="425"/>
        <w:rPr>
          <w:rFonts w:hint="eastAsia"/>
          <w:b/>
          <w:sz w:val="24"/>
        </w:rPr>
      </w:pPr>
      <w:r>
        <w:rPr>
          <w:rFonts w:hint="eastAsia" w:ascii="SimHei" w:hAnsi="SimHei" w:eastAsia="黑体"/>
          <w:b/>
          <w:sz w:val="24"/>
        </w:rPr>
        <w:t>基本依据和实施对象</w:t>
      </w:r>
    </w:p>
    <w:p>
      <w:pPr>
        <w:numPr>
          <w:ilvl w:val="0"/>
          <w:numId w:val="32"/>
        </w:numPr>
        <w:tabs>
          <w:tab w:val="left" w:pos="709"/>
          <w:tab w:val="left" w:pos="851"/>
          <w:tab w:val="clear" w:pos="1260"/>
        </w:tabs>
        <w:spacing w:line="360" w:lineRule="auto"/>
        <w:ind w:hanging="834"/>
        <w:rPr>
          <w:rFonts w:hint="eastAsia"/>
          <w:sz w:val="24"/>
        </w:rPr>
      </w:pPr>
      <w:r>
        <w:rPr>
          <w:rFonts w:hint="eastAsia" w:ascii="SimHei" w:hAnsi="SimHei" w:eastAsia="黑体"/>
          <w:sz w:val="24"/>
        </w:rPr>
        <w:t>基本依据</w:t>
      </w:r>
    </w:p>
    <w:p>
      <w:pPr>
        <w:tabs>
          <w:tab w:val="left" w:pos="709"/>
        </w:tabs>
        <w:spacing w:line="360" w:lineRule="auto"/>
        <w:ind w:firstLine="480" w:firstLineChars="200"/>
        <w:rPr>
          <w:rFonts w:hint="eastAsia"/>
          <w:sz w:val="24"/>
        </w:rPr>
      </w:pPr>
      <w:r>
        <w:rPr>
          <w:rFonts w:hint="eastAsia" w:ascii="SimHei" w:hAnsi="SimHei" w:eastAsia="黑体"/>
          <w:sz w:val="24"/>
        </w:rPr>
        <w:t>长期激励收入制度的设立是为了防止经营者的短期行为，鼓励经营者不断创新，提高企业的市场竞争力和促进企业里良性发展。长期激励收入是对企业经营者的任期内的经营业绩进行全面考核的结果。</w:t>
      </w:r>
    </w:p>
    <w:p>
      <w:pPr>
        <w:numPr>
          <w:ilvl w:val="0"/>
          <w:numId w:val="32"/>
        </w:numPr>
        <w:tabs>
          <w:tab w:val="left" w:pos="709"/>
          <w:tab w:val="left" w:pos="851"/>
          <w:tab w:val="clear" w:pos="1260"/>
        </w:tabs>
        <w:spacing w:line="360" w:lineRule="auto"/>
        <w:ind w:hanging="834"/>
        <w:rPr>
          <w:rFonts w:hint="eastAsia"/>
          <w:sz w:val="24"/>
        </w:rPr>
      </w:pPr>
      <w:r>
        <w:rPr>
          <w:rFonts w:hint="eastAsia" w:ascii="SimHei" w:hAnsi="SimHei" w:eastAsia="黑体"/>
          <w:sz w:val="24"/>
        </w:rPr>
        <w:t>实施对象</w:t>
      </w:r>
    </w:p>
    <w:p>
      <w:pPr>
        <w:tabs>
          <w:tab w:val="left" w:pos="709"/>
        </w:tabs>
        <w:spacing w:line="360" w:lineRule="auto"/>
        <w:ind w:firstLine="424" w:firstLineChars="177"/>
        <w:rPr>
          <w:rFonts w:hint="eastAsia"/>
          <w:sz w:val="24"/>
        </w:rPr>
      </w:pPr>
      <w:r>
        <w:rPr>
          <w:rFonts w:hint="eastAsia" w:ascii="SimHei" w:hAnsi="SimHei" w:eastAsia="黑体"/>
          <w:sz w:val="24"/>
        </w:rPr>
        <w:t>对长期激励收入的事实对象是在</w:t>
      </w:r>
      <w:r>
        <w:rPr>
          <w:rFonts w:hint="eastAsia" w:ascii="SimHei" w:hAnsi="SimHei" w:eastAsia="黑体"/>
          <w:sz w:val="24"/>
          <w:lang w:eastAsia="zh-CN"/>
        </w:rPr>
        <w:t>_____</w:t>
      </w:r>
      <w:r>
        <w:rPr>
          <w:rFonts w:hint="eastAsia" w:ascii="SimHei" w:hAnsi="SimHei" w:eastAsia="黑体"/>
          <w:sz w:val="24"/>
        </w:rPr>
        <w:t>控股当任经营者期限三年以上（含三年）的。长期激励收入是以离任审计结果为基础对任期年限三年以上（含三年）的经营者的经营业绩进行一次综合评价而确定的。</w:t>
      </w:r>
    </w:p>
    <w:p>
      <w:pPr>
        <w:numPr>
          <w:ilvl w:val="1"/>
          <w:numId w:val="30"/>
        </w:numPr>
        <w:tabs>
          <w:tab w:val="left" w:pos="709"/>
          <w:tab w:val="left" w:pos="993"/>
          <w:tab w:val="clear" w:pos="1380"/>
        </w:tabs>
        <w:spacing w:before="156" w:beforeLines="50" w:after="156" w:afterLines="50" w:line="360" w:lineRule="auto"/>
        <w:ind w:left="0" w:firstLine="425"/>
        <w:rPr>
          <w:rFonts w:hint="eastAsia"/>
          <w:b/>
          <w:sz w:val="24"/>
        </w:rPr>
      </w:pPr>
      <w:r>
        <w:rPr>
          <w:rFonts w:hint="eastAsia" w:ascii="SimHei" w:hAnsi="SimHei" w:eastAsia="黑体"/>
          <w:b/>
          <w:sz w:val="24"/>
        </w:rPr>
        <w:t>计算方法</w:t>
      </w:r>
    </w:p>
    <w:p>
      <w:pPr>
        <w:numPr>
          <w:ilvl w:val="0"/>
          <w:numId w:val="33"/>
        </w:numPr>
        <w:tabs>
          <w:tab w:val="left" w:pos="709"/>
        </w:tabs>
        <w:spacing w:line="360" w:lineRule="auto"/>
        <w:rPr>
          <w:rFonts w:hint="eastAsia"/>
          <w:sz w:val="24"/>
        </w:rPr>
      </w:pPr>
      <w:r>
        <w:rPr>
          <w:rFonts w:hint="eastAsia" w:ascii="SimHei" w:hAnsi="SimHei" w:eastAsia="黑体"/>
          <w:sz w:val="24"/>
        </w:rPr>
        <w:t>长期激励收入计算公式</w:t>
      </w:r>
    </w:p>
    <w:p>
      <w:pPr>
        <w:tabs>
          <w:tab w:val="left" w:pos="709"/>
        </w:tabs>
        <w:spacing w:line="360" w:lineRule="auto"/>
        <w:ind w:left="424" w:leftChars="202" w:firstLine="960" w:firstLineChars="400"/>
        <w:rPr>
          <w:rFonts w:hint="eastAsia"/>
          <w:sz w:val="24"/>
        </w:rPr>
      </w:pPr>
      <w:r>
        <w:rPr>
          <w:rFonts w:hint="eastAsia" w:ascii="SimHei" w:hAnsi="SimHei" w:eastAsia="黑体"/>
          <w:sz w:val="24"/>
        </w:rPr>
        <w:t>长期激励收入＝长期奖励基数×长期评价系数×n</w:t>
      </w:r>
    </w:p>
    <w:p>
      <w:pPr>
        <w:tabs>
          <w:tab w:val="left" w:pos="709"/>
        </w:tabs>
        <w:spacing w:line="360" w:lineRule="auto"/>
        <w:ind w:left="425"/>
        <w:rPr>
          <w:rFonts w:hint="eastAsia" w:ascii="宋体" w:hAnsi="宋体"/>
          <w:sz w:val="24"/>
        </w:rPr>
      </w:pPr>
      <w:r>
        <w:rPr>
          <w:rFonts w:hint="eastAsia" w:ascii="SimHei" w:hAnsi="SimHei" w:eastAsia="黑体"/>
          <w:sz w:val="24"/>
        </w:rPr>
        <w:t>其中，n＝考核其的年数；</w:t>
      </w:r>
      <w:r>
        <w:rPr>
          <w:rFonts w:hint="eastAsia" w:ascii="SimHei" w:hAnsi="SimHei" w:eastAsia="黑体"/>
          <w:sz w:val="24"/>
        </w:rPr>
        <w:t>任期不是整数年的用小数表示：</w:t>
      </w:r>
      <w:r>
        <w:rPr>
          <w:rFonts w:hint="eastAsia" w:ascii="SimHei" w:hAnsi="SimHei" w:eastAsia="黑体"/>
          <w:sz w:val="24"/>
        </w:rPr>
        <w:t>n</w:t>
      </w:r>
      <w:r>
        <w:rPr>
          <w:rFonts w:hint="eastAsia" w:ascii="SimHei" w:hAnsi="SimHei" w:eastAsia="黑体"/>
          <w:sz w:val="24"/>
        </w:rPr>
        <w:t>＝任期月数／12。</w:t>
      </w:r>
    </w:p>
    <w:p>
      <w:pPr>
        <w:numPr>
          <w:ilvl w:val="0"/>
          <w:numId w:val="33"/>
        </w:numPr>
        <w:tabs>
          <w:tab w:val="left" w:pos="709"/>
        </w:tabs>
        <w:spacing w:line="360" w:lineRule="auto"/>
        <w:rPr>
          <w:rFonts w:hint="eastAsia"/>
          <w:sz w:val="24"/>
        </w:rPr>
      </w:pPr>
      <w:r>
        <w:rPr>
          <w:rFonts w:hint="eastAsia" w:ascii="SimHei" w:hAnsi="SimHei" w:eastAsia="黑体"/>
          <w:sz w:val="24"/>
        </w:rPr>
        <w:t>长期奖励技术的计算</w:t>
      </w:r>
    </w:p>
    <w:p>
      <w:pPr>
        <w:tabs>
          <w:tab w:val="left" w:pos="1276"/>
        </w:tabs>
        <w:spacing w:line="360" w:lineRule="auto"/>
        <w:ind w:left="424" w:leftChars="202" w:firstLine="960" w:firstLineChars="400"/>
        <w:rPr>
          <w:rFonts w:hint="eastAsia"/>
          <w:sz w:val="24"/>
        </w:rPr>
      </w:pPr>
      <w:r>
        <w:rPr>
          <w:rFonts w:hint="eastAsia" w:ascii="SimHei" w:hAnsi="SimHei" w:eastAsia="黑体"/>
          <w:sz w:val="24"/>
        </w:rPr>
        <w:t>长期奖励基数＝（1／3）×∑（A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w:t>
      </w:r>
    </w:p>
    <w:p>
      <w:pPr>
        <w:tabs>
          <w:tab w:val="left" w:pos="993"/>
        </w:tabs>
        <w:spacing w:line="360" w:lineRule="auto"/>
        <w:ind w:firstLine="480" w:firstLineChars="200"/>
        <w:rPr>
          <w:rFonts w:hint="eastAsia"/>
          <w:sz w:val="24"/>
        </w:rPr>
      </w:pPr>
      <w:r>
        <w:rPr>
          <w:rFonts w:hint="eastAsia" w:ascii="SimHei" w:hAnsi="SimHei" w:eastAsia="黑体"/>
          <w:sz w:val="24"/>
        </w:rPr>
        <w:t>其中，</w:t>
      </w:r>
      <w:r>
        <w:rPr>
          <w:rFonts w:hint="eastAsia" w:ascii="SimHei" w:hAnsi="SimHei" w:eastAsia="黑体"/>
          <w:sz w:val="24"/>
        </w:rPr>
        <w:t>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与年薪实施方案第十三条的含义相同。上述∑（A</w:t>
      </w:r>
      <w:r>
        <w:rPr>
          <w:rFonts w:hint="eastAsia" w:ascii="SimHei" w:hAnsi="SimHei" w:eastAsia="黑体"/>
          <w:sz w:val="24"/>
          <w:vertAlign w:val="subscript"/>
        </w:rPr>
        <w:t>i</w:t>
      </w:r>
      <w:r>
        <w:rPr>
          <w:rFonts w:hint="eastAsia" w:ascii="SimHei" w:hAnsi="SimHei" w:eastAsia="黑体"/>
          <w:sz w:val="24"/>
        </w:rPr>
        <w:t>×B</w:t>
      </w:r>
      <w:r>
        <w:rPr>
          <w:rFonts w:hint="eastAsia" w:ascii="SimHei" w:hAnsi="SimHei" w:eastAsia="黑体"/>
          <w:sz w:val="24"/>
          <w:vertAlign w:val="subscript"/>
        </w:rPr>
        <w:t>i</w:t>
      </w:r>
      <w:r>
        <w:rPr>
          <w:rFonts w:hint="eastAsia" w:ascii="SimHei" w:hAnsi="SimHei" w:eastAsia="黑体"/>
          <w:sz w:val="24"/>
        </w:rPr>
        <w:t>）是以长期应计经营性资产平均增值额A为基础并参照附件2表1的方法计算而得到的。其中，长期应计经营性净资产平均增值额A的计算公式如下：</w:t>
      </w:r>
    </w:p>
    <w:p>
      <w:pPr>
        <w:tabs>
          <w:tab w:val="left" w:pos="993"/>
        </w:tabs>
        <w:spacing w:line="360" w:lineRule="auto"/>
        <w:rPr>
          <w:rFonts w:hint="eastAsia"/>
          <w:sz w:val="24"/>
        </w:rPr>
      </w:pPr>
      <w:r>
        <w:rPr>
          <w:rFonts w:hint="eastAsia" w:ascii="SimHei" w:hAnsi="SimHei" w:eastAsia="黑体"/>
          <w:sz w:val="24"/>
        </w:rPr>
        <w:t>A＝（n年应计经营性净资产增值额合计数－离任审计确定扣减的增值额）／n</w:t>
      </w:r>
    </w:p>
    <w:p>
      <w:pPr>
        <w:numPr>
          <w:ilvl w:val="0"/>
          <w:numId w:val="33"/>
        </w:numPr>
        <w:tabs>
          <w:tab w:val="left" w:pos="709"/>
        </w:tabs>
        <w:spacing w:line="360" w:lineRule="auto"/>
        <w:rPr>
          <w:rFonts w:hint="eastAsia"/>
          <w:sz w:val="24"/>
        </w:rPr>
      </w:pPr>
      <w:r>
        <w:rPr>
          <w:rFonts w:hint="eastAsia" w:ascii="SimHei" w:hAnsi="SimHei" w:eastAsia="黑体"/>
          <w:sz w:val="24"/>
        </w:rPr>
        <w:t>长期评价系数的计算及其方法</w:t>
      </w:r>
    </w:p>
    <w:p>
      <w:pPr>
        <w:tabs>
          <w:tab w:val="left" w:pos="709"/>
        </w:tabs>
        <w:spacing w:line="360" w:lineRule="auto"/>
        <w:ind w:left="425"/>
        <w:rPr>
          <w:rFonts w:hint="eastAsia"/>
          <w:sz w:val="24"/>
        </w:rPr>
      </w:pPr>
      <w:r>
        <w:rPr>
          <w:rFonts w:hint="eastAsia" w:ascii="SimHei" w:hAnsi="SimHei" w:eastAsia="黑体"/>
          <w:sz w:val="24"/>
        </w:rPr>
        <w:t>长期评价系数是由下面的增长系数和综合评价系数确定的。</w:t>
      </w:r>
    </w:p>
    <w:p>
      <w:pPr>
        <w:tabs>
          <w:tab w:val="left" w:pos="709"/>
        </w:tabs>
        <w:spacing w:line="360" w:lineRule="auto"/>
        <w:ind w:left="-2" w:leftChars="-1"/>
        <w:rPr>
          <w:rFonts w:hint="eastAsia" w:ascii="宋体" w:hAnsi="宋体"/>
          <w:sz w:val="24"/>
        </w:rPr>
      </w:pPr>
      <w:r>
        <w:rPr>
          <w:rFonts w:hint="eastAsia" w:ascii="SimHei" w:hAnsi="SimHei" w:eastAsia="黑体"/>
          <w:sz w:val="24"/>
        </w:rPr>
        <w:t>增长系数</w:t>
      </w:r>
      <w:r>
        <w:rPr>
          <w:rFonts w:hint="eastAsia" w:ascii="SimHei" w:hAnsi="SimHei" w:eastAsia="黑体"/>
          <w:sz w:val="24"/>
        </w:rPr>
        <w:t>＝0.6＋10×（调整后年平均净资产收益率－5%）＋3×净资产增长率</w:t>
      </w:r>
    </w:p>
    <w:p>
      <w:pPr>
        <w:tabs>
          <w:tab w:val="left" w:pos="709"/>
        </w:tabs>
        <w:spacing w:line="360" w:lineRule="auto"/>
        <w:ind w:left="-2" w:leftChars="-1"/>
        <w:rPr>
          <w:rFonts w:hint="eastAsia" w:ascii="宋体" w:hAnsi="宋体"/>
          <w:sz w:val="24"/>
        </w:rPr>
      </w:pPr>
      <w:r>
        <w:rPr>
          <w:rFonts w:hint="eastAsia" w:ascii="SimHei" w:hAnsi="SimHei" w:eastAsia="黑体"/>
          <w:sz w:val="24"/>
        </w:rPr>
        <w:t>此系数最大值不超过2。</w:t>
      </w:r>
    </w:p>
    <w:p>
      <w:pPr>
        <w:tabs>
          <w:tab w:val="left" w:pos="709"/>
        </w:tabs>
        <w:spacing w:line="360" w:lineRule="auto"/>
        <w:ind w:left="-2" w:leftChars="-1" w:firstLine="480"/>
        <w:rPr>
          <w:rFonts w:hint="eastAsia" w:ascii="宋体" w:hAnsi="宋体"/>
          <w:sz w:val="24"/>
        </w:rPr>
      </w:pPr>
      <w:r>
        <w:rPr>
          <w:rFonts w:hint="eastAsia" w:ascii="SimHei" w:hAnsi="SimHei" w:eastAsia="黑体"/>
          <w:sz w:val="24"/>
        </w:rPr>
        <w:t>若增长系数≥0，则长期评价系数＝0.2×综合评价系数平均值＋0.8×增长系数；</w:t>
      </w:r>
    </w:p>
    <w:p>
      <w:pPr>
        <w:tabs>
          <w:tab w:val="left" w:pos="709"/>
        </w:tabs>
        <w:spacing w:line="360" w:lineRule="auto"/>
        <w:ind w:left="-2" w:leftChars="-1" w:firstLine="480"/>
        <w:rPr>
          <w:rFonts w:hint="eastAsia" w:ascii="宋体" w:hAnsi="宋体"/>
          <w:sz w:val="24"/>
        </w:rPr>
      </w:pPr>
      <w:r>
        <w:rPr>
          <w:rFonts w:hint="eastAsia" w:ascii="SimHei" w:hAnsi="SimHei" w:eastAsia="黑体"/>
          <w:sz w:val="24"/>
        </w:rPr>
        <w:t>若增长系数＜0，则长期评价系数为0。</w:t>
      </w:r>
    </w:p>
    <w:p>
      <w:pPr>
        <w:tabs>
          <w:tab w:val="left" w:pos="993"/>
        </w:tabs>
        <w:spacing w:line="360" w:lineRule="auto"/>
        <w:rPr>
          <w:rFonts w:hint="eastAsia"/>
          <w:sz w:val="24"/>
        </w:rPr>
      </w:pPr>
      <w:r>
        <w:rPr>
          <w:rFonts w:hint="eastAsia" w:ascii="SimHei" w:hAnsi="SimHei" w:eastAsia="黑体"/>
          <w:sz w:val="24"/>
        </w:rPr>
        <w:t>其中，净资产增值增长率</w:t>
      </w:r>
      <w:r>
        <w:rPr>
          <w:rFonts w:hint="eastAsia" w:ascii="SimHei" w:hAnsi="SimHei" w:eastAsia="黑体"/>
          <w:sz w:val="24"/>
        </w:rPr>
        <w:t>＝（J</w:t>
      </w:r>
      <w:r>
        <w:rPr>
          <w:rFonts w:hint="eastAsia" w:ascii="SimHei" w:hAnsi="SimHei" w:eastAsia="黑体"/>
          <w:sz w:val="24"/>
          <w:vertAlign w:val="subscript"/>
        </w:rPr>
        <w:t>n</w:t>
      </w:r>
      <w:r>
        <w:rPr>
          <w:rFonts w:hint="eastAsia" w:ascii="SimHei" w:hAnsi="SimHei" w:eastAsia="黑体"/>
          <w:sz w:val="24"/>
        </w:rPr>
        <w:t>－J</w:t>
      </w:r>
      <w:r>
        <w:rPr>
          <w:rFonts w:hint="eastAsia" w:ascii="SimHei" w:hAnsi="SimHei" w:eastAsia="黑体"/>
          <w:sz w:val="24"/>
          <w:vertAlign w:val="subscript"/>
        </w:rPr>
        <w:t>1</w:t>
      </w:r>
      <w:r>
        <w:rPr>
          <w:rFonts w:hint="eastAsia" w:ascii="SimHei" w:hAnsi="SimHei" w:eastAsia="黑体"/>
          <w:sz w:val="24"/>
        </w:rPr>
        <w:t>）／（n－1）／应计经营性净资产平均增值额。 J</w:t>
      </w:r>
      <w:r>
        <w:rPr>
          <w:rFonts w:hint="eastAsia" w:ascii="SimHei" w:hAnsi="SimHei" w:eastAsia="黑体"/>
          <w:sz w:val="24"/>
          <w:vertAlign w:val="subscript"/>
        </w:rPr>
        <w:t>n</w:t>
      </w:r>
      <w:r>
        <w:rPr>
          <w:rFonts w:hint="eastAsia" w:ascii="SimHei" w:hAnsi="SimHei" w:eastAsia="黑体"/>
          <w:sz w:val="24"/>
        </w:rPr>
        <w:t>＝考核期第n年的应计经营性净资产增值额－离任审计确定扣减的增值额；J</w:t>
      </w:r>
      <w:r>
        <w:rPr>
          <w:rFonts w:hint="eastAsia" w:ascii="SimHei" w:hAnsi="SimHei" w:eastAsia="黑体"/>
          <w:sz w:val="24"/>
          <w:vertAlign w:val="subscript"/>
        </w:rPr>
        <w:t>1</w:t>
      </w:r>
      <w:r>
        <w:rPr>
          <w:rFonts w:hint="eastAsia" w:ascii="SimHei" w:hAnsi="SimHei" w:eastAsia="黑体"/>
          <w:sz w:val="24"/>
        </w:rPr>
        <w:t>＝考核期第1年的应计经营性净资产增值额</w:t>
      </w:r>
    </w:p>
    <w:p>
      <w:pPr>
        <w:numPr>
          <w:ilvl w:val="1"/>
          <w:numId w:val="30"/>
        </w:numPr>
        <w:tabs>
          <w:tab w:val="left" w:pos="709"/>
          <w:tab w:val="left" w:pos="993"/>
          <w:tab w:val="clear" w:pos="1380"/>
        </w:tabs>
        <w:spacing w:before="156" w:beforeLines="50" w:after="156" w:afterLines="50" w:line="360" w:lineRule="auto"/>
        <w:ind w:left="0" w:firstLine="425"/>
        <w:rPr>
          <w:rFonts w:hint="eastAsia"/>
          <w:b/>
          <w:sz w:val="24"/>
        </w:rPr>
      </w:pPr>
      <w:r>
        <w:rPr>
          <w:rFonts w:hint="eastAsia" w:ascii="SimHei" w:hAnsi="SimHei" w:eastAsia="黑体"/>
          <w:b/>
          <w:sz w:val="24"/>
        </w:rPr>
        <w:t>离任审计惩罚力度与长期激励收入对比分析</w:t>
      </w:r>
    </w:p>
    <w:p>
      <w:pPr>
        <w:tabs>
          <w:tab w:val="left" w:pos="709"/>
        </w:tabs>
        <w:spacing w:line="360" w:lineRule="auto"/>
        <w:ind w:firstLine="480"/>
        <w:rPr>
          <w:rFonts w:hint="eastAsia" w:ascii="宋体" w:hAnsi="宋体"/>
          <w:sz w:val="24"/>
        </w:rPr>
      </w:pPr>
      <w:r>
        <w:rPr>
          <w:rFonts w:hint="eastAsia" w:ascii="SimHei" w:hAnsi="SimHei" w:eastAsia="黑体"/>
          <w:sz w:val="24"/>
        </w:rPr>
        <w:t>根据年薪制方案第二十四条规定，根据离任审计的结果，若有需要扣减的增值额，按其确定扣减的增值额的3%作为挂账年薪冲减经营者的风险基金。主要是为了避免企业经营者在平时隐瞒不良资产，鼓励经营者平时比较准确地处理企业的不良资产。</w:t>
      </w:r>
    </w:p>
    <w:p>
      <w:pPr>
        <w:pStyle w:val="2"/>
        <w:spacing w:beforeLines="0" w:afterLines="0"/>
        <w:rPr>
          <w:rFonts w:hint="eastAsia"/>
        </w:rPr>
      </w:pPr>
      <w:r>
        <w:rPr>
          <w:rFonts w:hAnsi="SimHei" w:ascii="SimHei" w:eastAsia="黑体"/>
          <w:sz w:val="24"/>
        </w:rPr>
      </w:r>
      <w:bookmarkStart w:id="32" w:name="_Toc81283111"/>
      <w:r>
        <w:rPr>
          <w:rFonts w:hint="eastAsia" w:ascii="SimHei" w:hAnsi="SimHei" w:eastAsia="黑体"/>
        </w:rPr>
        <w:t>附件4：</w:t>
      </w:r>
      <w:bookmarkStart w:id="33" w:name="_Hlt81282216"/>
      <w:bookmarkEnd w:id="33"/>
      <w:r>
        <w:rPr>
          <w:rFonts w:hint="eastAsia" w:ascii="SimHei" w:hAnsi="SimHei" w:eastAsia="黑体"/>
        </w:rPr>
        <w:t>考核实施细则</w:t>
      </w:r>
      <w:bookmarkEnd w:id="32"/>
    </w:p>
    <w:p>
      <w:pPr>
        <w:numPr>
          <w:ilvl w:val="1"/>
          <w:numId w:val="32"/>
        </w:numPr>
        <w:tabs>
          <w:tab w:val="left" w:pos="709"/>
        </w:tabs>
        <w:spacing w:before="156" w:beforeLines="50" w:after="156" w:afterLines="50" w:line="360" w:lineRule="auto"/>
        <w:jc w:val="center"/>
        <w:rPr>
          <w:rFonts w:hint="eastAsia" w:ascii="宋体" w:hAnsi="宋体"/>
          <w:b/>
          <w:sz w:val="28"/>
          <w:szCs w:val="30"/>
        </w:rPr>
      </w:pPr>
      <w:r>
        <w:rPr>
          <w:rFonts w:hint="eastAsia" w:ascii="SimHei" w:hAnsi="SimHei" w:eastAsia="黑体"/>
          <w:b/>
          <w:sz w:val="28"/>
          <w:szCs w:val="30"/>
        </w:rPr>
        <w:t>总则</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本实施细则对纳入年薪制考核范围的本公司全资及控股公司经营者的年薪及其有关的年度审核及离任审计提出具体要求，以便为年薪制及其配套措施所涉及的业绩考核等提供可靠、详实的依据。</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在审计的过程中，除按常规审计要求对会计报表的合法性、公允性和会计处理方法的一致性发表审计意见外，还应就实行年薪制及其配套措施（包括基本年薪、效益年薪、长期激励收入等）所涉及的财务指标予以审核并加以必要的披露。如果企业属于董事长和总经理分设的，其总经理由所在企业的董事会依据审计结果进行考核，同时强调对这类企业的审计报告必须披露董事长和总经理之间的分工和责任以及有关的业务事项。</w:t>
      </w:r>
    </w:p>
    <w:p>
      <w:pPr>
        <w:numPr>
          <w:ilvl w:val="1"/>
          <w:numId w:val="32"/>
        </w:numPr>
        <w:tabs>
          <w:tab w:val="left" w:pos="709"/>
        </w:tabs>
        <w:spacing w:before="156" w:beforeLines="50" w:after="156" w:afterLines="50" w:line="360" w:lineRule="auto"/>
        <w:jc w:val="center"/>
        <w:rPr>
          <w:rFonts w:hint="eastAsia" w:ascii="宋体" w:hAnsi="宋体"/>
          <w:b/>
          <w:sz w:val="28"/>
          <w:szCs w:val="30"/>
        </w:rPr>
      </w:pPr>
      <w:r>
        <w:rPr>
          <w:rFonts w:hint="eastAsia" w:ascii="SimHei" w:hAnsi="SimHei" w:eastAsia="黑体"/>
          <w:b/>
          <w:sz w:val="28"/>
          <w:szCs w:val="30"/>
        </w:rPr>
        <w:t>年度审核与年度考核</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经营者年薪的确定以年度审计报告及其附送的财务报表（包括应调整的不良资产）为主要依据。</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在审计的过程中，对年薪计算所利用的会计报表数据应特别关注，如总资产、净资产、主营业务收入、主营业务利润、存货、应收账款、经营活动产生的现金流量净额以及当期形成不良资产处理情况等。</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在审计的过程中，对年薪制所涉及的会计报表之外的有关数据应予以审核并披露。具体参见第六条和第七条。</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应审核企业工资表及纳税申报表以确认企业在职职工人数（包括正式工和合同工，离退人员及临时工除外），并披露人员的变动情况。</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应审核企业年度内的纳税缴款书，统计全年实缴税款情况，并加以披露。</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在审计过程中，应对年薪制执行过程中考虑的特殊情况加以关注及披露。具体参见第九条至第十三条。</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在审计的过程中，应区分经营性与非经营性净资产增减值，并加以披露。经营性净资产增减值指企业通过正常的生产经营活动确认的净资产增减值；非经营性净资产增减值指企业通过除正常生产经营活动以外的其他活动所确认的净资产增减值，包括资本交易及非常损益等。非经营性净资产增减值包括：</w:t>
      </w:r>
    </w:p>
    <w:p>
      <w:pPr>
        <w:numPr>
          <w:ilvl w:val="0"/>
          <w:numId w:val="35"/>
        </w:numPr>
        <w:tabs>
          <w:tab w:val="left" w:pos="709"/>
        </w:tabs>
        <w:spacing w:line="360" w:lineRule="auto"/>
        <w:rPr>
          <w:rFonts w:hint="eastAsia" w:ascii="宋体" w:hAnsi="宋体"/>
          <w:sz w:val="24"/>
        </w:rPr>
      </w:pPr>
      <w:r>
        <w:rPr>
          <w:rFonts w:hint="eastAsia" w:ascii="SimHei" w:hAnsi="SimHei" w:eastAsia="黑体"/>
          <w:sz w:val="24"/>
        </w:rPr>
        <w:t>资产评估增减值</w:t>
      </w:r>
    </w:p>
    <w:p>
      <w:pPr>
        <w:numPr>
          <w:ilvl w:val="0"/>
          <w:numId w:val="35"/>
        </w:numPr>
        <w:tabs>
          <w:tab w:val="left" w:pos="709"/>
        </w:tabs>
        <w:spacing w:line="360" w:lineRule="auto"/>
        <w:rPr>
          <w:rFonts w:hint="eastAsia" w:ascii="宋体" w:hAnsi="宋体"/>
          <w:sz w:val="24"/>
        </w:rPr>
      </w:pPr>
      <w:r>
        <w:rPr>
          <w:rFonts w:hint="eastAsia" w:ascii="SimHei" w:hAnsi="SimHei" w:eastAsia="黑体"/>
          <w:sz w:val="24"/>
        </w:rPr>
        <w:t>接受捐赠的资本</w:t>
      </w:r>
    </w:p>
    <w:p>
      <w:pPr>
        <w:numPr>
          <w:ilvl w:val="0"/>
          <w:numId w:val="35"/>
        </w:numPr>
        <w:tabs>
          <w:tab w:val="left" w:pos="709"/>
        </w:tabs>
        <w:spacing w:line="360" w:lineRule="auto"/>
        <w:rPr>
          <w:rFonts w:hint="eastAsia" w:ascii="宋体" w:hAnsi="宋体"/>
          <w:sz w:val="24"/>
        </w:rPr>
      </w:pPr>
      <w:r>
        <w:rPr>
          <w:rFonts w:hint="eastAsia" w:ascii="SimHei" w:hAnsi="SimHei" w:eastAsia="黑体"/>
          <w:sz w:val="24"/>
        </w:rPr>
        <w:t>股东增加投入的资本</w:t>
      </w:r>
    </w:p>
    <w:p>
      <w:pPr>
        <w:numPr>
          <w:ilvl w:val="0"/>
          <w:numId w:val="35"/>
        </w:numPr>
        <w:tabs>
          <w:tab w:val="left" w:pos="709"/>
        </w:tabs>
        <w:spacing w:line="360" w:lineRule="auto"/>
        <w:rPr>
          <w:rFonts w:hint="eastAsia" w:ascii="宋体" w:hAnsi="宋体"/>
          <w:sz w:val="24"/>
        </w:rPr>
      </w:pPr>
      <w:r>
        <w:rPr>
          <w:rFonts w:hint="eastAsia" w:ascii="SimHei" w:hAnsi="SimHei" w:eastAsia="黑体"/>
          <w:sz w:val="24"/>
        </w:rPr>
        <w:t>收购兼并企业所产生的净资产增值（并购日被兼并企业的净资产价值）</w:t>
      </w:r>
    </w:p>
    <w:p>
      <w:pPr>
        <w:numPr>
          <w:ilvl w:val="0"/>
          <w:numId w:val="35"/>
        </w:numPr>
        <w:tabs>
          <w:tab w:val="left" w:pos="709"/>
        </w:tabs>
        <w:spacing w:line="360" w:lineRule="auto"/>
        <w:rPr>
          <w:rFonts w:hint="eastAsia" w:ascii="宋体" w:hAnsi="宋体"/>
          <w:sz w:val="24"/>
        </w:rPr>
      </w:pPr>
      <w:r>
        <w:rPr>
          <w:rFonts w:hint="eastAsia" w:ascii="SimHei" w:hAnsi="SimHei" w:eastAsia="黑体"/>
          <w:sz w:val="24"/>
        </w:rPr>
        <w:t>其他（其中非常损益见第十条）</w:t>
      </w:r>
    </w:p>
    <w:p>
      <w:pPr>
        <w:numPr>
          <w:ilvl w:val="0"/>
          <w:numId w:val="34"/>
        </w:numPr>
        <w:tabs>
          <w:tab w:val="left" w:pos="709"/>
          <w:tab w:val="left" w:pos="1560"/>
        </w:tabs>
        <w:spacing w:line="360" w:lineRule="auto"/>
        <w:ind w:left="0" w:firstLine="566"/>
        <w:rPr>
          <w:rFonts w:hint="eastAsia" w:ascii="宋体" w:hAnsi="宋体"/>
          <w:sz w:val="24"/>
        </w:rPr>
      </w:pPr>
      <w:r>
        <w:rPr>
          <w:rFonts w:hint="eastAsia" w:ascii="SimHei" w:hAnsi="SimHei" w:eastAsia="黑体"/>
          <w:sz w:val="24"/>
        </w:rPr>
        <w:t>为鼓励企业收购和兼并，分两种情况给予奖励：（1）被收购兼并的企业属于公司控股的或全资的，按并购日被兼并企业的净资产价值的1%计算特别奖励；（2）被收购兼并的企业属本公司以外的，按并购日被兼并企业的净资产价值的1.5%计算特别奖励；其特别奖励视同效益年薪支付给经营者。但上述被兼并企业的净资产价值不计入应计经营性净资产增值额。</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在审计的过程中，应关注并披露企业当年的利润中的非常损益。非常损益是指非企业经营者所能控制的事件产生的损益或具有较大偶然性、不会经常重复发生的其他损益，包括：</w:t>
      </w:r>
    </w:p>
    <w:p>
      <w:pPr>
        <w:numPr>
          <w:ilvl w:val="0"/>
          <w:numId w:val="36"/>
        </w:numPr>
        <w:tabs>
          <w:tab w:val="left" w:pos="709"/>
        </w:tabs>
        <w:spacing w:line="360" w:lineRule="auto"/>
        <w:rPr>
          <w:rFonts w:hint="eastAsia" w:ascii="宋体" w:hAnsi="宋体"/>
          <w:sz w:val="24"/>
        </w:rPr>
      </w:pPr>
      <w:r>
        <w:rPr>
          <w:rFonts w:hint="eastAsia" w:ascii="SimHei" w:hAnsi="SimHei" w:eastAsia="黑体"/>
          <w:sz w:val="24"/>
        </w:rPr>
        <w:t>政府补贴收入（指非费用性补贴）</w:t>
      </w:r>
    </w:p>
    <w:p>
      <w:pPr>
        <w:numPr>
          <w:ilvl w:val="0"/>
          <w:numId w:val="36"/>
        </w:numPr>
        <w:tabs>
          <w:tab w:val="left" w:pos="709"/>
        </w:tabs>
        <w:spacing w:line="360" w:lineRule="auto"/>
        <w:rPr>
          <w:rFonts w:hint="eastAsia" w:ascii="宋体" w:hAnsi="宋体"/>
          <w:sz w:val="24"/>
        </w:rPr>
      </w:pPr>
      <w:r>
        <w:rPr>
          <w:rFonts w:hint="eastAsia" w:ascii="SimHei" w:hAnsi="SimHei" w:eastAsia="黑体"/>
          <w:sz w:val="24"/>
        </w:rPr>
        <w:t>自然灾害等不可抗力引起的损益</w:t>
      </w:r>
    </w:p>
    <w:p>
      <w:pPr>
        <w:numPr>
          <w:ilvl w:val="0"/>
          <w:numId w:val="36"/>
        </w:numPr>
        <w:tabs>
          <w:tab w:val="left" w:pos="709"/>
        </w:tabs>
        <w:spacing w:line="360" w:lineRule="auto"/>
        <w:rPr>
          <w:rFonts w:hint="eastAsia" w:ascii="宋体" w:hAnsi="宋体"/>
          <w:sz w:val="24"/>
        </w:rPr>
      </w:pPr>
      <w:r>
        <w:rPr>
          <w:rFonts w:hint="eastAsia" w:ascii="SimHei" w:hAnsi="SimHei" w:eastAsia="黑体"/>
          <w:sz w:val="24"/>
        </w:rPr>
        <w:t>出售具有独立生产能力的生产部门或设备产生的损益</w:t>
      </w:r>
    </w:p>
    <w:p>
      <w:pPr>
        <w:numPr>
          <w:ilvl w:val="0"/>
          <w:numId w:val="36"/>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的过程中，应关注并披露企业对历史遗留问题的处理情况（包括前任经营者离任审计确认的不良资产和前任经营者任期内发生的交易或是想在本任期内达到不良资产标准的资产），包括处理的内容、时间、方法及结果。</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在审计的过程中，应关注并披露本期间内是否有新增的不良资产和未入账的损失及费用。不良资产和未入账或潜在的损失及费用构成如下：</w:t>
      </w:r>
    </w:p>
    <w:p>
      <w:pPr>
        <w:numPr>
          <w:ilvl w:val="0"/>
          <w:numId w:val="37"/>
        </w:numPr>
        <w:tabs>
          <w:tab w:val="left" w:pos="709"/>
        </w:tabs>
        <w:spacing w:line="360" w:lineRule="auto"/>
        <w:rPr>
          <w:rFonts w:hint="eastAsia" w:ascii="宋体" w:hAnsi="宋体"/>
          <w:sz w:val="24"/>
        </w:rPr>
      </w:pPr>
      <w:r>
        <w:rPr>
          <w:rFonts w:hint="eastAsia" w:ascii="SimHei" w:hAnsi="SimHei" w:eastAsia="黑体"/>
          <w:sz w:val="24"/>
        </w:rPr>
        <w:t>不良资产</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赊账三年以上（含三年，以下类同）的应收款项</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积压三年或滞销、销毁和变质的存货</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连续三年及以上为盈利的长期投资</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丧失生产能力或功能过失闲置三年以上的固定资产</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待处理流动资产净损失和待处理固定资产净损失</w:t>
      </w:r>
    </w:p>
    <w:p>
      <w:pPr>
        <w:numPr>
          <w:ilvl w:val="0"/>
          <w:numId w:val="38"/>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37"/>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39"/>
        </w:numPr>
        <w:tabs>
          <w:tab w:val="left" w:pos="709"/>
        </w:tabs>
        <w:spacing w:line="360" w:lineRule="auto"/>
        <w:rPr>
          <w:rFonts w:hint="eastAsia" w:ascii="宋体" w:hAnsi="宋体"/>
          <w:sz w:val="24"/>
        </w:rPr>
      </w:pPr>
      <w:r>
        <w:rPr>
          <w:rFonts w:hint="eastAsia" w:ascii="SimHei" w:hAnsi="SimHei" w:eastAsia="黑体"/>
          <w:sz w:val="24"/>
        </w:rPr>
        <w:t>对外担保而承担连带赔偿责任</w:t>
      </w:r>
    </w:p>
    <w:p>
      <w:pPr>
        <w:numPr>
          <w:ilvl w:val="0"/>
          <w:numId w:val="39"/>
        </w:numPr>
        <w:tabs>
          <w:tab w:val="left" w:pos="709"/>
        </w:tabs>
        <w:spacing w:line="360" w:lineRule="auto"/>
        <w:rPr>
          <w:rFonts w:hint="eastAsia" w:ascii="宋体" w:hAnsi="宋体"/>
          <w:sz w:val="24"/>
        </w:rPr>
      </w:pPr>
      <w:r>
        <w:rPr>
          <w:rFonts w:hint="eastAsia" w:ascii="SimHei" w:hAnsi="SimHei" w:eastAsia="黑体"/>
          <w:sz w:val="24"/>
        </w:rPr>
        <w:t>败诉赔偿</w:t>
      </w:r>
    </w:p>
    <w:p>
      <w:pPr>
        <w:numPr>
          <w:ilvl w:val="0"/>
          <w:numId w:val="39"/>
        </w:numPr>
        <w:tabs>
          <w:tab w:val="left" w:pos="709"/>
        </w:tabs>
        <w:spacing w:line="360" w:lineRule="auto"/>
        <w:rPr>
          <w:rFonts w:hint="eastAsia" w:ascii="宋体" w:hAnsi="宋体"/>
          <w:sz w:val="24"/>
        </w:rPr>
      </w:pPr>
      <w:r>
        <w:rPr>
          <w:rFonts w:hint="eastAsia" w:ascii="SimHei" w:hAnsi="SimHei" w:eastAsia="黑体"/>
          <w:sz w:val="24"/>
        </w:rPr>
        <w:t>未履行的法定义务，如按有关规定应缴未缴的社会保险</w:t>
      </w:r>
    </w:p>
    <w:p>
      <w:pPr>
        <w:numPr>
          <w:ilvl w:val="0"/>
          <w:numId w:val="39"/>
        </w:numPr>
        <w:tabs>
          <w:tab w:val="left" w:pos="709"/>
        </w:tabs>
        <w:spacing w:line="360" w:lineRule="auto"/>
        <w:rPr>
          <w:rFonts w:hint="eastAsia" w:ascii="宋体" w:hAnsi="宋体"/>
          <w:sz w:val="24"/>
        </w:rPr>
      </w:pPr>
      <w:r>
        <w:rPr>
          <w:rFonts w:hint="eastAsia" w:ascii="SimHei" w:hAnsi="SimHei" w:eastAsia="黑体"/>
          <w:sz w:val="24"/>
        </w:rPr>
        <w:t>抵押合同的履行状况</w:t>
      </w:r>
    </w:p>
    <w:p>
      <w:pPr>
        <w:numPr>
          <w:ilvl w:val="0"/>
          <w:numId w:val="39"/>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过程中，应关注会计政策变更，包括存货几家方法的变更、固定资产折旧方法的变更、投资核算方法的变更等。同时应披露变更的原因、内容、变更的累积影响（净利润、净资产等项目）。对于无法确认累积影响的事项应说明原因。</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在审计过程中，应就年薪制配套措施的有关事项加以关注，并发表单独的审计结论。</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在审计过程中，应取得并审核企业社会保险申请表，就企业为经营者提取并代为支付的社会保险的数额、是否违背有关规定加以披露，并发表单独的审计结论。</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在审计过程中，应审查并披露经营者从企业扩取得收入情况，关注是否存在除年薪制规定外的其他收入。</w:t>
      </w:r>
    </w:p>
    <w:p>
      <w:pPr>
        <w:numPr>
          <w:ilvl w:val="1"/>
          <w:numId w:val="32"/>
        </w:numPr>
        <w:tabs>
          <w:tab w:val="left" w:pos="709"/>
        </w:tabs>
        <w:spacing w:before="156" w:beforeLines="50" w:after="156" w:afterLines="50" w:line="360" w:lineRule="auto"/>
        <w:jc w:val="center"/>
        <w:rPr>
          <w:rFonts w:hint="eastAsia" w:ascii="宋体" w:hAnsi="宋体"/>
          <w:b/>
          <w:sz w:val="28"/>
          <w:szCs w:val="30"/>
        </w:rPr>
      </w:pPr>
      <w:r>
        <w:rPr>
          <w:rFonts w:hint="eastAsia" w:ascii="SimHei" w:hAnsi="SimHei" w:eastAsia="黑体"/>
          <w:b/>
          <w:sz w:val="28"/>
          <w:szCs w:val="30"/>
        </w:rPr>
        <w:t>基薪与效益年薪扣罚</w:t>
      </w:r>
    </w:p>
    <w:p>
      <w:pPr>
        <w:numPr>
          <w:ilvl w:val="0"/>
          <w:numId w:val="34"/>
        </w:numPr>
        <w:tabs>
          <w:tab w:val="left" w:pos="709"/>
          <w:tab w:val="left" w:pos="1701"/>
        </w:tabs>
        <w:spacing w:line="360" w:lineRule="auto"/>
        <w:rPr>
          <w:rFonts w:hint="eastAsia" w:ascii="宋体" w:hAnsi="宋体"/>
          <w:sz w:val="24"/>
        </w:rPr>
      </w:pPr>
      <w:r>
        <w:rPr>
          <w:rFonts w:hint="eastAsia" w:ascii="SimHei" w:hAnsi="SimHei" w:eastAsia="黑体"/>
          <w:sz w:val="24"/>
        </w:rPr>
        <w:t>基本年薪的扣罚</w:t>
      </w:r>
    </w:p>
    <w:p>
      <w:pPr>
        <w:tabs>
          <w:tab w:val="left" w:pos="709"/>
        </w:tabs>
        <w:spacing w:line="360" w:lineRule="auto"/>
        <w:ind w:firstLine="480"/>
        <w:rPr>
          <w:rFonts w:hint="eastAsia" w:ascii="宋体" w:hAnsi="宋体"/>
          <w:sz w:val="24"/>
        </w:rPr>
      </w:pPr>
      <w:r>
        <w:rPr>
          <w:rFonts w:hint="eastAsia" w:ascii="SimHei" w:hAnsi="SimHei" w:eastAsia="黑体"/>
          <w:sz w:val="24"/>
        </w:rPr>
        <w:t>基本年薪确定后，基本年薪一般不再进行扣减，但发生以下情况，由本公司薪酬委员会根据情节严重程度予以扣罚：</w:t>
      </w:r>
    </w:p>
    <w:p>
      <w:pPr>
        <w:numPr>
          <w:ilvl w:val="0"/>
          <w:numId w:val="40"/>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由于经营不善，考核年度内企业经营性净资产减值额超过起初净资产的20%以上，或在任期内累积经营性净资产减值额超过任期初净资产40%。按减值额参照效益年薪计算挂账年薪，并按有关的聘约条款和董事会决定扣罚基本年薪。</w:t>
      </w:r>
    </w:p>
    <w:p>
      <w:pPr>
        <w:numPr>
          <w:ilvl w:val="0"/>
          <w:numId w:val="40"/>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由于经营者失职，企业发生违纪违法事项、重大质量和安全事故（违纪违法事项、重大质量和安全事故由公司薪酬委员会根据事实和有关规定裁定）。</w:t>
      </w:r>
    </w:p>
    <w:p>
      <w:pPr>
        <w:numPr>
          <w:ilvl w:val="0"/>
          <w:numId w:val="40"/>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若在确定基本年薪过程中，企业提供了失实资料，本公司除有权修改本考核期内的基本年薪外，还将追溯前期多计发的基本年薪，从下期年薪中扣减，并在扣减时书面通知经营者。</w:t>
      </w:r>
    </w:p>
    <w:p>
      <w:pPr>
        <w:numPr>
          <w:ilvl w:val="0"/>
          <w:numId w:val="40"/>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经本公司薪酬委员会考核后发现的其他重大问题。</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效益年薪的扣罚规定</w:t>
      </w:r>
    </w:p>
    <w:p>
      <w:pPr>
        <w:tabs>
          <w:tab w:val="left" w:pos="709"/>
        </w:tabs>
        <w:spacing w:line="360" w:lineRule="auto"/>
        <w:ind w:firstLine="480"/>
        <w:rPr>
          <w:rFonts w:hint="eastAsia" w:ascii="宋体" w:hAnsi="宋体"/>
          <w:sz w:val="24"/>
        </w:rPr>
      </w:pPr>
      <w:r>
        <w:rPr>
          <w:rFonts w:hint="eastAsia" w:ascii="SimHei" w:hAnsi="SimHei" w:eastAsia="黑体"/>
          <w:sz w:val="24"/>
        </w:rPr>
        <w:t>效益年薪确定后一般按规定兑现，但若发生以下情况，由本公司根据情况扣罚：</w:t>
      </w:r>
    </w:p>
    <w:p>
      <w:pPr>
        <w:numPr>
          <w:ilvl w:val="0"/>
          <w:numId w:val="41"/>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若审计过程中发现前期效益年薪的核定采用失实的资料或计算错误，应重新核定前期多计发的效益年薪，从以后年度的年薪中直接扣减，并书面通知经营者。</w:t>
      </w:r>
    </w:p>
    <w:p>
      <w:pPr>
        <w:numPr>
          <w:ilvl w:val="0"/>
          <w:numId w:val="41"/>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对蓄意伪造、篡改效益年薪考核资料的，本公司将从以后年度的年薪中加倍扣减前期多计发的效益年薪；情节严重者，本公司保留进一步处罚的权力。</w:t>
      </w:r>
    </w:p>
    <w:p>
      <w:pPr>
        <w:numPr>
          <w:ilvl w:val="0"/>
          <w:numId w:val="41"/>
        </w:numPr>
        <w:tabs>
          <w:tab w:val="left" w:pos="709"/>
          <w:tab w:val="left" w:pos="851"/>
          <w:tab w:val="clear" w:pos="1320"/>
        </w:tabs>
        <w:spacing w:line="360" w:lineRule="auto"/>
        <w:ind w:left="0" w:firstLine="480"/>
        <w:rPr>
          <w:rFonts w:hint="eastAsia" w:ascii="宋体" w:hAnsi="宋体"/>
          <w:sz w:val="24"/>
        </w:rPr>
      </w:pPr>
      <w:r>
        <w:rPr>
          <w:rFonts w:hint="eastAsia" w:ascii="SimHei" w:hAnsi="SimHei" w:eastAsia="黑体"/>
          <w:sz w:val="24"/>
        </w:rPr>
        <w:t>本公司经考核后发现的其他重大问题。</w:t>
      </w:r>
    </w:p>
    <w:p>
      <w:pPr>
        <w:numPr>
          <w:ilvl w:val="1"/>
          <w:numId w:val="32"/>
        </w:numPr>
        <w:tabs>
          <w:tab w:val="left" w:pos="709"/>
        </w:tabs>
        <w:spacing w:before="156" w:beforeLines="50" w:after="156" w:afterLines="50" w:line="360" w:lineRule="auto"/>
        <w:jc w:val="center"/>
        <w:rPr>
          <w:rFonts w:hint="eastAsia" w:ascii="宋体" w:hAnsi="宋体"/>
          <w:b/>
          <w:sz w:val="28"/>
          <w:szCs w:val="30"/>
        </w:rPr>
      </w:pPr>
      <w:r>
        <w:rPr>
          <w:rFonts w:hint="eastAsia" w:ascii="SimHei" w:hAnsi="SimHei" w:eastAsia="黑体"/>
          <w:b/>
          <w:sz w:val="28"/>
          <w:szCs w:val="30"/>
        </w:rPr>
        <w:t>离任审计</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经营者离任时，由</w:t>
      </w:r>
      <w:r>
        <w:rPr>
          <w:rFonts w:hint="eastAsia" w:ascii="SimHei" w:hAnsi="SimHei" w:eastAsia="黑体"/>
          <w:sz w:val="24"/>
          <w:lang w:eastAsia="zh-CN"/>
        </w:rPr>
        <w:t>_____</w:t>
      </w:r>
      <w:r>
        <w:rPr>
          <w:rFonts w:hint="eastAsia" w:ascii="SimHei" w:hAnsi="SimHei" w:eastAsia="黑体"/>
          <w:sz w:val="24"/>
        </w:rPr>
        <w:t>控股稽核审计部或由</w:t>
      </w:r>
      <w:r>
        <w:rPr>
          <w:rFonts w:hint="eastAsia" w:ascii="SimHei" w:hAnsi="SimHei" w:eastAsia="黑体"/>
          <w:sz w:val="24"/>
          <w:lang w:eastAsia="zh-CN"/>
        </w:rPr>
        <w:t>_____</w:t>
      </w:r>
      <w:r>
        <w:rPr>
          <w:rFonts w:hint="eastAsia" w:ascii="SimHei" w:hAnsi="SimHei" w:eastAsia="黑体"/>
          <w:sz w:val="24"/>
        </w:rPr>
        <w:t>控股委托会计师事务所等中介机构进行离任审计，对经营者任期内的业绩进行客观、全面的评价，明确经济责任。</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离任审计中若发现以前年度经营者业绩的评定依赖了失实的资料（见第二十二条的规定），将重新计算失实当年的年薪以及任期内的效益年薪，多计发的年薪和效益年薪从经营者离任当年的年薪中扣减，不足部分从风险基金中扣减，若风险基金还不足扣减，则按本细则的第二十九条至第三十一条处理。</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“失实的资料”是指以下几种情况：</w:t>
      </w:r>
    </w:p>
    <w:p>
      <w:pPr>
        <w:numPr>
          <w:ilvl w:val="0"/>
          <w:numId w:val="42"/>
        </w:numPr>
        <w:tabs>
          <w:tab w:val="left" w:pos="709"/>
        </w:tabs>
        <w:spacing w:line="360" w:lineRule="auto"/>
        <w:rPr>
          <w:rFonts w:hint="eastAsia" w:ascii="宋体" w:hAnsi="宋体"/>
          <w:sz w:val="24"/>
        </w:rPr>
      </w:pPr>
      <w:r>
        <w:rPr>
          <w:rFonts w:hint="eastAsia" w:ascii="SimHei" w:hAnsi="SimHei" w:eastAsia="黑体"/>
          <w:sz w:val="24"/>
        </w:rPr>
        <w:t>未披露如下不良资产</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账龄三年以上（含三年，以下类同）的应收款项</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积压三年以上或滞销、销毁的存货</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连续三年以上未盈利的长期投资</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丧失生产能力、功能过时或闲置三年以上的固定资产</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待处理流动资产净损失和待处理固定资产净损失</w:t>
      </w:r>
    </w:p>
    <w:p>
      <w:pPr>
        <w:numPr>
          <w:ilvl w:val="0"/>
          <w:numId w:val="43"/>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42"/>
        </w:numPr>
        <w:tabs>
          <w:tab w:val="left" w:pos="709"/>
        </w:tabs>
        <w:spacing w:line="360" w:lineRule="auto"/>
        <w:rPr>
          <w:rFonts w:hint="eastAsia" w:ascii="宋体" w:hAnsi="宋体"/>
          <w:sz w:val="24"/>
        </w:rPr>
      </w:pPr>
      <w:r>
        <w:rPr>
          <w:rFonts w:hint="eastAsia" w:ascii="SimHei" w:hAnsi="SimHei" w:eastAsia="黑体"/>
          <w:sz w:val="24"/>
        </w:rPr>
        <w:t>未入账的费用和损失</w:t>
      </w:r>
    </w:p>
    <w:p>
      <w:pPr>
        <w:numPr>
          <w:ilvl w:val="0"/>
          <w:numId w:val="44"/>
        </w:numPr>
        <w:tabs>
          <w:tab w:val="left" w:pos="709"/>
        </w:tabs>
        <w:spacing w:line="360" w:lineRule="auto"/>
        <w:rPr>
          <w:rFonts w:hint="eastAsia" w:ascii="宋体" w:hAnsi="宋体"/>
          <w:sz w:val="24"/>
        </w:rPr>
      </w:pPr>
      <w:r>
        <w:rPr>
          <w:rFonts w:hint="eastAsia" w:ascii="SimHei" w:hAnsi="SimHei" w:eastAsia="黑体"/>
          <w:sz w:val="24"/>
        </w:rPr>
        <w:t>败诉赔偿</w:t>
      </w:r>
    </w:p>
    <w:p>
      <w:pPr>
        <w:numPr>
          <w:ilvl w:val="0"/>
          <w:numId w:val="44"/>
        </w:numPr>
        <w:tabs>
          <w:tab w:val="left" w:pos="709"/>
        </w:tabs>
        <w:spacing w:line="360" w:lineRule="auto"/>
        <w:rPr>
          <w:rFonts w:hint="eastAsia" w:ascii="宋体" w:hAnsi="宋体"/>
          <w:sz w:val="24"/>
        </w:rPr>
      </w:pPr>
      <w:r>
        <w:rPr>
          <w:rFonts w:hint="eastAsia" w:ascii="SimHei" w:hAnsi="SimHei" w:eastAsia="黑体"/>
          <w:sz w:val="24"/>
        </w:rPr>
        <w:t>未履行的法定义务，如按有关规定应缴未缴的社会保险</w:t>
      </w:r>
    </w:p>
    <w:p>
      <w:pPr>
        <w:numPr>
          <w:ilvl w:val="0"/>
          <w:numId w:val="44"/>
        </w:numPr>
        <w:tabs>
          <w:tab w:val="left" w:pos="709"/>
        </w:tabs>
        <w:spacing w:line="360" w:lineRule="auto"/>
        <w:rPr>
          <w:rFonts w:hint="eastAsia" w:ascii="宋体" w:hAnsi="宋体"/>
          <w:sz w:val="24"/>
        </w:rPr>
      </w:pPr>
      <w:r>
        <w:rPr>
          <w:rFonts w:hint="eastAsia" w:ascii="SimHei" w:hAnsi="SimHei" w:eastAsia="黑体"/>
          <w:sz w:val="24"/>
        </w:rPr>
        <w:t>抵押合同的履行状况</w:t>
      </w:r>
    </w:p>
    <w:p>
      <w:pPr>
        <w:numPr>
          <w:ilvl w:val="0"/>
          <w:numId w:val="44"/>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42"/>
        </w:numPr>
        <w:tabs>
          <w:tab w:val="left" w:pos="709"/>
        </w:tabs>
        <w:spacing w:line="360" w:lineRule="auto"/>
        <w:rPr>
          <w:rFonts w:hint="eastAsia" w:ascii="宋体" w:hAnsi="宋体"/>
          <w:sz w:val="24"/>
        </w:rPr>
      </w:pPr>
      <w:r>
        <w:rPr>
          <w:rFonts w:hint="eastAsia" w:ascii="SimHei" w:hAnsi="SimHei" w:eastAsia="黑体"/>
          <w:sz w:val="24"/>
        </w:rPr>
        <w:t>或有的风险和损失</w:t>
      </w:r>
    </w:p>
    <w:p>
      <w:pPr>
        <w:numPr>
          <w:ilvl w:val="0"/>
          <w:numId w:val="45"/>
        </w:numPr>
        <w:tabs>
          <w:tab w:val="left" w:pos="709"/>
        </w:tabs>
        <w:spacing w:line="360" w:lineRule="auto"/>
        <w:rPr>
          <w:rFonts w:hint="eastAsia" w:ascii="宋体" w:hAnsi="宋体"/>
          <w:sz w:val="24"/>
        </w:rPr>
      </w:pPr>
      <w:r>
        <w:rPr>
          <w:rFonts w:hint="eastAsia" w:ascii="SimHei" w:hAnsi="SimHei" w:eastAsia="黑体"/>
          <w:sz w:val="24"/>
        </w:rPr>
        <w:t>对外担保而承担连带赔偿责任</w:t>
      </w:r>
    </w:p>
    <w:p>
      <w:pPr>
        <w:numPr>
          <w:ilvl w:val="0"/>
          <w:numId w:val="45"/>
        </w:numPr>
        <w:tabs>
          <w:tab w:val="left" w:pos="709"/>
        </w:tabs>
        <w:spacing w:line="360" w:lineRule="auto"/>
        <w:rPr>
          <w:rFonts w:hint="eastAsia" w:ascii="宋体" w:hAnsi="宋体"/>
          <w:sz w:val="24"/>
        </w:rPr>
      </w:pPr>
      <w:r>
        <w:rPr>
          <w:rFonts w:hint="eastAsia" w:ascii="SimHei" w:hAnsi="SimHei" w:eastAsia="黑体"/>
          <w:sz w:val="24"/>
        </w:rPr>
        <w:t>以贴现商业承兑汇票</w:t>
      </w:r>
    </w:p>
    <w:p>
      <w:pPr>
        <w:numPr>
          <w:ilvl w:val="0"/>
          <w:numId w:val="45"/>
        </w:numPr>
        <w:tabs>
          <w:tab w:val="left" w:pos="709"/>
        </w:tabs>
        <w:spacing w:line="360" w:lineRule="auto"/>
        <w:rPr>
          <w:rFonts w:hint="eastAsia" w:ascii="宋体" w:hAnsi="宋体"/>
          <w:sz w:val="24"/>
        </w:rPr>
      </w:pPr>
      <w:r>
        <w:rPr>
          <w:rFonts w:hint="eastAsia" w:ascii="SimHei" w:hAnsi="SimHei" w:eastAsia="黑体"/>
          <w:sz w:val="24"/>
        </w:rPr>
        <w:t>未决诉讼、仲裁</w:t>
      </w:r>
    </w:p>
    <w:p>
      <w:pPr>
        <w:numPr>
          <w:ilvl w:val="0"/>
          <w:numId w:val="45"/>
        </w:numPr>
        <w:tabs>
          <w:tab w:val="left" w:pos="709"/>
        </w:tabs>
        <w:spacing w:line="360" w:lineRule="auto"/>
        <w:rPr>
          <w:rFonts w:hint="eastAsia" w:ascii="宋体" w:hAnsi="宋体"/>
          <w:sz w:val="24"/>
        </w:rPr>
      </w:pPr>
      <w:r>
        <w:rPr>
          <w:rFonts w:hint="eastAsia" w:ascii="SimHei" w:hAnsi="SimHei" w:eastAsia="黑体"/>
          <w:sz w:val="24"/>
        </w:rPr>
        <w:t>其他</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对蓄意伪造、篡改业绩考核资料的，除了追溯以前期间多计发的基薪和年度效益年薪外，本公司董事会还将酌情予以扣罚，并视其情节轻重，保留进一步处罚的权力。</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若离任审计中发现经营者在任期内出现重大违规行为，经本公司核定后，本公司将没收风险基金账户余额。</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与离任审计紧密结合的考核制度是根据离任审计的结果，若有需要扣减的增值额，按其确定扣减的增值额的3%作为挂账年薪冲减经营者的风险基金（包括长期激励收入）。</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经营者任期以一个月为最小计算单位，采用如下办法确定：15日前（含15日）离任的，离任当月不计入任期；15日后离任的，历任当月计入任期。</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离任当年的年薪及其任期激励收入以当年的审计报告和离任审计报告所确定的业绩为依据计算。如果任期最后一年不足12个月，按任期月份比例（任期月数／12）计算当年度效益年薪。</w:t>
      </w:r>
    </w:p>
    <w:p>
      <w:pPr>
        <w:numPr>
          <w:ilvl w:val="1"/>
          <w:numId w:val="32"/>
        </w:numPr>
        <w:tabs>
          <w:tab w:val="left" w:pos="709"/>
        </w:tabs>
        <w:spacing w:before="156" w:beforeLines="50" w:after="156" w:afterLines="50" w:line="360" w:lineRule="auto"/>
        <w:jc w:val="center"/>
        <w:rPr>
          <w:rFonts w:hint="eastAsia" w:ascii="宋体" w:hAnsi="宋体"/>
          <w:b/>
          <w:sz w:val="28"/>
          <w:szCs w:val="30"/>
        </w:rPr>
      </w:pPr>
      <w:r>
        <w:rPr>
          <w:rFonts w:hint="eastAsia" w:ascii="SimHei" w:hAnsi="SimHei" w:eastAsia="黑体"/>
          <w:b/>
          <w:sz w:val="28"/>
          <w:szCs w:val="30"/>
        </w:rPr>
        <w:t>风险基金支付与挂账效益年薪的处理</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本公司对每个经营者均建立一个风险基金明细户，风险基金账户的构成如下：</w:t>
      </w:r>
    </w:p>
    <w:p>
      <w:pPr>
        <w:tabs>
          <w:tab w:val="left" w:pos="709"/>
        </w:tabs>
        <w:spacing w:line="360" w:lineRule="auto"/>
        <w:rPr>
          <w:rFonts w:hint="eastAsia" w:ascii="宋体" w:hAnsi="宋体"/>
          <w:sz w:val="24"/>
        </w:rPr>
      </w:pPr>
      <w:r>
        <w:rPr>
          <w:rFonts w:hint="eastAsia" w:ascii="SimHei" w:hAnsi="SimHei" w:eastAsia="黑体"/>
          <w:sz w:val="24"/>
        </w:rPr>
        <w:t xml:space="preserve">               </w:t>
      </w:r>
      <w:r>
        <w:rPr>
          <w:rFonts w:hint="eastAsia" w:ascii="SimHei" w:hAnsi="SimHei" w:eastAsia="黑体"/>
          <w:sz w:val="24"/>
          <w:u w:val="single"/>
        </w:rPr>
        <w:t xml:space="preserve">         </w:t>
      </w:r>
      <w:r>
        <w:rPr>
          <w:rFonts w:hint="eastAsia" w:ascii="SimHei" w:hAnsi="SimHei" w:eastAsia="黑体"/>
          <w:sz w:val="24"/>
        </w:rPr>
        <w:t>经营者风险基金明细户</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借方</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贷方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1、挂账年薪</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1、效益年薪的30%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2、离任审计确定应扣减年薪</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2、特别奖的30%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ind w:firstLine="480"/>
              <w:rPr>
                <w:rFonts w:hint="eastAsia" w:ascii="宋体" w:hAnsi="宋体"/>
                <w:sz w:val="24"/>
              </w:rPr>
            </w:pPr>
            <w:r>
              <w:rPr>
                <w:rFonts w:hint="eastAsia" w:ascii="SimHei" w:hAnsi="SimHei" w:eastAsia="黑体"/>
                <w:sz w:val="24"/>
              </w:rPr>
              <w:t>(按年薪方案第二十一条)</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3、长期激励收入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3、平时需扣罚的基薪和效益年薪</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4、来源于风险基金专款利息收入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借方余额</w:t>
            </w:r>
          </w:p>
        </w:tc>
        <w:tc>
          <w:tcPr>
            <w:tcW w:w="4261" w:type="dxa"/>
            <w:noWrap w:val="0"/>
            <w:vAlign w:val="top"/>
          </w:tcPr>
          <w:p>
            <w:pPr>
              <w:tabs>
                <w:tab w:val="left" w:pos="709"/>
              </w:tabs>
              <w:spacing w:line="360" w:lineRule="auto"/>
              <w:rPr>
                <w:rFonts w:hint="eastAsia" w:ascii="宋体" w:hAnsi="宋体"/>
                <w:sz w:val="24"/>
              </w:rPr>
            </w:pPr>
            <w:r>
              <w:rPr>
                <w:rFonts w:hint="eastAsia" w:ascii="SimHei" w:hAnsi="SimHei" w:eastAsia="黑体"/>
                <w:sz w:val="24"/>
              </w:rPr>
              <w:t>贷方余额</w:t>
            </w:r>
          </w:p>
        </w:tc>
      </w:tr>
    </w:tbl>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经过离任审计后，经营者离任时，在</w:t>
      </w:r>
      <w:r>
        <w:rPr>
          <w:rFonts w:hint="eastAsia" w:ascii="SimHei" w:hAnsi="SimHei" w:eastAsia="黑体"/>
          <w:sz w:val="24"/>
          <w:lang w:eastAsia="zh-CN"/>
        </w:rPr>
        <w:t>_____</w:t>
      </w:r>
      <w:r>
        <w:rPr>
          <w:rFonts w:hint="eastAsia" w:ascii="SimHei" w:hAnsi="SimHei" w:eastAsia="黑体"/>
          <w:sz w:val="24"/>
        </w:rPr>
        <w:t>控股的风险基金账户余额：（1）为正值（风险基金账户余额在贷方的），按第三十三条由</w:t>
      </w:r>
      <w:r>
        <w:rPr>
          <w:rFonts w:hint="eastAsia" w:ascii="SimHei" w:hAnsi="SimHei" w:eastAsia="黑体"/>
          <w:sz w:val="24"/>
          <w:lang w:eastAsia="zh-CN"/>
        </w:rPr>
        <w:t>_____</w:t>
      </w:r>
      <w:r>
        <w:rPr>
          <w:rFonts w:hint="eastAsia" w:ascii="SimHei" w:hAnsi="SimHei" w:eastAsia="黑体"/>
          <w:sz w:val="24"/>
        </w:rPr>
        <w:t>控股兑现风险基金余额；（2）为负值（风险基金账户余额在借方，即为挂账年薪），按第三十条至第三十二条处理。</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经营者离任时，风险基金余额为负值（即为挂账效益年薪），依据离任审计报告，计算任期经营性净资产减值率，其计算公式如下：</w:t>
      </w:r>
    </w:p>
    <w:p>
      <w:pPr>
        <w:tabs>
          <w:tab w:val="left" w:pos="709"/>
        </w:tabs>
        <w:spacing w:line="360" w:lineRule="auto"/>
        <w:rPr>
          <w:rFonts w:hint="eastAsia" w:ascii="宋体" w:hAnsi="宋体"/>
          <w:sz w:val="24"/>
        </w:rPr>
      </w:pPr>
      <w:r>
        <w:rPr>
          <w:rFonts w:hint="eastAsia" w:ascii="SimHei" w:hAnsi="SimHei" w:eastAsia="黑体"/>
          <w:sz w:val="24"/>
        </w:rPr>
        <w:t xml:space="preserve">    任期经营性净资产减值率＝∑任期内各年经营性净资产减值额／任期内平均净资产</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任期内平均净资产＝∑任期内各年年末净资产／任期（年）</w:t>
      </w:r>
    </w:p>
    <w:p>
      <w:pPr>
        <w:tabs>
          <w:tab w:val="left" w:pos="709"/>
        </w:tabs>
        <w:spacing w:line="360" w:lineRule="auto"/>
        <w:ind w:firstLine="480" w:firstLineChars="200"/>
        <w:rPr>
          <w:rFonts w:hint="eastAsia" w:ascii="宋体" w:hAnsi="宋体"/>
          <w:sz w:val="24"/>
        </w:rPr>
      </w:pPr>
      <w:r>
        <w:rPr>
          <w:rFonts w:hint="eastAsia" w:ascii="SimHei" w:hAnsi="SimHei" w:eastAsia="黑体"/>
          <w:sz w:val="24"/>
        </w:rPr>
        <w:t>若某年经营性净资产为增值，以负数表述。</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经营者任期内，经离任审计确认，若整体经营性净资产为增值，则不再要求经营者补偿挂账效益年薪，即全额注销挂账效益年薪账户余额。</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经营者任期内，若整体经营性净资产减值的，则分档计算要求经营者以现金形式补偿本公司的挂账效益年薪。特殊情况的企业，由本公司董事会酌情给予减免。经营者在补偿挂账年薪前不得办理离任手续。补偿额的计算公式详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整体经营性净资产减值率区间</w:t>
            </w:r>
          </w:p>
        </w:tc>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挂账效益年薪补偿分档计算额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0-5% （含5%）</w:t>
            </w:r>
          </w:p>
        </w:tc>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20%×Y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5-10% （含10%）</w:t>
            </w:r>
          </w:p>
        </w:tc>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50%×Y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10%以上</w:t>
            </w:r>
          </w:p>
        </w:tc>
        <w:tc>
          <w:tcPr>
            <w:tcW w:w="4261" w:type="dxa"/>
            <w:noWrap w:val="0"/>
            <w:vAlign w:val="top"/>
          </w:tcPr>
          <w:p>
            <w:pPr>
              <w:tabs>
                <w:tab w:val="left" w:pos="709"/>
              </w:tabs>
              <w:spacing w:line="360" w:lineRule="auto"/>
              <w:jc w:val="center"/>
              <w:rPr>
                <w:rFonts w:hint="eastAsia" w:ascii="宋体" w:hAnsi="宋体"/>
                <w:sz w:val="24"/>
              </w:rPr>
            </w:pPr>
            <w:r>
              <w:rPr>
                <w:rFonts w:hint="eastAsia" w:ascii="SimHei" w:hAnsi="SimHei" w:eastAsia="黑体"/>
                <w:sz w:val="24"/>
              </w:rPr>
              <w:t>80%×Y</w:t>
            </w:r>
          </w:p>
        </w:tc>
      </w:tr>
    </w:tbl>
    <w:p>
      <w:pPr>
        <w:tabs>
          <w:tab w:val="left" w:pos="709"/>
        </w:tabs>
        <w:spacing w:line="360" w:lineRule="auto"/>
        <w:rPr>
          <w:rFonts w:hint="eastAsia" w:ascii="宋体" w:hAnsi="宋体"/>
          <w:sz w:val="24"/>
        </w:rPr>
      </w:pPr>
      <w:r>
        <w:rPr>
          <w:rFonts w:hint="eastAsia" w:ascii="SimHei" w:hAnsi="SimHei" w:eastAsia="黑体"/>
          <w:sz w:val="24"/>
        </w:rPr>
        <w:t>注：Y＝经营者截至离任时的挂账效益年薪账户余额。</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除第三十四条款的规定外，风险基金（长期激励收入部分）在离任审计后全额发放给经营者，支付时并由本公司依税法规定代扣代缴个人所得税。</w:t>
      </w:r>
    </w:p>
    <w:p>
      <w:pPr>
        <w:numPr>
          <w:ilvl w:val="0"/>
          <w:numId w:val="34"/>
        </w:numPr>
        <w:tabs>
          <w:tab w:val="left" w:pos="709"/>
          <w:tab w:val="left" w:pos="1701"/>
        </w:tabs>
        <w:spacing w:line="360" w:lineRule="auto"/>
        <w:ind w:left="0" w:firstLine="566"/>
        <w:rPr>
          <w:rFonts w:hint="eastAsia" w:ascii="宋体" w:hAnsi="宋体"/>
          <w:sz w:val="24"/>
        </w:rPr>
      </w:pPr>
      <w:r>
        <w:rPr>
          <w:rFonts w:hint="eastAsia" w:ascii="SimHei" w:hAnsi="SimHei" w:eastAsia="黑体"/>
          <w:sz w:val="24"/>
        </w:rPr>
        <w:t>若离任审计中发现经营者在任期内出现重大违规经营行为，经本公司核定后，本公司将没收风险基金账户余额。</w:t>
      </w:r>
    </w:p>
    <w:p>
      <w:pPr>
        <w:rPr>
          <w:rFonts w:hint="eastAsia"/>
          <w:b/>
          <w:color w:val="FF0000"/>
          <w:sz w:val="32"/>
          <w:szCs w:val="32"/>
        </w:rPr>
      </w:pPr>
      <w:r>
        <w:rPr>
          <w:rFonts w:hint="eastAsia" w:ascii="SimHei" w:hAnsi="SimHei" w:eastAsia="黑体"/>
          <w:sz w:val="24"/>
        </w:rPr>
        <w:t>当风险基金全部发放给经营者后，若发现经营者在任期内存在重大的舞弊行为，本公司仍可追究其责任。</w:t>
      </w:r>
    </w:p>
    <w:sectPr>
      <w:pgSz w:w="11850" w:h="16783"/>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A5AEA"/>
    <w:multiLevelType w:val="multilevel"/>
    <w:tmpl w:val="048A5AEA"/>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3D28E1"/>
    <w:multiLevelType w:val="multilevel"/>
    <w:tmpl w:val="053D28E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7863F93"/>
    <w:multiLevelType w:val="multilevel"/>
    <w:tmpl w:val="07863F93"/>
    <w:lvl w:ilvl="0" w:tentative="0">
      <w:start w:val="1"/>
      <w:numFmt w:val="decimalEnclosedCircle"/>
      <w:lvlText w:val="%1"/>
      <w:lvlJc w:val="left"/>
      <w:pPr>
        <w:tabs>
          <w:tab w:val="left" w:pos="840"/>
        </w:tabs>
        <w:ind w:left="840" w:hanging="360"/>
      </w:pPr>
      <w:rPr>
        <w:rFonts w:hint="default"/>
      </w:rPr>
    </w:lvl>
    <w:lvl w:ilvl="1" w:tentative="0">
      <w:start w:val="1"/>
      <w:numFmt w:val="japaneseCounting"/>
      <w:lvlText w:val="%2、"/>
      <w:lvlJc w:val="left"/>
      <w:pPr>
        <w:tabs>
          <w:tab w:val="left" w:pos="1380"/>
        </w:tabs>
        <w:ind w:left="1380" w:hanging="480"/>
      </w:pPr>
      <w:rPr>
        <w:rFonts w:hint="default"/>
      </w:rPr>
    </w:lvl>
    <w:lvl w:ilvl="2" w:tentative="0">
      <w:start w:val="1"/>
      <w:numFmt w:val="decimal"/>
      <w:lvlText w:val="%3、"/>
      <w:lvlJc w:val="left"/>
      <w:pPr>
        <w:tabs>
          <w:tab w:val="left" w:pos="2100"/>
        </w:tabs>
        <w:ind w:left="2100" w:hanging="78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C611EA2"/>
    <w:multiLevelType w:val="multilevel"/>
    <w:tmpl w:val="0C611EA2"/>
    <w:lvl w:ilvl="0" w:tentative="0">
      <w:start w:val="1"/>
      <w:numFmt w:val="japaneseCounting"/>
      <w:lvlText w:val="（%1）"/>
      <w:lvlJc w:val="left"/>
      <w:pPr>
        <w:tabs>
          <w:tab w:val="left" w:pos="1200"/>
        </w:tabs>
        <w:ind w:left="1200" w:hanging="720"/>
      </w:pPr>
      <w:rPr>
        <w:rFonts w:hint="default"/>
      </w:rPr>
    </w:lvl>
    <w:lvl w:ilvl="1" w:tentative="0">
      <w:start w:val="1"/>
      <w:numFmt w:val="decimal"/>
      <w:lvlText w:val="%2)、"/>
      <w:lvlJc w:val="left"/>
      <w:pPr>
        <w:tabs>
          <w:tab w:val="left" w:pos="1620"/>
        </w:tabs>
        <w:ind w:left="1260" w:hanging="360"/>
      </w:pPr>
      <w:rPr>
        <w:rFonts w:hint="eastAsia"/>
      </w:rPr>
    </w:lvl>
    <w:lvl w:ilvl="2" w:tentative="0">
      <w:start w:val="1"/>
      <w:numFmt w:val="decimal"/>
      <w:lvlText w:val="(%3)"/>
      <w:lvlJc w:val="left"/>
      <w:pPr>
        <w:tabs>
          <w:tab w:val="left" w:pos="1680"/>
        </w:tabs>
        <w:ind w:left="1207" w:firstLine="113"/>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CBC3C52"/>
    <w:multiLevelType w:val="multilevel"/>
    <w:tmpl w:val="0CBC3C52"/>
    <w:lvl w:ilvl="0" w:tentative="0">
      <w:start w:val="1"/>
      <w:numFmt w:val="decimal"/>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116E6073"/>
    <w:multiLevelType w:val="multilevel"/>
    <w:tmpl w:val="116E6073"/>
    <w:lvl w:ilvl="0" w:tentative="0">
      <w:start w:val="1"/>
      <w:numFmt w:val="decimalEnclosedCircle"/>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15145755"/>
    <w:multiLevelType w:val="multilevel"/>
    <w:tmpl w:val="15145755"/>
    <w:lvl w:ilvl="0" w:tentative="0">
      <w:start w:val="1"/>
      <w:numFmt w:val="decimal"/>
      <w:lvlText w:val="%1、"/>
      <w:lvlJc w:val="left"/>
      <w:pPr>
        <w:tabs>
          <w:tab w:val="left" w:pos="1320"/>
        </w:tabs>
        <w:ind w:left="1320" w:hanging="8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155A4345"/>
    <w:multiLevelType w:val="multilevel"/>
    <w:tmpl w:val="155A4345"/>
    <w:lvl w:ilvl="0" w:tentative="0">
      <w:start w:val="1"/>
      <w:numFmt w:val="upperLetter"/>
      <w:lvlText w:val="%1、"/>
      <w:lvlJc w:val="left"/>
      <w:pPr>
        <w:tabs>
          <w:tab w:val="left" w:pos="1381"/>
        </w:tabs>
        <w:ind w:left="567" w:firstLine="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557602"/>
    <w:multiLevelType w:val="multilevel"/>
    <w:tmpl w:val="1A557602"/>
    <w:lvl w:ilvl="0" w:tentative="0">
      <w:start w:val="1"/>
      <w:numFmt w:val="decimal"/>
      <w:lvlText w:val="（%1）"/>
      <w:lvlJc w:val="left"/>
      <w:pPr>
        <w:tabs>
          <w:tab w:val="left" w:pos="1200"/>
        </w:tabs>
        <w:ind w:left="1200" w:hanging="720"/>
      </w:pPr>
      <w:rPr>
        <w:rFonts w:hint="default"/>
      </w:rPr>
    </w:lvl>
    <w:lvl w:ilvl="1" w:tentative="0">
      <w:start w:val="1"/>
      <w:numFmt w:val="japaneseCounting"/>
      <w:lvlText w:val="%2、"/>
      <w:lvlJc w:val="left"/>
      <w:pPr>
        <w:tabs>
          <w:tab w:val="left" w:pos="1380"/>
        </w:tabs>
        <w:ind w:left="1380" w:hanging="48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1F483CA4"/>
    <w:multiLevelType w:val="multilevel"/>
    <w:tmpl w:val="1F483CA4"/>
    <w:lvl w:ilvl="0" w:tentative="0">
      <w:start w:val="1"/>
      <w:numFmt w:val="japaneseCounting"/>
      <w:lvlText w:val="第%1条"/>
      <w:lvlJc w:val="left"/>
      <w:pPr>
        <w:tabs>
          <w:tab w:val="left" w:pos="750"/>
        </w:tabs>
        <w:ind w:left="750" w:hanging="75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4494726"/>
    <w:multiLevelType w:val="multilevel"/>
    <w:tmpl w:val="24494726"/>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652636F"/>
    <w:multiLevelType w:val="multilevel"/>
    <w:tmpl w:val="2652636F"/>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28E75BB2"/>
    <w:multiLevelType w:val="multilevel"/>
    <w:tmpl w:val="28E75BB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2F2E34F3"/>
    <w:multiLevelType w:val="multilevel"/>
    <w:tmpl w:val="2F2E34F3"/>
    <w:lvl w:ilvl="0" w:tentative="0">
      <w:start w:val="1"/>
      <w:numFmt w:val="japaneseCounting"/>
      <w:lvlText w:val="第%1章"/>
      <w:lvlJc w:val="left"/>
      <w:pPr>
        <w:tabs>
          <w:tab w:val="left" w:pos="855"/>
        </w:tabs>
        <w:ind w:left="855" w:hanging="855"/>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FD3795C"/>
    <w:multiLevelType w:val="multilevel"/>
    <w:tmpl w:val="2FD3795C"/>
    <w:lvl w:ilvl="0" w:tentative="0">
      <w:start w:val="1"/>
      <w:numFmt w:val="decimal"/>
      <w:lvlText w:val="%1、"/>
      <w:lvlJc w:val="left"/>
      <w:pPr>
        <w:tabs>
          <w:tab w:val="left" w:pos="1320"/>
        </w:tabs>
        <w:ind w:left="1320" w:hanging="8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300B5985"/>
    <w:multiLevelType w:val="multilevel"/>
    <w:tmpl w:val="300B5985"/>
    <w:lvl w:ilvl="0" w:tentative="0">
      <w:start w:val="1"/>
      <w:numFmt w:val="decimal"/>
      <w:lvlText w:val="（%1）"/>
      <w:lvlJc w:val="left"/>
      <w:pPr>
        <w:tabs>
          <w:tab w:val="left" w:pos="1560"/>
        </w:tabs>
        <w:ind w:left="1560" w:hanging="720"/>
      </w:pPr>
      <w:rPr>
        <w:rFonts w:hint="default"/>
      </w:rPr>
    </w:lvl>
    <w:lvl w:ilvl="1" w:tentative="0">
      <w:start w:val="1"/>
      <w:numFmt w:val="japaneseCounting"/>
      <w:lvlText w:val="第%2章"/>
      <w:lvlJc w:val="left"/>
      <w:pPr>
        <w:tabs>
          <w:tab w:val="left" w:pos="2220"/>
        </w:tabs>
        <w:ind w:left="2220" w:hanging="9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6">
    <w:nsid w:val="305B539B"/>
    <w:multiLevelType w:val="multilevel"/>
    <w:tmpl w:val="305B539B"/>
    <w:lvl w:ilvl="0" w:tentative="0">
      <w:start w:val="1"/>
      <w:numFmt w:val="decimal"/>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7">
    <w:nsid w:val="31152D48"/>
    <w:multiLevelType w:val="multilevel"/>
    <w:tmpl w:val="31152D48"/>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
    <w:nsid w:val="3421139B"/>
    <w:multiLevelType w:val="multilevel"/>
    <w:tmpl w:val="3421139B"/>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92B5E8A"/>
    <w:multiLevelType w:val="multilevel"/>
    <w:tmpl w:val="392B5E8A"/>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3C607238"/>
    <w:multiLevelType w:val="multilevel"/>
    <w:tmpl w:val="3C607238"/>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407A4131"/>
    <w:multiLevelType w:val="multilevel"/>
    <w:tmpl w:val="407A4131"/>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0D442A8"/>
    <w:multiLevelType w:val="multilevel"/>
    <w:tmpl w:val="40D442A8"/>
    <w:lvl w:ilvl="0" w:tentative="0">
      <w:start w:val="1"/>
      <w:numFmt w:val="decimal"/>
      <w:lvlText w:val="%1、"/>
      <w:lvlJc w:val="left"/>
      <w:pPr>
        <w:tabs>
          <w:tab w:val="left" w:pos="1215"/>
        </w:tabs>
        <w:ind w:left="1215" w:hanging="735"/>
      </w:pPr>
      <w:rPr>
        <w:rFonts w:hint="default"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43224113"/>
    <w:multiLevelType w:val="multilevel"/>
    <w:tmpl w:val="43224113"/>
    <w:lvl w:ilvl="0" w:tentative="0">
      <w:start w:val="1"/>
      <w:numFmt w:val="decimal"/>
      <w:lvlText w:val="%1、"/>
      <w:lvlJc w:val="left"/>
      <w:pPr>
        <w:tabs>
          <w:tab w:val="left" w:pos="1320"/>
        </w:tabs>
        <w:ind w:left="1320" w:hanging="840"/>
      </w:pPr>
      <w:rPr>
        <w:rFonts w:ascii="Times New Roman" w:hAnsi="Times New Roman"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448B5B73"/>
    <w:multiLevelType w:val="multilevel"/>
    <w:tmpl w:val="448B5B73"/>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461D163E"/>
    <w:multiLevelType w:val="multilevel"/>
    <w:tmpl w:val="461D163E"/>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7096C53"/>
    <w:multiLevelType w:val="multilevel"/>
    <w:tmpl w:val="47096C53"/>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7444BC3"/>
    <w:multiLevelType w:val="multilevel"/>
    <w:tmpl w:val="47444BC3"/>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8">
    <w:nsid w:val="4C4B144B"/>
    <w:multiLevelType w:val="multilevel"/>
    <w:tmpl w:val="4C4B144B"/>
    <w:lvl w:ilvl="0" w:tentative="0">
      <w:start w:val="1"/>
      <w:numFmt w:val="decimal"/>
      <w:lvlText w:val="%1、"/>
      <w:lvlJc w:val="left"/>
      <w:pPr>
        <w:tabs>
          <w:tab w:val="left" w:pos="785"/>
        </w:tabs>
        <w:ind w:left="785" w:hanging="360"/>
      </w:pPr>
      <w:rPr>
        <w:rFonts w:hint="default"/>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9">
    <w:nsid w:val="51D81778"/>
    <w:multiLevelType w:val="multilevel"/>
    <w:tmpl w:val="51D81778"/>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06019A"/>
    <w:multiLevelType w:val="multilevel"/>
    <w:tmpl w:val="5906019A"/>
    <w:lvl w:ilvl="0" w:tentative="0">
      <w:start w:val="1"/>
      <w:numFmt w:val="decimal"/>
      <w:lvlText w:val="(%1)"/>
      <w:lvlJc w:val="left"/>
      <w:pPr>
        <w:tabs>
          <w:tab w:val="left" w:pos="1040"/>
        </w:tabs>
        <w:ind w:left="567" w:firstLine="113"/>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5E105B09"/>
    <w:multiLevelType w:val="multilevel"/>
    <w:tmpl w:val="5E105B09"/>
    <w:lvl w:ilvl="0" w:tentative="0">
      <w:start w:val="1"/>
      <w:numFmt w:val="decimalEnclosedCircle"/>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68C0595A"/>
    <w:multiLevelType w:val="multilevel"/>
    <w:tmpl w:val="68C0595A"/>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69331D77"/>
    <w:multiLevelType w:val="multilevel"/>
    <w:tmpl w:val="69331D7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69733BCD"/>
    <w:multiLevelType w:val="multilevel"/>
    <w:tmpl w:val="69733BC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5">
    <w:nsid w:val="6E341B61"/>
    <w:multiLevelType w:val="multilevel"/>
    <w:tmpl w:val="6E341B61"/>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6FC934CC"/>
    <w:multiLevelType w:val="multilevel"/>
    <w:tmpl w:val="6FC934CC"/>
    <w:lvl w:ilvl="0" w:tentative="0">
      <w:start w:val="1"/>
      <w:numFmt w:val="chineseCountingThousand"/>
      <w:lvlText w:val="第%1条"/>
      <w:lvlJc w:val="left"/>
      <w:pPr>
        <w:tabs>
          <w:tab w:val="left" w:pos="1287"/>
        </w:tabs>
        <w:ind w:left="567" w:firstLine="0"/>
      </w:pPr>
      <w:rPr>
        <w:rFonts w:hint="eastAsia"/>
        <w:b/>
        <w:i w:val="0"/>
      </w:rPr>
    </w:lvl>
    <w:lvl w:ilvl="1" w:tentative="0">
      <w:start w:val="1"/>
      <w:numFmt w:val="lowerLetter"/>
      <w:lvlText w:val="%2)"/>
      <w:lvlJc w:val="left"/>
      <w:pPr>
        <w:tabs>
          <w:tab w:val="left" w:pos="1406"/>
        </w:tabs>
        <w:ind w:left="1406" w:hanging="420"/>
      </w:pPr>
    </w:lvl>
    <w:lvl w:ilvl="2" w:tentative="0">
      <w:start w:val="1"/>
      <w:numFmt w:val="lowerRoman"/>
      <w:lvlText w:val="%3."/>
      <w:lvlJc w:val="right"/>
      <w:pPr>
        <w:tabs>
          <w:tab w:val="left" w:pos="1826"/>
        </w:tabs>
        <w:ind w:left="1826" w:hanging="420"/>
      </w:pPr>
    </w:lvl>
    <w:lvl w:ilvl="3" w:tentative="0">
      <w:start w:val="1"/>
      <w:numFmt w:val="decimal"/>
      <w:lvlText w:val="%4."/>
      <w:lvlJc w:val="left"/>
      <w:pPr>
        <w:tabs>
          <w:tab w:val="left" w:pos="2246"/>
        </w:tabs>
        <w:ind w:left="2246" w:hanging="42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37">
    <w:nsid w:val="70262F11"/>
    <w:multiLevelType w:val="multilevel"/>
    <w:tmpl w:val="70262F1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8">
    <w:nsid w:val="71087D5E"/>
    <w:multiLevelType w:val="multilevel"/>
    <w:tmpl w:val="71087D5E"/>
    <w:lvl w:ilvl="0" w:tentative="0">
      <w:start w:val="1"/>
      <w:numFmt w:val="decimal"/>
      <w:lvlText w:val="%1、"/>
      <w:lvlJc w:val="left"/>
      <w:pPr>
        <w:tabs>
          <w:tab w:val="left" w:pos="1260"/>
        </w:tabs>
        <w:ind w:left="1260" w:hanging="360"/>
      </w:pPr>
      <w:rPr>
        <w:rFonts w:hint="default"/>
      </w:rPr>
    </w:lvl>
    <w:lvl w:ilvl="1" w:tentative="0">
      <w:start w:val="1"/>
      <w:numFmt w:val="chineseCountingThousand"/>
      <w:lvlText w:val="第%2节"/>
      <w:lvlJc w:val="left"/>
      <w:pPr>
        <w:tabs>
          <w:tab w:val="left" w:pos="1928"/>
        </w:tabs>
        <w:ind w:left="1928" w:hanging="794"/>
      </w:pPr>
      <w:rPr>
        <w:rFonts w:hint="eastAsia"/>
        <w:sz w:val="28"/>
      </w:rPr>
    </w:lvl>
    <w:lvl w:ilvl="2" w:tentative="0">
      <w:start w:val="1"/>
      <w:numFmt w:val="japaneseCounting"/>
      <w:lvlText w:val="第%3条"/>
      <w:lvlJc w:val="left"/>
      <w:pPr>
        <w:tabs>
          <w:tab w:val="left" w:pos="2580"/>
        </w:tabs>
        <w:ind w:left="2580" w:hanging="840"/>
      </w:pPr>
      <w:rPr>
        <w:rFonts w:hint="default"/>
      </w:r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9">
    <w:nsid w:val="732D5439"/>
    <w:multiLevelType w:val="multilevel"/>
    <w:tmpl w:val="732D5439"/>
    <w:lvl w:ilvl="0" w:tentative="0">
      <w:start w:val="1"/>
      <w:numFmt w:val="decimal"/>
      <w:lvlText w:val="%1、"/>
      <w:lvlJc w:val="left"/>
      <w:pPr>
        <w:tabs>
          <w:tab w:val="left" w:pos="1287"/>
        </w:tabs>
        <w:ind w:left="0" w:firstLine="567"/>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0">
    <w:nsid w:val="761D15A3"/>
    <w:multiLevelType w:val="multilevel"/>
    <w:tmpl w:val="761D15A3"/>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1">
    <w:nsid w:val="769E6C03"/>
    <w:multiLevelType w:val="multilevel"/>
    <w:tmpl w:val="769E6C03"/>
    <w:lvl w:ilvl="0" w:tentative="0">
      <w:start w:val="1"/>
      <w:numFmt w:val="decimal"/>
      <w:lvlText w:val="%1、"/>
      <w:lvlJc w:val="left"/>
      <w:pPr>
        <w:tabs>
          <w:tab w:val="left" w:pos="1320"/>
        </w:tabs>
        <w:ind w:left="1320" w:hanging="8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2">
    <w:nsid w:val="78F75F95"/>
    <w:multiLevelType w:val="multilevel"/>
    <w:tmpl w:val="78F75F95"/>
    <w:lvl w:ilvl="0" w:tentative="0">
      <w:start w:val="1"/>
      <w:numFmt w:val="decimal"/>
      <w:lvlText w:val="%1、"/>
      <w:lvlJc w:val="left"/>
      <w:pPr>
        <w:tabs>
          <w:tab w:val="left" w:pos="1320"/>
        </w:tabs>
        <w:ind w:left="1320" w:hanging="8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3">
    <w:nsid w:val="7980639F"/>
    <w:multiLevelType w:val="multilevel"/>
    <w:tmpl w:val="7980639F"/>
    <w:lvl w:ilvl="0" w:tentative="0">
      <w:start w:val="1"/>
      <w:numFmt w:val="decimal"/>
      <w:lvlText w:val="%1、"/>
      <w:lvlJc w:val="left"/>
      <w:pPr>
        <w:tabs>
          <w:tab w:val="left" w:pos="840"/>
        </w:tabs>
        <w:ind w:left="140"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491F6B"/>
    <w:multiLevelType w:val="multilevel"/>
    <w:tmpl w:val="7D491F6B"/>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32"/>
  </w:num>
  <w:num w:numId="3">
    <w:abstractNumId w:val="27"/>
  </w:num>
  <w:num w:numId="4">
    <w:abstractNumId w:val="13"/>
  </w:num>
  <w:num w:numId="5">
    <w:abstractNumId w:val="40"/>
  </w:num>
  <w:num w:numId="6">
    <w:abstractNumId w:val="34"/>
  </w:num>
  <w:num w:numId="7">
    <w:abstractNumId w:val="44"/>
  </w:num>
  <w:num w:numId="8">
    <w:abstractNumId w:val="23"/>
  </w:num>
  <w:num w:numId="9">
    <w:abstractNumId w:val="33"/>
  </w:num>
  <w:num w:numId="10">
    <w:abstractNumId w:val="19"/>
  </w:num>
  <w:num w:numId="11">
    <w:abstractNumId w:val="31"/>
  </w:num>
  <w:num w:numId="12">
    <w:abstractNumId w:val="8"/>
  </w:num>
  <w:num w:numId="13">
    <w:abstractNumId w:val="24"/>
  </w:num>
  <w:num w:numId="14">
    <w:abstractNumId w:val="22"/>
  </w:num>
  <w:num w:numId="15">
    <w:abstractNumId w:val="35"/>
  </w:num>
  <w:num w:numId="16">
    <w:abstractNumId w:val="39"/>
  </w:num>
  <w:num w:numId="17">
    <w:abstractNumId w:val="30"/>
  </w:num>
  <w:num w:numId="18">
    <w:abstractNumId w:val="10"/>
  </w:num>
  <w:num w:numId="19">
    <w:abstractNumId w:val="18"/>
  </w:num>
  <w:num w:numId="20">
    <w:abstractNumId w:val="25"/>
  </w:num>
  <w:num w:numId="21">
    <w:abstractNumId w:val="29"/>
  </w:num>
  <w:num w:numId="22">
    <w:abstractNumId w:val="26"/>
  </w:num>
  <w:num w:numId="23">
    <w:abstractNumId w:val="21"/>
  </w:num>
  <w:num w:numId="24">
    <w:abstractNumId w:val="43"/>
  </w:num>
  <w:num w:numId="25">
    <w:abstractNumId w:val="0"/>
  </w:num>
  <w:num w:numId="26">
    <w:abstractNumId w:val="3"/>
  </w:num>
  <w:num w:numId="27">
    <w:abstractNumId w:val="6"/>
  </w:num>
  <w:num w:numId="28">
    <w:abstractNumId w:val="42"/>
  </w:num>
  <w:num w:numId="29">
    <w:abstractNumId w:val="5"/>
  </w:num>
  <w:num w:numId="30">
    <w:abstractNumId w:val="2"/>
  </w:num>
  <w:num w:numId="31">
    <w:abstractNumId w:val="7"/>
  </w:num>
  <w:num w:numId="32">
    <w:abstractNumId w:val="38"/>
  </w:num>
  <w:num w:numId="33">
    <w:abstractNumId w:val="28"/>
  </w:num>
  <w:num w:numId="34">
    <w:abstractNumId w:val="36"/>
  </w:num>
  <w:num w:numId="35">
    <w:abstractNumId w:val="11"/>
  </w:num>
  <w:num w:numId="36">
    <w:abstractNumId w:val="20"/>
  </w:num>
  <w:num w:numId="37">
    <w:abstractNumId w:val="1"/>
  </w:num>
  <w:num w:numId="38">
    <w:abstractNumId w:val="17"/>
  </w:num>
  <w:num w:numId="39">
    <w:abstractNumId w:val="12"/>
  </w:num>
  <w:num w:numId="40">
    <w:abstractNumId w:val="14"/>
  </w:num>
  <w:num w:numId="41">
    <w:abstractNumId w:val="41"/>
  </w:num>
  <w:num w:numId="42">
    <w:abstractNumId w:val="37"/>
  </w:num>
  <w:num w:numId="43">
    <w:abstractNumId w:val="4"/>
  </w:num>
  <w:num w:numId="44">
    <w:abstractNumId w:val="1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Q1N2FiZGQxOTg2OTEzMjk4MzliOGY3NmU1MTc1YWYyIiwidXNlckNvdW50IjoxfQ=="/>
  </w:docVars>
  <w:rsids>
    <w:rsidRoot w:val="1B48586F"/>
    <w:rsid w:val="1B48586F"/>
    <w:rsid w:val="461D4375"/>
    <w:rsid w:val="564F3A45"/>
    <w:rsid w:val="5B473883"/>
    <w:rsid w:val="5FF4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312" w:beforeLines="100" w:after="312" w:afterLines="100"/>
      <w:jc w:val="center"/>
      <w:outlineLvl w:val="2"/>
    </w:pPr>
    <w:rPr>
      <w:rFonts w:ascii="宋体" w:hAnsi="华文楷体"/>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semiHidden/>
    <w:qFormat/>
    <w:uiPriority w:val="0"/>
    <w:pPr>
      <w:spacing w:line="360" w:lineRule="auto"/>
      <w:ind w:left="400" w:leftChars="400"/>
      <w:jc w:val="left"/>
    </w:pPr>
    <w:rPr>
      <w:sz w:val="24"/>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9141;&#38155;\AppData\Roaming\kingsoft\office6\templates\download\7fa307f5-da72-4c1c-8fa5-7885c56ce382\&#38598;&#22242;&#20844;&#21496;&#24180;&#34218;&#21046;&#26041;&#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集团公司年薪制方案.docx</Template>
  <Pages>33</Pages>
  <Words>16187</Words>
  <Characters>16856</Characters>
  <Lines>0</Lines>
  <Paragraphs>0</Paragraphs>
  <TotalTime>4</TotalTime>
  <ScaleCrop>false</ScaleCrop>
  <LinksUpToDate>false</LinksUpToDate>
  <CharactersWithSpaces>16983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2022-07-23T15:21:00Z</dcterms:created>
  <dc:creator>yyf^_^</dc:creator>
  <cp:lastModifiedBy>王佩</cp:lastModifiedBy>
  <dcterms:modified xsi:type="dcterms:W3CDTF">2022-07-26T06:42:32Z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UUID">
    <vt:lpwstr>v1.0_mb_NAIpQ2Mz3b2ebSAaiGlvEw==</vt:lpwstr>
  </property>
  <property fmtid="{D5CDD505-2E9C-101B-9397-08002B2CF9AE}" pid="4" name="ICV">
    <vt:lpwstr>0957B2BEB01940B981E7973993D12771</vt:lpwstr>
  </property>
</Properties>
</file>