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375"/>
        </w:tabs>
        <w:jc w:val="center"/>
        <w:rPr>
          <w:rFonts w:ascii="黑体" w:eastAsia="黑体"/>
          <w:b/>
          <w:bCs/>
          <w:sz w:val="52"/>
        </w:rPr>
      </w:pPr>
    </w:p>
    <w:p>
      <w:pPr>
        <w:tabs>
          <w:tab w:val="left" w:pos="3375"/>
        </w:tabs>
        <w:jc w:val="center"/>
        <w:rPr>
          <w:rFonts w:hint="eastAsia" w:ascii="宋体" w:hAnsi="宋体"/>
          <w:b/>
          <w:bCs/>
          <w:sz w:val="52"/>
        </w:rPr>
      </w:pPr>
      <w:r>
        <w:rPr>
          <w:rFonts w:hint="eastAsia" w:ascii="SimHei" w:eastAsia="黑体" w:hAnsi="SimHei"/>
          <w:b/>
          <w:bCs/>
          <w:sz w:val="52"/>
        </w:rPr>
        <w:t>高管人员年薪制管理方案</w:t>
      </w:r>
    </w:p>
    <w:p>
      <w:pPr>
        <w:spacing w:line="360" w:lineRule="auto"/>
        <w:jc w:val="center"/>
        <w:rPr>
          <w:rFonts w:ascii="宋体" w:hAnsi="宋体"/>
          <w:b/>
          <w:bCs/>
          <w:color w:val="000000"/>
          <w:sz w:val="28"/>
        </w:rPr>
      </w:pPr>
    </w:p>
    <w:p>
      <w:pPr>
        <w:spacing w:line="360" w:lineRule="auto"/>
        <w:jc w:val="center"/>
        <w:rPr>
          <w:rFonts w:ascii="宋体" w:hAnsi="宋体"/>
          <w:b/>
          <w:bCs/>
          <w:color w:val="000000"/>
          <w:sz w:val="28"/>
        </w:rPr>
      </w:pPr>
    </w:p>
    <w:p>
      <w:pPr>
        <w:spacing w:line="360" w:lineRule="auto"/>
        <w:jc w:val="center"/>
        <w:rPr>
          <w:rFonts w:ascii="宋体" w:hAnsi="宋体"/>
          <w:b/>
          <w:bCs/>
          <w:color w:val="000000"/>
          <w:sz w:val="28"/>
        </w:rPr>
      </w:pPr>
    </w:p>
    <w:p>
      <w:pPr>
        <w:spacing w:line="360" w:lineRule="auto"/>
        <w:jc w:val="center"/>
        <w:rPr>
          <w:rFonts w:hint="eastAsia" w:ascii="宋体" w:hAnsi="宋体"/>
          <w:b/>
          <w:bCs/>
          <w:color w:val="000000"/>
          <w:sz w:val="28"/>
        </w:rPr>
      </w:pPr>
    </w:p>
    <w:p>
      <w:pPr>
        <w:spacing w:line="360" w:lineRule="auto"/>
        <w:jc w:val="center"/>
        <w:rPr>
          <w:rFonts w:hint="eastAsia" w:ascii="宋体" w:hAnsi="宋体"/>
          <w:b/>
          <w:bCs/>
          <w:color w:val="000000"/>
          <w:sz w:val="28"/>
        </w:rPr>
      </w:pPr>
      <w:r>
        <w:rPr>
          <w:rFonts w:hint="eastAsia" w:ascii="SimHei" w:hAnsi="SimHei" w:eastAsia="黑体"/>
          <w:b/>
          <w:bCs/>
          <w:color w:val="000000"/>
          <w:sz w:val="28"/>
        </w:rPr>
        <w:t>目  录</w:t>
      </w:r>
    </w:p>
    <w:p>
      <w:pPr>
        <w:pStyle w:val="6"/>
        <w:rPr>
          <w:rFonts w:hint="eastAsia"/>
        </w:rPr>
      </w:pPr>
    </w:p>
    <w:p>
      <w:pPr>
        <w:pStyle w:val="6"/>
        <w:tabs>
          <w:tab w:val="right" w:leader="dot" w:pos="8302"/>
        </w:tabs>
        <w:rPr>
          <w:szCs w:val="24"/>
        </w:rPr>
      </w:pPr>
      <w:r>
        <w:rPr>
          <w:rFonts w:ascii="SimHei" w:hAnsi="SimHei" w:eastAsia="黑体"/>
          <w:bCs/>
          <w:sz w:val="24"/>
        </w:rPr>
      </w:r>
      <w:r>
        <w:rPr>
          <w:rFonts w:ascii="SimHei" w:hAnsi="SimHei" w:eastAsia="黑体"/>
          <w:bCs/>
          <w:sz w:val="24"/>
        </w:rPr>
      </w:r>
      <w:r>
        <w:rPr>
          <w:rFonts w:ascii="SimHei" w:hAnsi="SimHei" w:eastAsia="黑体"/>
          <w:bCs/>
          <w:sz w:val="24"/>
        </w:rPr>
      </w:r>
      <w:r>
        <w:rPr>
          <w:rStyle w:val="11"/>
          <w:rFonts w:ascii="SimHei" w:hAnsi="SimHei" w:eastAsia="黑体"/>
        </w:rPr>
      </w:r>
      <w:r>
        <w:rPr>
          <w:rStyle w:val="11"/>
          <w:rFonts w:ascii="SimHei" w:hAnsi="SimHei" w:eastAsia="黑体"/>
        </w:rPr>
      </w:r>
      <w:r>
        <w:rPr>
          <w:rFonts w:ascii="SimHei" w:hAnsi="SimHei" w:eastAsia="黑体"/>
        </w:rPr>
      </w:r>
      <w:r>
        <w:rPr>
          <w:rStyle w:val="11"/>
          <w:rFonts w:ascii="SimHei" w:hAnsi="SimHei" w:eastAsia="黑体"/>
        </w:rPr>
      </w:r>
      <w:r>
        <w:rPr>
          <w:rStyle w:val="11"/>
          <w:rFonts w:ascii="SimHei" w:hAnsi="SimHei" w:eastAsia="黑体"/>
        </w:rPr>
      </w:r>
      <w:r>
        <w:rPr>
          <w:rStyle w:val="11"/>
          <w:rFonts w:hint="eastAsia" w:ascii="SimHei" w:hAnsi="SimHei" w:eastAsia="黑体"/>
          <w:bCs/>
          <w:szCs w:val="28"/>
        </w:rPr>
        <w:t>第一章</w:t>
      </w:r>
      <w:r>
        <w:rPr>
          <w:rStyle w:val="11"/>
          <w:rFonts w:ascii="SimHei" w:hAnsi="SimHei" w:eastAsia="黑体"/>
          <w:bCs/>
          <w:szCs w:val="28"/>
        </w:rPr>
        <w:t xml:space="preserve">  </w:t>
      </w:r>
      <w:r>
        <w:rPr>
          <w:rStyle w:val="11"/>
          <w:rFonts w:hint="eastAsia" w:ascii="SimHei" w:hAnsi="SimHei" w:eastAsia="黑体"/>
          <w:bCs/>
          <w:szCs w:val="28"/>
        </w:rPr>
        <w:t>总则</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w:t>
      </w:r>
      <w:r>
        <w:rPr>
          <w:rFonts w:ascii="SimHei" w:hAnsi="SimHei" w:eastAsia="黑体"/>
        </w:rPr>
      </w:r>
      <w:r>
        <w:rPr>
          <w:rStyle w:val="11"/>
          <w:rFonts w:ascii="SimHei" w:hAnsi="SimHei" w:eastAsia="黑体"/>
        </w:rPr>
      </w:r>
    </w:p>
    <w:p>
      <w:pPr>
        <w:pStyle w:val="6"/>
        <w:tabs>
          <w:tab w:val="right" w:leader="dot" w:pos="8302"/>
        </w:tabs>
        <w:rPr>
          <w:szCs w:val="24"/>
        </w:rPr>
      </w:pPr>
      <w:r>
        <w:rPr>
          <w:rStyle w:val="11"/>
          <w:rFonts w:ascii="SimHei" w:hAnsi="SimHei" w:eastAsia="黑体"/>
        </w:rPr>
      </w:r>
      <w:r>
        <w:rPr>
          <w:rStyle w:val="11"/>
          <w:rFonts w:ascii="SimHei" w:hAnsi="SimHei" w:eastAsia="黑体"/>
        </w:rPr>
      </w:r>
      <w:r>
        <w:rPr>
          <w:rFonts w:ascii="SimHei" w:hAnsi="SimHei" w:eastAsia="黑体"/>
        </w:rPr>
      </w:r>
      <w:r>
        <w:rPr>
          <w:rStyle w:val="11"/>
          <w:rFonts w:ascii="SimHei" w:hAnsi="SimHei" w:eastAsia="黑体"/>
        </w:rPr>
      </w:r>
      <w:r>
        <w:rPr>
          <w:rStyle w:val="11"/>
          <w:rFonts w:ascii="SimHei" w:hAnsi="SimHei" w:eastAsia="黑体"/>
        </w:rPr>
      </w:r>
      <w:r>
        <w:rPr>
          <w:rStyle w:val="11"/>
          <w:rFonts w:hint="eastAsia" w:ascii="SimHei" w:hAnsi="SimHei" w:eastAsia="黑体"/>
          <w:bCs/>
          <w:szCs w:val="28"/>
        </w:rPr>
        <w:t>第二章</w:t>
      </w:r>
      <w:r>
        <w:rPr>
          <w:rStyle w:val="11"/>
          <w:rFonts w:ascii="SimHei" w:hAnsi="SimHei" w:eastAsia="黑体"/>
          <w:bCs/>
          <w:szCs w:val="28"/>
        </w:rPr>
        <w:t xml:space="preserve"> </w:t>
      </w:r>
      <w:r>
        <w:rPr>
          <w:rStyle w:val="11"/>
          <w:rFonts w:hint="eastAsia" w:ascii="SimHei" w:hAnsi="SimHei" w:eastAsia="黑体"/>
          <w:bCs/>
          <w:szCs w:val="28"/>
        </w:rPr>
        <w:t>年度经营业绩考核</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w:t>
      </w:r>
      <w:r>
        <w:rPr>
          <w:rFonts w:ascii="SimHei" w:hAnsi="SimHei" w:eastAsia="黑体"/>
        </w:rPr>
      </w:r>
      <w:r>
        <w:rPr>
          <w:rStyle w:val="11"/>
          <w:rFonts w:ascii="SimHei" w:hAnsi="SimHei" w:eastAsia="黑体"/>
        </w:rPr>
      </w:r>
    </w:p>
    <w:p>
      <w:pPr>
        <w:pStyle w:val="6"/>
        <w:tabs>
          <w:tab w:val="right" w:leader="dot" w:pos="8302"/>
        </w:tabs>
        <w:rPr>
          <w:szCs w:val="24"/>
        </w:rPr>
      </w:pPr>
      <w:r>
        <w:rPr>
          <w:rStyle w:val="11"/>
          <w:rFonts w:ascii="SimHei" w:hAnsi="SimHei" w:eastAsia="黑体"/>
        </w:rPr>
      </w:r>
      <w:r>
        <w:rPr>
          <w:rStyle w:val="11"/>
          <w:rFonts w:ascii="SimHei" w:hAnsi="SimHei" w:eastAsia="黑体"/>
        </w:rPr>
      </w:r>
      <w:r>
        <w:rPr>
          <w:rFonts w:ascii="SimHei" w:hAnsi="SimHei" w:eastAsia="黑体"/>
        </w:rPr>
      </w:r>
      <w:r>
        <w:rPr>
          <w:rStyle w:val="11"/>
          <w:rFonts w:ascii="SimHei" w:hAnsi="SimHei" w:eastAsia="黑体"/>
        </w:rPr>
      </w:r>
      <w:r>
        <w:rPr>
          <w:rStyle w:val="11"/>
          <w:rFonts w:ascii="SimHei" w:hAnsi="SimHei" w:eastAsia="黑体"/>
        </w:rPr>
      </w:r>
      <w:r>
        <w:rPr>
          <w:rStyle w:val="11"/>
          <w:rFonts w:hint="eastAsia" w:ascii="SimHei" w:hAnsi="SimHei" w:eastAsia="黑体"/>
          <w:bCs/>
          <w:szCs w:val="28"/>
        </w:rPr>
        <w:t>第三章</w:t>
      </w:r>
      <w:r>
        <w:rPr>
          <w:rStyle w:val="11"/>
          <w:rFonts w:ascii="SimHei" w:hAnsi="SimHei" w:eastAsia="黑体"/>
          <w:bCs/>
          <w:szCs w:val="28"/>
        </w:rPr>
        <w:t xml:space="preserve"> </w:t>
      </w:r>
      <w:r>
        <w:rPr>
          <w:rStyle w:val="11"/>
          <w:rFonts w:hint="eastAsia" w:ascii="SimHei" w:hAnsi="SimHei" w:eastAsia="黑体"/>
          <w:bCs/>
          <w:szCs w:val="28"/>
        </w:rPr>
        <w:t>任期经营业绩考核</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5</w:t>
      </w:r>
      <w:r>
        <w:rPr>
          <w:rFonts w:ascii="SimHei" w:hAnsi="SimHei" w:eastAsia="黑体"/>
        </w:rPr>
      </w:r>
      <w:r>
        <w:rPr>
          <w:rStyle w:val="11"/>
          <w:rFonts w:ascii="SimHei" w:hAnsi="SimHei" w:eastAsia="黑体"/>
        </w:rPr>
      </w:r>
    </w:p>
    <w:p>
      <w:pPr>
        <w:pStyle w:val="6"/>
        <w:tabs>
          <w:tab w:val="right" w:leader="dot" w:pos="8302"/>
        </w:tabs>
        <w:rPr>
          <w:szCs w:val="24"/>
        </w:rPr>
      </w:pPr>
      <w:r>
        <w:rPr>
          <w:rStyle w:val="11"/>
          <w:rFonts w:ascii="SimHei" w:hAnsi="SimHei" w:eastAsia="黑体"/>
        </w:rPr>
      </w:r>
      <w:r>
        <w:rPr>
          <w:rStyle w:val="11"/>
          <w:rFonts w:ascii="SimHei" w:hAnsi="SimHei" w:eastAsia="黑体"/>
        </w:rPr>
      </w:r>
      <w:r>
        <w:rPr>
          <w:rFonts w:ascii="SimHei" w:hAnsi="SimHei" w:eastAsia="黑体"/>
        </w:rPr>
      </w:r>
      <w:r>
        <w:rPr>
          <w:rStyle w:val="11"/>
          <w:rFonts w:ascii="SimHei" w:hAnsi="SimHei" w:eastAsia="黑体"/>
        </w:rPr>
      </w:r>
      <w:r>
        <w:rPr>
          <w:rStyle w:val="11"/>
          <w:rFonts w:ascii="SimHei" w:hAnsi="SimHei" w:eastAsia="黑体"/>
        </w:rPr>
      </w:r>
      <w:r>
        <w:rPr>
          <w:rStyle w:val="11"/>
          <w:rFonts w:hint="eastAsia" w:ascii="SimHei" w:hAnsi="SimHei" w:eastAsia="黑体"/>
          <w:bCs/>
          <w:szCs w:val="28"/>
        </w:rPr>
        <w:t>第四章</w:t>
      </w:r>
      <w:r>
        <w:rPr>
          <w:rStyle w:val="11"/>
          <w:rFonts w:ascii="SimHei" w:hAnsi="SimHei" w:eastAsia="黑体"/>
          <w:bCs/>
          <w:szCs w:val="28"/>
        </w:rPr>
        <w:t xml:space="preserve"> </w:t>
      </w:r>
      <w:r>
        <w:rPr>
          <w:rStyle w:val="11"/>
          <w:rFonts w:hint="eastAsia" w:ascii="SimHei" w:hAnsi="SimHei" w:eastAsia="黑体"/>
          <w:bCs/>
          <w:szCs w:val="28"/>
        </w:rPr>
        <w:t>奖</w:t>
      </w:r>
      <w:r>
        <w:rPr>
          <w:rStyle w:val="11"/>
          <w:rFonts w:ascii="SimHei" w:hAnsi="SimHei" w:eastAsia="黑体"/>
          <w:bCs/>
          <w:szCs w:val="28"/>
        </w:rPr>
        <w:t xml:space="preserve"> </w:t>
      </w:r>
      <w:r>
        <w:rPr>
          <w:rStyle w:val="11"/>
          <w:rFonts w:hint="eastAsia" w:ascii="SimHei" w:hAnsi="SimHei" w:eastAsia="黑体"/>
          <w:bCs/>
          <w:szCs w:val="28"/>
        </w:rPr>
        <w:t>惩</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8</w:t>
      </w:r>
      <w:r>
        <w:rPr>
          <w:rFonts w:ascii="SimHei" w:hAnsi="SimHei" w:eastAsia="黑体"/>
        </w:rPr>
      </w:r>
      <w:r>
        <w:rPr>
          <w:rStyle w:val="11"/>
          <w:rFonts w:ascii="SimHei" w:hAnsi="SimHei" w:eastAsia="黑体"/>
        </w:rPr>
      </w:r>
    </w:p>
    <w:p>
      <w:pPr>
        <w:pStyle w:val="6"/>
        <w:tabs>
          <w:tab w:val="right" w:leader="dot" w:pos="8302"/>
        </w:tabs>
        <w:rPr>
          <w:szCs w:val="24"/>
        </w:rPr>
      </w:pPr>
      <w:r>
        <w:rPr>
          <w:rStyle w:val="11"/>
          <w:rFonts w:ascii="SimHei" w:hAnsi="SimHei" w:eastAsia="黑体"/>
        </w:rPr>
      </w:r>
      <w:r>
        <w:rPr>
          <w:rStyle w:val="11"/>
          <w:rFonts w:ascii="SimHei" w:hAnsi="SimHei" w:eastAsia="黑体"/>
        </w:rPr>
      </w:r>
      <w:r>
        <w:rPr>
          <w:rFonts w:ascii="SimHei" w:hAnsi="SimHei" w:eastAsia="黑体"/>
        </w:rPr>
      </w:r>
      <w:r>
        <w:rPr>
          <w:rStyle w:val="11"/>
          <w:rFonts w:ascii="SimHei" w:hAnsi="SimHei" w:eastAsia="黑体"/>
        </w:rPr>
      </w:r>
      <w:r>
        <w:rPr>
          <w:rStyle w:val="11"/>
          <w:rFonts w:ascii="SimHei" w:hAnsi="SimHei" w:eastAsia="黑体"/>
        </w:rPr>
      </w:r>
      <w:r>
        <w:rPr>
          <w:rStyle w:val="11"/>
          <w:rFonts w:hint="eastAsia" w:ascii="SimHei" w:hAnsi="SimHei" w:eastAsia="黑体"/>
          <w:bCs/>
          <w:szCs w:val="28"/>
        </w:rPr>
        <w:t>第五章</w:t>
      </w:r>
      <w:r>
        <w:rPr>
          <w:rStyle w:val="11"/>
          <w:rFonts w:ascii="SimHei" w:hAnsi="SimHei" w:eastAsia="黑体"/>
          <w:bCs/>
          <w:szCs w:val="28"/>
        </w:rPr>
        <w:t xml:space="preserve">  </w:t>
      </w:r>
      <w:r>
        <w:rPr>
          <w:rStyle w:val="11"/>
          <w:rFonts w:hint="eastAsia" w:ascii="SimHei" w:hAnsi="SimHei" w:eastAsia="黑体"/>
          <w:bCs/>
          <w:szCs w:val="28"/>
        </w:rPr>
        <w:t>附则</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11</w:t>
      </w:r>
      <w:r>
        <w:rPr>
          <w:rFonts w:ascii="SimHei" w:hAnsi="SimHei" w:eastAsia="黑体"/>
        </w:rPr>
      </w:r>
      <w:r>
        <w:rPr>
          <w:rStyle w:val="11"/>
          <w:rFonts w:ascii="SimHei" w:hAnsi="SimHei" w:eastAsia="黑体"/>
        </w:rPr>
      </w:r>
    </w:p>
    <w:p>
      <w:pPr>
        <w:pStyle w:val="6"/>
        <w:tabs>
          <w:tab w:val="right" w:leader="dot" w:pos="8302"/>
        </w:tabs>
        <w:rPr>
          <w:szCs w:val="24"/>
        </w:rPr>
      </w:pPr>
      <w:r>
        <w:rPr>
          <w:rStyle w:val="11"/>
          <w:rFonts w:ascii="SimHei" w:hAnsi="SimHei" w:eastAsia="黑体"/>
        </w:rPr>
      </w:r>
      <w:r>
        <w:rPr>
          <w:rStyle w:val="11"/>
          <w:rFonts w:ascii="SimHei" w:hAnsi="SimHei" w:eastAsia="黑体"/>
        </w:rPr>
      </w:r>
      <w:r>
        <w:rPr>
          <w:rFonts w:ascii="SimHei" w:hAnsi="SimHei" w:eastAsia="黑体"/>
        </w:rPr>
      </w:r>
      <w:r>
        <w:rPr>
          <w:rStyle w:val="11"/>
          <w:rFonts w:ascii="SimHei" w:hAnsi="SimHei" w:eastAsia="黑体"/>
        </w:rPr>
      </w:r>
      <w:r>
        <w:rPr>
          <w:rStyle w:val="11"/>
          <w:rFonts w:ascii="SimHei" w:hAnsi="SimHei" w:eastAsia="黑体"/>
        </w:rPr>
      </w:r>
      <w:r>
        <w:rPr>
          <w:rStyle w:val="11"/>
          <w:rFonts w:hint="eastAsia" w:ascii="SimHei" w:hAnsi="SimHei" w:eastAsia="黑体"/>
          <w:bCs/>
          <w:szCs w:val="28"/>
        </w:rPr>
        <w:t>附件</w:t>
      </w:r>
      <w:r>
        <w:rPr>
          <w:rStyle w:val="11"/>
          <w:rFonts w:ascii="SimHei" w:hAnsi="SimHei" w:eastAsia="黑体"/>
          <w:bCs/>
          <w:szCs w:val="28"/>
        </w:rPr>
        <w:t>1</w:t>
      </w:r>
      <w:r>
        <w:rPr>
          <w:rStyle w:val="11"/>
          <w:rFonts w:hint="eastAsia" w:ascii="SimHei" w:hAnsi="SimHei" w:eastAsia="黑体"/>
          <w:bCs/>
          <w:szCs w:val="28"/>
        </w:rPr>
        <w:t>：基本年薪</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12</w:t>
      </w:r>
      <w:r>
        <w:rPr>
          <w:rFonts w:ascii="SimHei" w:hAnsi="SimHei" w:eastAsia="黑体"/>
        </w:rPr>
      </w:r>
      <w:r>
        <w:rPr>
          <w:rStyle w:val="11"/>
          <w:rFonts w:ascii="SimHei" w:hAnsi="SimHei" w:eastAsia="黑体"/>
        </w:rPr>
      </w:r>
    </w:p>
    <w:p>
      <w:pPr>
        <w:pStyle w:val="6"/>
        <w:tabs>
          <w:tab w:val="right" w:leader="dot" w:pos="8302"/>
        </w:tabs>
        <w:rPr>
          <w:szCs w:val="24"/>
        </w:rPr>
      </w:pPr>
      <w:r>
        <w:rPr>
          <w:rStyle w:val="11"/>
          <w:rFonts w:ascii="SimHei" w:hAnsi="SimHei" w:eastAsia="黑体"/>
        </w:rPr>
      </w:r>
      <w:r>
        <w:rPr>
          <w:rStyle w:val="11"/>
          <w:rFonts w:ascii="SimHei" w:hAnsi="SimHei" w:eastAsia="黑体"/>
        </w:rPr>
      </w:r>
      <w:r>
        <w:rPr>
          <w:rFonts w:ascii="SimHei" w:hAnsi="SimHei" w:eastAsia="黑体"/>
        </w:rPr>
      </w:r>
      <w:r>
        <w:rPr>
          <w:rStyle w:val="11"/>
          <w:rFonts w:ascii="SimHei" w:hAnsi="SimHei" w:eastAsia="黑体"/>
        </w:rPr>
      </w:r>
      <w:r>
        <w:rPr>
          <w:rStyle w:val="11"/>
          <w:rFonts w:ascii="SimHei" w:hAnsi="SimHei" w:eastAsia="黑体"/>
        </w:rPr>
      </w:r>
      <w:r>
        <w:rPr>
          <w:rStyle w:val="11"/>
          <w:rFonts w:hint="eastAsia" w:ascii="SimHei" w:hAnsi="SimHei" w:eastAsia="黑体"/>
          <w:bCs/>
          <w:szCs w:val="28"/>
        </w:rPr>
        <w:t>附件</w:t>
      </w:r>
      <w:r>
        <w:rPr>
          <w:rStyle w:val="11"/>
          <w:rFonts w:ascii="SimHei" w:hAnsi="SimHei" w:eastAsia="黑体"/>
          <w:bCs/>
          <w:szCs w:val="28"/>
        </w:rPr>
        <w:t>2</w:t>
      </w:r>
      <w:r>
        <w:rPr>
          <w:rStyle w:val="11"/>
          <w:rFonts w:hint="eastAsia" w:ascii="SimHei" w:hAnsi="SimHei" w:eastAsia="黑体"/>
          <w:bCs/>
          <w:szCs w:val="28"/>
        </w:rPr>
        <w:t>：年度经营业绩考核计分办法</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14</w:t>
      </w:r>
      <w:r>
        <w:rPr>
          <w:rFonts w:ascii="SimHei" w:hAnsi="SimHei" w:eastAsia="黑体"/>
        </w:rPr>
      </w:r>
      <w:r>
        <w:rPr>
          <w:rStyle w:val="11"/>
          <w:rFonts w:ascii="SimHei" w:hAnsi="SimHei" w:eastAsia="黑体"/>
        </w:rPr>
      </w:r>
    </w:p>
    <w:p>
      <w:pPr>
        <w:pStyle w:val="6"/>
        <w:tabs>
          <w:tab w:val="right" w:leader="dot" w:pos="8302"/>
        </w:tabs>
        <w:rPr>
          <w:szCs w:val="24"/>
        </w:rPr>
      </w:pPr>
      <w:r>
        <w:rPr>
          <w:rStyle w:val="11"/>
          <w:rFonts w:ascii="SimHei" w:hAnsi="SimHei" w:eastAsia="黑体"/>
        </w:rPr>
      </w:r>
      <w:r>
        <w:rPr>
          <w:rStyle w:val="11"/>
          <w:rFonts w:ascii="SimHei" w:hAnsi="SimHei" w:eastAsia="黑体"/>
        </w:rPr>
      </w:r>
      <w:r>
        <w:rPr>
          <w:rFonts w:ascii="SimHei" w:hAnsi="SimHei" w:eastAsia="黑体"/>
        </w:rPr>
      </w:r>
      <w:r>
        <w:rPr>
          <w:rStyle w:val="11"/>
          <w:rFonts w:ascii="SimHei" w:hAnsi="SimHei" w:eastAsia="黑体"/>
        </w:rPr>
      </w:r>
      <w:r>
        <w:rPr>
          <w:rStyle w:val="11"/>
          <w:rFonts w:ascii="SimHei" w:hAnsi="SimHei" w:eastAsia="黑体"/>
        </w:rPr>
      </w:r>
      <w:r>
        <w:rPr>
          <w:rStyle w:val="11"/>
          <w:rFonts w:hint="eastAsia" w:ascii="SimHei" w:hAnsi="SimHei" w:eastAsia="黑体"/>
          <w:bCs/>
          <w:szCs w:val="28"/>
        </w:rPr>
        <w:t>附件</w:t>
      </w:r>
      <w:r>
        <w:rPr>
          <w:rStyle w:val="11"/>
          <w:rFonts w:ascii="SimHei" w:hAnsi="SimHei" w:eastAsia="黑体"/>
          <w:bCs/>
          <w:szCs w:val="28"/>
        </w:rPr>
        <w:t>3</w:t>
      </w:r>
      <w:r>
        <w:rPr>
          <w:rStyle w:val="11"/>
          <w:rFonts w:hint="eastAsia" w:ascii="SimHei" w:hAnsi="SimHei" w:eastAsia="黑体"/>
          <w:bCs/>
          <w:szCs w:val="28"/>
        </w:rPr>
        <w:t>：任期经营业绩考核计分办法</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16</w:t>
      </w:r>
      <w:r>
        <w:rPr>
          <w:rFonts w:ascii="SimHei" w:hAnsi="SimHei" w:eastAsia="黑体"/>
        </w:rPr>
      </w:r>
      <w:r>
        <w:rPr>
          <w:rStyle w:val="11"/>
          <w:rFonts w:ascii="SimHei" w:hAnsi="SimHei" w:eastAsia="黑体"/>
        </w:rPr>
      </w:r>
    </w:p>
    <w:p>
      <w:pPr>
        <w:pStyle w:val="6"/>
        <w:tabs>
          <w:tab w:val="right" w:leader="dot" w:pos="8302"/>
        </w:tabs>
        <w:rPr>
          <w:szCs w:val="24"/>
        </w:rPr>
      </w:pPr>
      <w:r>
        <w:rPr>
          <w:rStyle w:val="11"/>
          <w:rFonts w:ascii="SimHei" w:hAnsi="SimHei" w:eastAsia="黑体"/>
        </w:rPr>
      </w:r>
      <w:r>
        <w:rPr>
          <w:rStyle w:val="11"/>
          <w:rFonts w:ascii="SimHei" w:hAnsi="SimHei" w:eastAsia="黑体"/>
        </w:rPr>
      </w:r>
      <w:r>
        <w:rPr>
          <w:rFonts w:ascii="SimHei" w:hAnsi="SimHei" w:eastAsia="黑体"/>
        </w:rPr>
      </w:r>
      <w:r>
        <w:rPr>
          <w:rStyle w:val="11"/>
          <w:rFonts w:ascii="SimHei" w:hAnsi="SimHei" w:eastAsia="黑体"/>
        </w:rPr>
      </w:r>
      <w:r>
        <w:rPr>
          <w:rStyle w:val="11"/>
          <w:rFonts w:ascii="SimHei" w:hAnsi="SimHei" w:eastAsia="黑体"/>
        </w:rPr>
      </w:r>
      <w:r>
        <w:rPr>
          <w:rStyle w:val="11"/>
          <w:rFonts w:hint="eastAsia" w:ascii="SimHei" w:hAnsi="SimHei" w:eastAsia="黑体"/>
          <w:bCs/>
          <w:szCs w:val="28"/>
        </w:rPr>
        <w:t>附件</w:t>
      </w:r>
      <w:r>
        <w:rPr>
          <w:rStyle w:val="11"/>
          <w:rFonts w:ascii="SimHei" w:hAnsi="SimHei" w:eastAsia="黑体"/>
          <w:bCs/>
          <w:szCs w:val="28"/>
        </w:rPr>
        <w:t>4</w:t>
      </w:r>
      <w:r>
        <w:rPr>
          <w:rStyle w:val="11"/>
          <w:rFonts w:hint="eastAsia" w:ascii="SimHei" w:hAnsi="SimHei" w:eastAsia="黑体"/>
          <w:bCs/>
          <w:szCs w:val="28"/>
        </w:rPr>
        <w:t>：经营难度系数的确定</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18</w:t>
      </w:r>
      <w:r>
        <w:rPr>
          <w:rFonts w:ascii="SimHei" w:hAnsi="SimHei" w:eastAsia="黑体"/>
        </w:rPr>
      </w:r>
      <w:r>
        <w:rPr>
          <w:rStyle w:val="11"/>
          <w:rFonts w:ascii="SimHei" w:hAnsi="SimHei" w:eastAsia="黑体"/>
        </w:rPr>
      </w:r>
    </w:p>
    <w:p>
      <w:pPr>
        <w:pStyle w:val="12"/>
        <w:spacing w:line="360" w:lineRule="auto"/>
        <w:rPr>
          <w:rFonts w:hint="eastAsia"/>
          <w:bCs/>
        </w:rPr>
        <w:sectPr>
          <w:pgSz w:w="11906" w:h="16838"/>
          <w:pgMar w:top="1440" w:right="1797" w:bottom="1440" w:left="1797" w:header="851" w:footer="992" w:gutter="0"/>
          <w:pgNumType w:fmt="upperRoman" w:start="1"/>
          <w:cols w:space="425" w:num="1"/>
          <w:docGrid w:type="lines" w:linePitch="367" w:charSpace="0"/>
        </w:sectPr>
      </w:pPr>
      <w:r>
        <w:rPr>
          <w:rFonts w:ascii="SimHei" w:eastAsia="黑体" w:hAnsi="SimHei"/>
          <w:b w:val="0"/>
          <w:bCs/>
        </w:rPr>
      </w:r>
    </w:p>
    <w:p>
      <w:pPr>
        <w:pStyle w:val="2"/>
        <w:rPr>
          <w:rFonts w:hint="eastAsia" w:ascii="宋体" w:hAnsi="宋体"/>
          <w:bCs/>
        </w:rPr>
      </w:pPr>
      <w:bookmarkStart w:id="0" w:name="_Hlt76867485"/>
      <w:bookmarkEnd w:id="0"/>
      <w:bookmarkStart w:id="1" w:name="_Toc81280996"/>
      <w:bookmarkStart w:id="2" w:name="_Toc16144329"/>
      <w:bookmarkStart w:id="3" w:name="_Toc54765310"/>
      <w:bookmarkStart w:id="4" w:name="_Toc4487134"/>
      <w:r>
        <w:rPr>
          <w:rFonts w:hint="eastAsia" w:ascii="SimHei" w:hAnsi="SimHei" w:eastAsia="黑体"/>
          <w:bCs/>
        </w:rPr>
        <w:t>第一章  总则</w:t>
      </w:r>
      <w:bookmarkEnd w:id="1"/>
    </w:p>
    <w:p>
      <w:pPr>
        <w:pStyle w:val="7"/>
        <w:numPr>
          <w:ilvl w:val="0"/>
          <w:numId w:val="1"/>
        </w:numPr>
        <w:spacing w:line="330" w:lineRule="atLeast"/>
        <w:rPr>
          <w:color w:val="000000"/>
          <w:sz w:val="21"/>
          <w:szCs w:val="21"/>
        </w:rPr>
      </w:pPr>
      <w:r>
        <w:rPr>
          <w:rFonts w:hint="eastAsia" w:ascii="SimHei" w:hAnsi="SimHei" w:eastAsia="黑体"/>
          <w:color w:val="000000"/>
          <w:sz w:val="27"/>
          <w:szCs w:val="27"/>
        </w:rPr>
        <w:t>为了切实履行企业国有资产出资人职责，维护所有者权益，落实国有资产保值增值责任，建立有效的激励和约束机制，参照国务院国资委《中央企业负责人经营业绩考核暂行办法》及山东省国资委有关法律法规，根据华</w:t>
      </w:r>
      <w:bookmarkStart w:id="22" w:name="_GoBack"/>
      <w:bookmarkEnd w:id="22"/>
      <w:r>
        <w:rPr>
          <w:rFonts w:hint="eastAsia" w:ascii="SimHei" w:hAnsi="SimHei" w:eastAsia="黑体"/>
          <w:color w:val="000000"/>
          <w:sz w:val="27"/>
          <w:szCs w:val="27"/>
        </w:rPr>
        <w:t>某集团具体情况，制定本办法。</w:t>
      </w:r>
    </w:p>
    <w:p>
      <w:pPr>
        <w:pStyle w:val="7"/>
        <w:numPr>
          <w:ilvl w:val="0"/>
          <w:numId w:val="1"/>
        </w:numPr>
        <w:spacing w:line="330" w:lineRule="atLeast"/>
        <w:rPr>
          <w:color w:val="000000"/>
          <w:sz w:val="27"/>
          <w:szCs w:val="27"/>
        </w:rPr>
      </w:pPr>
      <w:r>
        <w:rPr>
          <w:rFonts w:hint="eastAsia" w:ascii="SimHei" w:hAnsi="SimHei" w:eastAsia="黑体"/>
          <w:color w:val="000000"/>
          <w:sz w:val="27"/>
          <w:szCs w:val="27"/>
        </w:rPr>
        <w:t>某集团董事会成员及其他高层管理人员。具体包括</w:t>
      </w:r>
      <w:r>
        <w:rPr>
          <w:rFonts w:ascii="SimHei" w:hAnsi="SimHei" w:eastAsia="黑体"/>
          <w:color w:val="000000"/>
          <w:sz w:val="27"/>
          <w:szCs w:val="27"/>
        </w:rPr>
        <w:t>:</w:t>
      </w:r>
    </w:p>
    <w:p>
      <w:pPr>
        <w:pStyle w:val="7"/>
        <w:spacing w:line="330" w:lineRule="atLeast"/>
        <w:ind w:firstLine="425"/>
        <w:rPr>
          <w:color w:val="000000"/>
          <w:sz w:val="21"/>
          <w:szCs w:val="21"/>
        </w:rPr>
      </w:pPr>
      <w:r>
        <w:rPr>
          <w:rFonts w:hint="eastAsia" w:ascii="SimHei" w:hAnsi="SimHei" w:eastAsia="黑体"/>
          <w:color w:val="000000"/>
          <w:sz w:val="27"/>
          <w:szCs w:val="27"/>
        </w:rPr>
        <w:t>某集团董事长、副董事长、董事；</w:t>
      </w:r>
    </w:p>
    <w:p>
      <w:pPr>
        <w:pStyle w:val="7"/>
        <w:spacing w:line="330" w:lineRule="atLeast"/>
        <w:ind w:firstLine="425"/>
        <w:rPr>
          <w:rFonts w:hint="eastAsia"/>
          <w:color w:val="000000"/>
          <w:sz w:val="27"/>
          <w:szCs w:val="27"/>
        </w:rPr>
      </w:pPr>
      <w:r>
        <w:rPr>
          <w:rFonts w:hint="eastAsia" w:ascii="SimHei" w:hAnsi="SimHei" w:eastAsia="黑体"/>
          <w:color w:val="000000"/>
          <w:sz w:val="27"/>
          <w:szCs w:val="27"/>
        </w:rPr>
        <w:t>（二）</w:t>
      </w:r>
      <w:r>
        <w:rPr>
          <w:rFonts w:ascii="SimHei" w:hAnsi="SimHei" w:eastAsia="黑体"/>
          <w:color w:val="000000"/>
          <w:sz w:val="27"/>
          <w:szCs w:val="27"/>
        </w:rPr>
        <w:t>总经理、副总经理、</w:t>
      </w:r>
      <w:r>
        <w:rPr>
          <w:rFonts w:hint="eastAsia" w:ascii="SimHei" w:hAnsi="SimHei" w:eastAsia="黑体"/>
          <w:color w:val="000000"/>
          <w:sz w:val="27"/>
          <w:szCs w:val="27"/>
        </w:rPr>
        <w:t>助理总经理；</w:t>
      </w:r>
    </w:p>
    <w:p>
      <w:pPr>
        <w:pStyle w:val="7"/>
        <w:spacing w:line="330" w:lineRule="atLeast"/>
        <w:ind w:firstLine="425"/>
        <w:rPr>
          <w:rFonts w:hint="eastAsia"/>
          <w:color w:val="000000"/>
          <w:sz w:val="27"/>
          <w:szCs w:val="27"/>
        </w:rPr>
      </w:pPr>
      <w:r>
        <w:rPr>
          <w:rFonts w:hint="eastAsia" w:ascii="SimHei" w:hAnsi="SimHei" w:eastAsia="黑体"/>
          <w:color w:val="000000"/>
          <w:sz w:val="27"/>
          <w:szCs w:val="27"/>
        </w:rPr>
        <w:t>某集团党委书记、副书记、党委委员。</w:t>
      </w:r>
    </w:p>
    <w:p>
      <w:pPr>
        <w:pStyle w:val="7"/>
        <w:numPr>
          <w:ilvl w:val="0"/>
          <w:numId w:val="1"/>
        </w:numPr>
        <w:spacing w:line="330" w:lineRule="atLeast"/>
        <w:rPr>
          <w:color w:val="000000"/>
          <w:sz w:val="27"/>
          <w:szCs w:val="27"/>
        </w:rPr>
      </w:pPr>
      <w:r>
        <w:rPr>
          <w:rFonts w:hint="eastAsia" w:ascii="SimHei" w:hAnsi="SimHei" w:eastAsia="黑体"/>
          <w:color w:val="000000"/>
          <w:sz w:val="27"/>
          <w:szCs w:val="27"/>
        </w:rPr>
        <w:t>对集团高层管理人员的经营业绩，实行年度考核与任期考核相结合、结果考核与过程评价相统一、考核结果与奖惩相挂钩的考核制度。</w:t>
      </w:r>
    </w:p>
    <w:p>
      <w:pPr>
        <w:pStyle w:val="7"/>
        <w:numPr>
          <w:ilvl w:val="0"/>
          <w:numId w:val="1"/>
        </w:numPr>
        <w:spacing w:line="330" w:lineRule="atLeast"/>
        <w:rPr>
          <w:rFonts w:hint="eastAsia"/>
          <w:color w:val="000000"/>
          <w:sz w:val="27"/>
          <w:szCs w:val="27"/>
        </w:rPr>
      </w:pPr>
      <w:r>
        <w:rPr>
          <w:rFonts w:hint="eastAsia" w:ascii="SimHei" w:hAnsi="SimHei" w:eastAsia="黑体"/>
          <w:color w:val="000000"/>
          <w:sz w:val="27"/>
          <w:szCs w:val="27"/>
        </w:rPr>
        <w:t>年度经营业绩考核和任期经营业绩考核采取由省国资委主任或者其授权代表与企业负责人（由省国资委界定）签订经营业绩责任书的方式进行。</w:t>
      </w:r>
    </w:p>
    <w:p>
      <w:pPr>
        <w:pStyle w:val="7"/>
        <w:numPr>
          <w:ilvl w:val="0"/>
          <w:numId w:val="1"/>
        </w:numPr>
        <w:spacing w:line="330" w:lineRule="atLeast"/>
        <w:rPr>
          <w:rFonts w:hint="eastAsia"/>
          <w:color w:val="000000"/>
          <w:sz w:val="27"/>
          <w:szCs w:val="27"/>
        </w:rPr>
      </w:pPr>
      <w:r>
        <w:rPr>
          <w:rFonts w:hint="eastAsia" w:ascii="SimHei" w:hAnsi="SimHei" w:eastAsia="黑体"/>
          <w:color w:val="000000"/>
          <w:sz w:val="27"/>
          <w:szCs w:val="27"/>
        </w:rPr>
        <w:t>为避免双重考核，某集团高管人员兼职情况按以下办法执行：</w:t>
      </w:r>
    </w:p>
    <w:p>
      <w:pPr>
        <w:pStyle w:val="7"/>
        <w:numPr>
          <w:ilvl w:val="0"/>
          <w:numId w:val="2"/>
        </w:numPr>
        <w:spacing w:line="330" w:lineRule="atLeast"/>
        <w:rPr>
          <w:rFonts w:hint="eastAsia"/>
          <w:color w:val="000000"/>
          <w:sz w:val="27"/>
          <w:szCs w:val="27"/>
        </w:rPr>
      </w:pPr>
      <w:r>
        <w:rPr>
          <w:rFonts w:hint="eastAsia" w:ascii="SimHei" w:hAnsi="SimHei" w:eastAsia="黑体"/>
          <w:color w:val="000000"/>
          <w:sz w:val="27"/>
          <w:szCs w:val="27"/>
        </w:rPr>
        <w:t>某集团高管人员兼任权属公司负责人并实际担任实职情况，按权属企业年薪制方案考核奖惩；</w:t>
      </w:r>
    </w:p>
    <w:p>
      <w:pPr>
        <w:pStyle w:val="7"/>
        <w:numPr>
          <w:ilvl w:val="0"/>
          <w:numId w:val="2"/>
        </w:numPr>
        <w:spacing w:line="330" w:lineRule="atLeast"/>
        <w:rPr>
          <w:rFonts w:hint="eastAsia"/>
          <w:color w:val="000000"/>
          <w:sz w:val="27"/>
          <w:szCs w:val="27"/>
        </w:rPr>
      </w:pPr>
      <w:r>
        <w:rPr>
          <w:rFonts w:hint="eastAsia" w:ascii="SimHei" w:hAnsi="SimHei" w:eastAsia="黑体"/>
          <w:color w:val="000000"/>
          <w:sz w:val="27"/>
          <w:szCs w:val="27"/>
        </w:rPr>
        <w:t>某集团董事、党委副书记、党委委员。某集团副总经理标准执行，其他薪酬按其实际担任的职务相应的标准执行。</w:t>
      </w:r>
    </w:p>
    <w:p>
      <w:pPr>
        <w:pStyle w:val="7"/>
        <w:numPr>
          <w:ilvl w:val="0"/>
          <w:numId w:val="1"/>
        </w:numPr>
        <w:spacing w:line="330" w:lineRule="atLeast"/>
        <w:rPr>
          <w:rFonts w:hint="eastAsia"/>
          <w:color w:val="000000"/>
          <w:sz w:val="27"/>
          <w:szCs w:val="27"/>
        </w:rPr>
      </w:pPr>
      <w:r>
        <w:rPr>
          <w:rFonts w:hint="eastAsia" w:ascii="SimHei" w:hAnsi="SimHei" w:eastAsia="黑体"/>
          <w:color w:val="000000"/>
          <w:sz w:val="27"/>
          <w:szCs w:val="27"/>
        </w:rPr>
        <w:t>某集团高层管理人员中不属于省国资委界定的企业负责人，除不与省国资委主任或者其授权代表签订经营业绩责任书外，其考核和薪酬依照本办法执行，有特殊规定者除外。</w:t>
      </w:r>
    </w:p>
    <w:p>
      <w:pPr>
        <w:pStyle w:val="7"/>
        <w:numPr>
          <w:ilvl w:val="0"/>
          <w:numId w:val="1"/>
        </w:numPr>
        <w:spacing w:line="330" w:lineRule="atLeast"/>
        <w:rPr>
          <w:color w:val="000000"/>
          <w:sz w:val="27"/>
          <w:szCs w:val="27"/>
        </w:rPr>
      </w:pPr>
      <w:r>
        <w:rPr>
          <w:rFonts w:hint="eastAsia" w:ascii="SimHei" w:hAnsi="SimHei" w:eastAsia="黑体"/>
          <w:color w:val="000000"/>
          <w:sz w:val="27"/>
          <w:szCs w:val="27"/>
        </w:rPr>
        <w:t>考核原则：</w:t>
      </w:r>
    </w:p>
    <w:p>
      <w:pPr>
        <w:pStyle w:val="7"/>
        <w:spacing w:line="330" w:lineRule="atLeast"/>
        <w:ind w:firstLine="425"/>
        <w:rPr>
          <w:color w:val="000000"/>
          <w:sz w:val="21"/>
          <w:szCs w:val="21"/>
        </w:rPr>
      </w:pPr>
      <w:r>
        <w:rPr>
          <w:rFonts w:hint="eastAsia" w:ascii="SimHei" w:hAnsi="SimHei" w:eastAsia="黑体"/>
          <w:color w:val="000000"/>
          <w:sz w:val="27"/>
          <w:szCs w:val="27"/>
        </w:rPr>
        <w:t>（一）国有资产保值增值原则：确保国有资产保值增值以及资本收益最大化和企业的可持续发展。</w:t>
      </w:r>
    </w:p>
    <w:p>
      <w:pPr>
        <w:pStyle w:val="7"/>
        <w:spacing w:line="330" w:lineRule="atLeast"/>
        <w:ind w:firstLine="425"/>
        <w:rPr>
          <w:color w:val="000000"/>
          <w:sz w:val="21"/>
          <w:szCs w:val="21"/>
        </w:rPr>
      </w:pPr>
      <w:r>
        <w:rPr>
          <w:rFonts w:hint="eastAsia" w:ascii="SimHei" w:hAnsi="SimHei" w:eastAsia="黑体"/>
          <w:color w:val="000000"/>
          <w:sz w:val="27"/>
          <w:szCs w:val="27"/>
        </w:rPr>
        <w:t>（二）针对性原则：结合企业所处的行业</w:t>
      </w:r>
      <w:r>
        <w:rPr>
          <w:rFonts w:hint="eastAsia" w:ascii="SimHei" w:hAnsi="SimHei" w:eastAsia="黑体"/>
          <w:b/>
          <w:bCs/>
          <w:color w:val="000000"/>
          <w:sz w:val="27"/>
          <w:szCs w:val="27"/>
        </w:rPr>
        <w:t>、</w:t>
      </w:r>
      <w:r>
        <w:rPr>
          <w:rFonts w:hint="eastAsia" w:ascii="SimHei" w:hAnsi="SimHei" w:eastAsia="黑体"/>
          <w:color w:val="000000"/>
          <w:sz w:val="27"/>
          <w:szCs w:val="27"/>
        </w:rPr>
        <w:t>资产经营水平和主营业务等特点，实事求是，公开公正，实行科学的考核。</w:t>
      </w:r>
    </w:p>
    <w:p>
      <w:pPr>
        <w:pStyle w:val="7"/>
        <w:spacing w:line="330" w:lineRule="atLeast"/>
        <w:ind w:firstLine="425"/>
        <w:rPr>
          <w:color w:val="000000"/>
          <w:sz w:val="21"/>
          <w:szCs w:val="21"/>
        </w:rPr>
      </w:pPr>
      <w:r>
        <w:rPr>
          <w:rFonts w:hint="eastAsia" w:ascii="SimHei" w:hAnsi="SimHei" w:eastAsia="黑体"/>
          <w:color w:val="000000"/>
          <w:sz w:val="27"/>
          <w:szCs w:val="27"/>
        </w:rPr>
        <w:t>（三）责、权、利相统一原则：按照责权利相统一的要求，建立经营业绩同激励约束机制相结合的考核制度，建立健全科学合理、可追溯的资产经营责任制。</w:t>
      </w:r>
    </w:p>
    <w:p>
      <w:pPr>
        <w:pStyle w:val="2"/>
        <w:rPr>
          <w:rFonts w:ascii="宋体" w:hAnsi="宋体"/>
          <w:bCs/>
        </w:rPr>
      </w:pPr>
      <w:bookmarkStart w:id="5" w:name="_Toc81280997"/>
      <w:r>
        <w:rPr>
          <w:rFonts w:hint="eastAsia" w:ascii="SimHei" w:hAnsi="SimHei" w:eastAsia="黑体"/>
          <w:bCs/>
        </w:rPr>
        <w:t>第二章 年度经营业绩考核</w:t>
      </w:r>
      <w:bookmarkEnd w:id="5"/>
    </w:p>
    <w:p>
      <w:pPr>
        <w:pStyle w:val="7"/>
        <w:numPr>
          <w:ilvl w:val="0"/>
          <w:numId w:val="1"/>
        </w:numPr>
        <w:spacing w:line="330" w:lineRule="atLeast"/>
        <w:rPr>
          <w:color w:val="000000"/>
          <w:sz w:val="27"/>
          <w:szCs w:val="27"/>
        </w:rPr>
      </w:pPr>
      <w:r>
        <w:rPr>
          <w:rFonts w:hint="eastAsia" w:ascii="SimHei" w:hAnsi="SimHei" w:eastAsia="黑体"/>
          <w:color w:val="000000"/>
          <w:sz w:val="27"/>
          <w:szCs w:val="27"/>
        </w:rPr>
        <w:t>年度经营业绩考核以公历年为考核期。</w:t>
      </w:r>
    </w:p>
    <w:p>
      <w:pPr>
        <w:pStyle w:val="7"/>
        <w:numPr>
          <w:ilvl w:val="0"/>
          <w:numId w:val="1"/>
        </w:numPr>
        <w:spacing w:line="330" w:lineRule="atLeast"/>
        <w:rPr>
          <w:color w:val="000000"/>
          <w:sz w:val="27"/>
          <w:szCs w:val="27"/>
        </w:rPr>
      </w:pPr>
      <w:r>
        <w:rPr>
          <w:rFonts w:hint="eastAsia" w:ascii="SimHei" w:hAnsi="SimHei" w:eastAsia="黑体"/>
          <w:color w:val="000000"/>
          <w:sz w:val="27"/>
          <w:szCs w:val="27"/>
        </w:rPr>
        <w:t>年度经营业绩责任书包括下列内容：</w:t>
      </w:r>
    </w:p>
    <w:p>
      <w:pPr>
        <w:pStyle w:val="7"/>
        <w:spacing w:line="330" w:lineRule="atLeast"/>
        <w:ind w:firstLine="425"/>
        <w:rPr>
          <w:color w:val="000000"/>
          <w:sz w:val="21"/>
          <w:szCs w:val="21"/>
        </w:rPr>
      </w:pPr>
      <w:r>
        <w:rPr>
          <w:rFonts w:hint="eastAsia" w:ascii="SimHei" w:hAnsi="SimHei" w:eastAsia="黑体"/>
          <w:color w:val="000000"/>
          <w:sz w:val="27"/>
          <w:szCs w:val="27"/>
        </w:rPr>
        <w:t>（一）双方的名称和姓名；</w:t>
      </w:r>
    </w:p>
    <w:p>
      <w:pPr>
        <w:pStyle w:val="7"/>
        <w:spacing w:line="330" w:lineRule="atLeast"/>
        <w:ind w:firstLine="425"/>
        <w:rPr>
          <w:color w:val="000000"/>
          <w:sz w:val="21"/>
          <w:szCs w:val="21"/>
        </w:rPr>
      </w:pPr>
      <w:r>
        <w:rPr>
          <w:rFonts w:hint="eastAsia" w:ascii="SimHei" w:hAnsi="SimHei" w:eastAsia="黑体"/>
          <w:color w:val="000000"/>
          <w:sz w:val="27"/>
          <w:szCs w:val="27"/>
        </w:rPr>
        <w:t>（二）考核内容及指标；</w:t>
      </w:r>
    </w:p>
    <w:p>
      <w:pPr>
        <w:pStyle w:val="7"/>
        <w:spacing w:line="330" w:lineRule="atLeast"/>
        <w:ind w:firstLine="425"/>
        <w:rPr>
          <w:color w:val="000000"/>
          <w:sz w:val="21"/>
          <w:szCs w:val="21"/>
        </w:rPr>
      </w:pPr>
      <w:r>
        <w:rPr>
          <w:rFonts w:hint="eastAsia" w:ascii="SimHei" w:hAnsi="SimHei" w:eastAsia="黑体"/>
          <w:color w:val="000000"/>
          <w:sz w:val="27"/>
          <w:szCs w:val="27"/>
        </w:rPr>
        <w:t>（三）考核与奖惩；</w:t>
      </w:r>
      <w:r>
        <w:rPr>
          <w:rFonts w:ascii="SimHei" w:hAnsi="SimHei" w:eastAsia="黑体"/>
          <w:color w:val="000000"/>
          <w:sz w:val="27"/>
          <w:szCs w:val="27"/>
        </w:rPr>
        <w:t xml:space="preserve"> </w:t>
      </w:r>
    </w:p>
    <w:p>
      <w:pPr>
        <w:pStyle w:val="7"/>
        <w:spacing w:line="330" w:lineRule="atLeast"/>
        <w:ind w:firstLine="425"/>
        <w:rPr>
          <w:color w:val="000000"/>
          <w:sz w:val="21"/>
          <w:szCs w:val="21"/>
        </w:rPr>
      </w:pPr>
      <w:r>
        <w:rPr>
          <w:rFonts w:hint="eastAsia" w:ascii="SimHei" w:hAnsi="SimHei" w:eastAsia="黑体"/>
          <w:color w:val="000000"/>
          <w:sz w:val="27"/>
          <w:szCs w:val="27"/>
        </w:rPr>
        <w:t>（四）责任书的变更、解除和终止；</w:t>
      </w:r>
    </w:p>
    <w:p>
      <w:pPr>
        <w:pStyle w:val="7"/>
        <w:spacing w:line="330" w:lineRule="atLeast"/>
        <w:ind w:firstLine="425"/>
        <w:rPr>
          <w:color w:val="000000"/>
          <w:sz w:val="21"/>
          <w:szCs w:val="21"/>
        </w:rPr>
      </w:pPr>
      <w:r>
        <w:rPr>
          <w:rFonts w:hint="eastAsia" w:ascii="SimHei" w:hAnsi="SimHei" w:eastAsia="黑体"/>
          <w:color w:val="000000"/>
          <w:sz w:val="27"/>
          <w:szCs w:val="27"/>
        </w:rPr>
        <w:t>（五）其他需要规定的事项。</w:t>
      </w:r>
    </w:p>
    <w:p>
      <w:pPr>
        <w:pStyle w:val="7"/>
        <w:numPr>
          <w:ilvl w:val="0"/>
          <w:numId w:val="1"/>
        </w:numPr>
        <w:spacing w:line="330" w:lineRule="atLeast"/>
        <w:rPr>
          <w:color w:val="000000"/>
          <w:sz w:val="27"/>
          <w:szCs w:val="27"/>
        </w:rPr>
      </w:pPr>
      <w:r>
        <w:rPr>
          <w:rFonts w:hint="eastAsia" w:ascii="SimHei" w:hAnsi="SimHei" w:eastAsia="黑体"/>
          <w:color w:val="000000"/>
          <w:sz w:val="27"/>
          <w:szCs w:val="27"/>
        </w:rPr>
        <w:t>年度经营业绩考核指标包括基本指标与分类指标。</w:t>
      </w:r>
    </w:p>
    <w:p>
      <w:pPr>
        <w:pStyle w:val="7"/>
        <w:spacing w:line="330" w:lineRule="atLeast"/>
        <w:ind w:firstLine="425"/>
        <w:rPr>
          <w:color w:val="000000"/>
          <w:sz w:val="21"/>
          <w:szCs w:val="21"/>
        </w:rPr>
      </w:pPr>
      <w:r>
        <w:rPr>
          <w:rFonts w:hint="eastAsia" w:ascii="SimHei" w:hAnsi="SimHei" w:eastAsia="黑体"/>
          <w:color w:val="000000"/>
          <w:sz w:val="27"/>
          <w:szCs w:val="27"/>
        </w:rPr>
        <w:t>（一）基本指标包括年度利润总额和净资产收益率指标。</w:t>
      </w:r>
    </w:p>
    <w:p>
      <w:pPr>
        <w:pStyle w:val="7"/>
        <w:spacing w:line="330" w:lineRule="atLeast"/>
        <w:ind w:firstLine="425"/>
        <w:rPr>
          <w:color w:val="000000"/>
          <w:sz w:val="21"/>
          <w:szCs w:val="21"/>
        </w:rPr>
      </w:pPr>
      <w:r>
        <w:rPr>
          <w:rFonts w:ascii="SimHei" w:hAnsi="SimHei" w:eastAsia="黑体"/>
          <w:color w:val="000000"/>
          <w:sz w:val="27"/>
          <w:szCs w:val="27"/>
        </w:rPr>
        <w:t>1、年度利润总额是指经核定后的企业合并报表利润总额。企业年度利润计算可加上经核准的当期企业消化以前年度潜亏。</w:t>
      </w:r>
    </w:p>
    <w:p>
      <w:pPr>
        <w:pStyle w:val="7"/>
        <w:spacing w:line="330" w:lineRule="atLeast"/>
        <w:ind w:firstLine="425"/>
        <w:rPr>
          <w:rFonts w:hint="eastAsia"/>
          <w:color w:val="000000"/>
          <w:sz w:val="27"/>
          <w:szCs w:val="27"/>
        </w:rPr>
      </w:pPr>
      <w:r>
        <w:rPr>
          <w:rFonts w:ascii="SimHei" w:hAnsi="SimHei" w:eastAsia="黑体"/>
          <w:color w:val="000000"/>
          <w:sz w:val="27"/>
          <w:szCs w:val="27"/>
        </w:rPr>
        <w:t>2、净资产收益率是指企业考核当期净利润同平均净资产的比率，计算公式为：</w:t>
      </w:r>
    </w:p>
    <w:p>
      <w:pPr>
        <w:pStyle w:val="7"/>
        <w:spacing w:line="330" w:lineRule="atLeast"/>
        <w:ind w:firstLine="425"/>
        <w:jc w:val="center"/>
        <w:rPr>
          <w:rFonts w:hint="eastAsia"/>
          <w:color w:val="000000"/>
          <w:sz w:val="28"/>
          <w:szCs w:val="21"/>
        </w:rPr>
      </w:pPr>
      <w:r>
        <w:rPr>
          <w:rFonts w:ascii="SimHei" w:hAnsi="SimHei" w:eastAsia="黑体"/>
          <w:color w:val="000000"/>
          <w:sz w:val="27"/>
          <w:szCs w:val="27"/>
        </w:rPr>
      </w:r>
    </w:p>
    <w:p>
      <w:pPr>
        <w:pStyle w:val="7"/>
        <w:spacing w:line="330" w:lineRule="atLeast"/>
        <w:ind w:firstLine="425"/>
        <w:rPr>
          <w:color w:val="000000"/>
          <w:sz w:val="21"/>
          <w:szCs w:val="21"/>
        </w:rPr>
      </w:pPr>
      <w:r>
        <w:rPr>
          <w:rFonts w:hint="eastAsia" w:ascii="SimHei" w:hAnsi="SimHei" w:eastAsia="黑体"/>
          <w:color w:val="000000"/>
          <w:sz w:val="27"/>
          <w:szCs w:val="27"/>
        </w:rPr>
        <w:t>其中：净资产中不含少数股东权益。</w:t>
      </w:r>
    </w:p>
    <w:p>
      <w:pPr>
        <w:pStyle w:val="7"/>
        <w:spacing w:line="330" w:lineRule="atLeast"/>
        <w:ind w:firstLine="540"/>
        <w:rPr>
          <w:rFonts w:hint="eastAsia"/>
          <w:color w:val="000000"/>
          <w:sz w:val="27"/>
          <w:szCs w:val="27"/>
        </w:rPr>
      </w:pPr>
      <w:r>
        <w:rPr>
          <w:rFonts w:hint="eastAsia" w:ascii="SimHei" w:hAnsi="SimHei" w:eastAsia="黑体"/>
          <w:color w:val="000000"/>
          <w:sz w:val="27"/>
          <w:szCs w:val="27"/>
        </w:rPr>
        <w:t>（二）分类指标：某集团所处行业和特点，某集团经营管理水平及发展能力等因素，暂定为以下指标。</w:t>
      </w:r>
    </w:p>
    <w:p>
      <w:pPr>
        <w:tabs>
          <w:tab w:val="left" w:pos="709"/>
        </w:tabs>
        <w:spacing w:line="360" w:lineRule="auto"/>
        <w:ind w:firstLine="540" w:firstLineChars="200"/>
        <w:rPr>
          <w:rFonts w:hint="eastAsia"/>
          <w:color w:val="000000"/>
          <w:sz w:val="27"/>
          <w:szCs w:val="27"/>
        </w:rPr>
      </w:pPr>
      <w:r>
        <w:rPr>
          <w:rFonts w:hint="eastAsia" w:ascii="SimHei" w:hAnsi="SimHei" w:eastAsia="黑体"/>
          <w:color w:val="000000"/>
          <w:sz w:val="27"/>
          <w:szCs w:val="27"/>
        </w:rPr>
        <w:t>1、净资产增长率</w:t>
      </w:r>
    </w:p>
    <w:p>
      <w:pPr>
        <w:tabs>
          <w:tab w:val="left" w:pos="709"/>
        </w:tabs>
        <w:spacing w:line="360" w:lineRule="auto"/>
        <w:ind w:firstLine="960" w:firstLineChars="400"/>
        <w:rPr>
          <w:rFonts w:hint="eastAsia" w:ascii="宋体" w:hAnsi="宋体"/>
          <w:sz w:val="24"/>
        </w:rPr>
      </w:pPr>
      <w:r>
        <w:rPr>
          <w:rFonts w:hint="eastAsia" w:ascii="SimHei" w:hAnsi="SimHei" w:eastAsia="黑体"/>
          <w:sz w:val="24"/>
        </w:rPr>
        <w:t>净资</w:t>
      </w:r>
      <w:r>
        <w:rPr>
          <w:rFonts w:hint="eastAsia" w:ascii="SimHei" w:hAnsi="SimHei" w:eastAsia="黑体"/>
          <w:color w:val="000000"/>
          <w:sz w:val="27"/>
          <w:szCs w:val="27"/>
        </w:rPr>
        <w:t>产</w:t>
      </w:r>
      <w:r>
        <w:rPr>
          <w:rFonts w:hint="eastAsia" w:ascii="SimHei" w:hAnsi="SimHei" w:eastAsia="黑体"/>
          <w:sz w:val="24"/>
        </w:rPr>
        <w:t>增长率</w:t>
      </w:r>
      <w:r>
        <w:rPr>
          <w:rFonts w:hint="eastAsia" w:ascii="SimHei" w:hAnsi="SimHei" w:eastAsia="黑体"/>
          <w:sz w:val="24"/>
        </w:rPr>
        <w:t>＝[（年末净资产总额／年初净资产总额）－1]</w:t>
      </w:r>
      <w:r>
        <w:rPr>
          <w:rFonts w:hint="eastAsia" w:ascii="SimHei" w:hAnsi="SimHei" w:eastAsia="黑体"/>
          <w:sz w:val="24"/>
        </w:rPr>
        <w:t>×100%</w:t>
      </w:r>
    </w:p>
    <w:p>
      <w:pPr>
        <w:pStyle w:val="7"/>
        <w:spacing w:line="330" w:lineRule="atLeast"/>
        <w:ind w:firstLine="540"/>
        <w:rPr>
          <w:rFonts w:hint="eastAsia"/>
          <w:color w:val="000000"/>
          <w:sz w:val="27"/>
          <w:szCs w:val="27"/>
        </w:rPr>
      </w:pPr>
      <w:r>
        <w:rPr>
          <w:rFonts w:hint="eastAsia" w:ascii="SimHei" w:hAnsi="SimHei" w:eastAsia="黑体"/>
          <w:color w:val="000000"/>
          <w:sz w:val="27"/>
          <w:szCs w:val="27"/>
        </w:rPr>
        <w:t>2、应收账款周转率</w:t>
      </w:r>
    </w:p>
    <w:p>
      <w:pPr>
        <w:pStyle w:val="7"/>
        <w:spacing w:line="330" w:lineRule="atLeast"/>
        <w:ind w:firstLine="540"/>
        <w:rPr>
          <w:rFonts w:hint="eastAsia"/>
          <w:color w:val="000000"/>
          <w:sz w:val="27"/>
          <w:szCs w:val="27"/>
        </w:rPr>
      </w:pPr>
      <w:r>
        <w:rPr>
          <w:rFonts w:hint="eastAsia" w:ascii="SimHei" w:hAnsi="SimHei" w:eastAsia="黑体"/>
          <w:color w:val="000000"/>
          <w:sz w:val="27"/>
          <w:szCs w:val="27"/>
        </w:rPr>
        <w:t>应收账款周转率＝（主营业务收入／本年应收账款平均余额）×100%</w:t>
      </w:r>
    </w:p>
    <w:p>
      <w:pPr>
        <w:pStyle w:val="7"/>
        <w:spacing w:line="330" w:lineRule="atLeast"/>
        <w:ind w:firstLine="540"/>
        <w:rPr>
          <w:color w:val="000000"/>
          <w:sz w:val="27"/>
          <w:szCs w:val="27"/>
        </w:rPr>
      </w:pPr>
      <w:r>
        <w:rPr>
          <w:rFonts w:hint="eastAsia" w:ascii="SimHei" w:hAnsi="SimHei" w:eastAsia="黑体"/>
          <w:color w:val="000000"/>
          <w:sz w:val="27"/>
          <w:szCs w:val="27"/>
        </w:rPr>
        <w:t>其中，主营业务收入是损益表中相应项目的金额，本年应收账款平均余额是资产负债表上相应项目年初、年末金额的算术平均值。</w:t>
      </w:r>
    </w:p>
    <w:p>
      <w:pPr>
        <w:pStyle w:val="7"/>
        <w:numPr>
          <w:ilvl w:val="0"/>
          <w:numId w:val="1"/>
        </w:numPr>
        <w:spacing w:line="330" w:lineRule="atLeast"/>
        <w:rPr>
          <w:color w:val="000000"/>
          <w:sz w:val="27"/>
          <w:szCs w:val="27"/>
        </w:rPr>
      </w:pPr>
      <w:r>
        <w:rPr>
          <w:rFonts w:hint="eastAsia" w:ascii="SimHei" w:hAnsi="SimHei" w:eastAsia="黑体"/>
          <w:color w:val="000000"/>
          <w:sz w:val="27"/>
          <w:szCs w:val="27"/>
        </w:rPr>
        <w:t>年度经营业绩责任书按下列程序签订：</w:t>
      </w:r>
    </w:p>
    <w:p>
      <w:pPr>
        <w:pStyle w:val="7"/>
        <w:spacing w:line="330" w:lineRule="atLeast"/>
        <w:ind w:firstLine="425"/>
        <w:rPr>
          <w:color w:val="000000"/>
          <w:sz w:val="21"/>
          <w:szCs w:val="21"/>
        </w:rPr>
      </w:pPr>
      <w:r>
        <w:rPr>
          <w:rFonts w:hint="eastAsia" w:ascii="SimHei" w:hAnsi="SimHei" w:eastAsia="黑体"/>
          <w:color w:val="000000"/>
          <w:sz w:val="27"/>
          <w:szCs w:val="27"/>
        </w:rPr>
        <w:t>（一）预报年度经营业绩考核目标建议值。每年第四季度，企业负责人按照省国资委年度经营业绩考核要求和企业发展规划及经营状况，提出下一年度拟完成的经营业绩考核目标建议值，并将考核目标建议值和必要的说明材料报国资委。考核目标建议值原则上不低于前三年考核指标实际完成值的平均值。</w:t>
      </w:r>
    </w:p>
    <w:p>
      <w:pPr>
        <w:pStyle w:val="7"/>
        <w:spacing w:line="330" w:lineRule="atLeast"/>
        <w:ind w:firstLine="425"/>
        <w:rPr>
          <w:color w:val="000000"/>
          <w:sz w:val="21"/>
          <w:szCs w:val="21"/>
        </w:rPr>
      </w:pPr>
      <w:r>
        <w:rPr>
          <w:rFonts w:hint="eastAsia" w:ascii="SimHei" w:hAnsi="SimHei" w:eastAsia="黑体"/>
          <w:color w:val="000000"/>
          <w:sz w:val="27"/>
          <w:szCs w:val="27"/>
        </w:rPr>
        <w:t>（二）核定年度经营业绩考核目标值。国资委根据宏观经济形势及企业运营环境，对企业负责人的年度经营业绩考核目标建议值进行审核，并就考核目标值及有关内容同企业沟通后加以确定。</w:t>
      </w:r>
    </w:p>
    <w:p>
      <w:pPr>
        <w:pStyle w:val="7"/>
        <w:spacing w:line="330" w:lineRule="atLeast"/>
        <w:ind w:firstLine="425"/>
        <w:rPr>
          <w:color w:val="000000"/>
          <w:sz w:val="21"/>
          <w:szCs w:val="21"/>
        </w:rPr>
      </w:pPr>
      <w:r>
        <w:rPr>
          <w:rFonts w:hint="eastAsia" w:ascii="SimHei" w:hAnsi="SimHei" w:eastAsia="黑体"/>
          <w:color w:val="000000"/>
          <w:sz w:val="27"/>
          <w:szCs w:val="27"/>
        </w:rPr>
        <w:t>（三）由省国资委主任或者其授权代表同企业负责人签订年度经营业绩责任书。</w:t>
      </w:r>
    </w:p>
    <w:p>
      <w:pPr>
        <w:pStyle w:val="7"/>
        <w:numPr>
          <w:ilvl w:val="0"/>
          <w:numId w:val="1"/>
        </w:numPr>
        <w:spacing w:line="330" w:lineRule="atLeast"/>
        <w:rPr>
          <w:color w:val="000000"/>
          <w:sz w:val="27"/>
          <w:szCs w:val="27"/>
        </w:rPr>
      </w:pPr>
      <w:r>
        <w:rPr>
          <w:rFonts w:hint="eastAsia" w:ascii="SimHei" w:hAnsi="SimHei" w:eastAsia="黑体"/>
          <w:color w:val="000000"/>
          <w:sz w:val="27"/>
          <w:szCs w:val="27"/>
        </w:rPr>
        <w:t>年度经营业绩责任书签订后，须向省国资委报告以下各项。</w:t>
      </w:r>
    </w:p>
    <w:p>
      <w:pPr>
        <w:pStyle w:val="7"/>
        <w:spacing w:line="330" w:lineRule="atLeast"/>
        <w:ind w:firstLine="425"/>
        <w:rPr>
          <w:color w:val="000000"/>
          <w:sz w:val="21"/>
          <w:szCs w:val="21"/>
        </w:rPr>
      </w:pPr>
      <w:r>
        <w:rPr>
          <w:rFonts w:hint="eastAsia" w:ascii="SimHei" w:hAnsi="SimHei" w:eastAsia="黑体"/>
          <w:color w:val="000000"/>
          <w:sz w:val="27"/>
          <w:szCs w:val="27"/>
        </w:rPr>
        <w:t>（一）企业负责人每半年将责任书执行情况上报国资委。</w:t>
      </w:r>
    </w:p>
    <w:p>
      <w:pPr>
        <w:pStyle w:val="7"/>
        <w:spacing w:line="330" w:lineRule="atLeast"/>
        <w:ind w:firstLine="425"/>
        <w:rPr>
          <w:color w:val="000000"/>
          <w:sz w:val="21"/>
          <w:szCs w:val="21"/>
        </w:rPr>
      </w:pPr>
      <w:r>
        <w:rPr>
          <w:rFonts w:hint="eastAsia" w:ascii="SimHei" w:hAnsi="SimHei" w:eastAsia="黑体"/>
          <w:color w:val="000000"/>
          <w:sz w:val="27"/>
          <w:szCs w:val="27"/>
        </w:rPr>
        <w:t>（二）企业发生重大安全生产事故和质量事故、重大经济损失、重大投融资和资产重组等重要情况时，企业负责人立即向省国资委报告。</w:t>
      </w:r>
    </w:p>
    <w:p>
      <w:pPr>
        <w:pStyle w:val="7"/>
        <w:numPr>
          <w:ilvl w:val="0"/>
          <w:numId w:val="1"/>
        </w:numPr>
        <w:spacing w:line="330" w:lineRule="atLeast"/>
        <w:rPr>
          <w:color w:val="000000"/>
          <w:sz w:val="27"/>
          <w:szCs w:val="27"/>
        </w:rPr>
      </w:pPr>
      <w:r>
        <w:rPr>
          <w:rFonts w:hint="eastAsia" w:ascii="SimHei" w:hAnsi="SimHei" w:eastAsia="黑体"/>
          <w:color w:val="000000"/>
          <w:sz w:val="27"/>
          <w:szCs w:val="27"/>
        </w:rPr>
        <w:t>年度经营业绩责任书完成情况考核程序：</w:t>
      </w:r>
    </w:p>
    <w:p>
      <w:pPr>
        <w:pStyle w:val="7"/>
        <w:spacing w:line="330" w:lineRule="atLeast"/>
        <w:ind w:firstLine="425"/>
        <w:rPr>
          <w:color w:val="000000"/>
          <w:sz w:val="21"/>
          <w:szCs w:val="21"/>
        </w:rPr>
      </w:pPr>
      <w:r>
        <w:rPr>
          <w:rFonts w:hint="eastAsia" w:ascii="SimHei" w:hAnsi="SimHei" w:eastAsia="黑体"/>
          <w:color w:val="000000"/>
          <w:sz w:val="27"/>
          <w:szCs w:val="27"/>
        </w:rPr>
        <w:t>（一）每年</w:t>
      </w:r>
      <w:r>
        <w:rPr>
          <w:rFonts w:ascii="SimHei" w:hAnsi="SimHei" w:eastAsia="黑体"/>
          <w:color w:val="000000"/>
          <w:sz w:val="27"/>
          <w:szCs w:val="27"/>
        </w:rPr>
        <w:t>4月底之前，企业负责人依据经审计的企业财务决算数据，对上年度经营业绩考核目标的完成情况进行总结分析，并将年度总结分析报告报</w:t>
      </w:r>
      <w:r>
        <w:rPr>
          <w:rFonts w:hint="eastAsia" w:ascii="SimHei" w:hAnsi="SimHei" w:eastAsia="黑体"/>
          <w:color w:val="000000"/>
          <w:sz w:val="27"/>
          <w:szCs w:val="27"/>
        </w:rPr>
        <w:t>省</w:t>
      </w:r>
      <w:r>
        <w:rPr>
          <w:rFonts w:ascii="SimHei" w:hAnsi="SimHei" w:eastAsia="黑体"/>
          <w:color w:val="000000"/>
          <w:sz w:val="27"/>
          <w:szCs w:val="27"/>
        </w:rPr>
        <w:t>国资委。年度总结分析报告格式和主要内容</w:t>
      </w:r>
      <w:r>
        <w:rPr>
          <w:rFonts w:hint="eastAsia" w:ascii="SimHei" w:hAnsi="SimHei" w:eastAsia="黑体"/>
          <w:color w:val="000000"/>
          <w:sz w:val="27"/>
          <w:szCs w:val="27"/>
        </w:rPr>
        <w:t>严格按省</w:t>
      </w:r>
      <w:r>
        <w:rPr>
          <w:rFonts w:ascii="SimHei" w:hAnsi="SimHei" w:eastAsia="黑体"/>
          <w:color w:val="000000"/>
          <w:sz w:val="27"/>
          <w:szCs w:val="27"/>
        </w:rPr>
        <w:t>国资委</w:t>
      </w:r>
      <w:r>
        <w:rPr>
          <w:rFonts w:hint="eastAsia" w:ascii="SimHei" w:hAnsi="SimHei" w:eastAsia="黑体"/>
          <w:color w:val="000000"/>
          <w:sz w:val="27"/>
          <w:szCs w:val="27"/>
        </w:rPr>
        <w:t>相关</w:t>
      </w:r>
      <w:r>
        <w:rPr>
          <w:rFonts w:ascii="SimHei" w:hAnsi="SimHei" w:eastAsia="黑体"/>
          <w:color w:val="000000"/>
          <w:sz w:val="27"/>
          <w:szCs w:val="27"/>
        </w:rPr>
        <w:t>规定</w:t>
      </w:r>
      <w:r>
        <w:rPr>
          <w:rFonts w:hint="eastAsia" w:ascii="SimHei" w:hAnsi="SimHei" w:eastAsia="黑体"/>
          <w:color w:val="000000"/>
          <w:sz w:val="27"/>
          <w:szCs w:val="27"/>
        </w:rPr>
        <w:t>进行</w:t>
      </w:r>
      <w:r>
        <w:rPr>
          <w:rFonts w:ascii="SimHei" w:hAnsi="SimHei" w:eastAsia="黑体"/>
          <w:color w:val="000000"/>
          <w:sz w:val="27"/>
          <w:szCs w:val="27"/>
        </w:rPr>
        <w:t>。</w:t>
      </w:r>
    </w:p>
    <w:p>
      <w:pPr>
        <w:pStyle w:val="7"/>
        <w:spacing w:line="330" w:lineRule="atLeast"/>
        <w:ind w:firstLine="425"/>
        <w:rPr>
          <w:color w:val="000000"/>
          <w:sz w:val="21"/>
          <w:szCs w:val="21"/>
        </w:rPr>
      </w:pPr>
      <w:r>
        <w:rPr>
          <w:rFonts w:hint="eastAsia" w:ascii="SimHei" w:hAnsi="SimHei" w:eastAsia="黑体"/>
          <w:color w:val="000000"/>
          <w:sz w:val="27"/>
          <w:szCs w:val="27"/>
        </w:rPr>
        <w:t>（二）省国资委依据经审计并经审核的企业财务决算报告和经审查的统计数据，结合企业负责人年度总结分析报告并听取监事会对企业的年度评价意见，对企业负责人年度经营业绩考核目标的完成情况进行考核（具体办法见附件2</w:t>
      </w:r>
      <w:r>
        <w:rPr>
          <w:rFonts w:ascii="SimHei" w:hAnsi="SimHei" w:eastAsia="黑体"/>
          <w:color w:val="000000"/>
          <w:sz w:val="27"/>
          <w:szCs w:val="27"/>
        </w:rPr>
        <w:t>），形成企业负责人年度经营业绩考核与奖惩意见。</w:t>
      </w:r>
    </w:p>
    <w:p>
      <w:pPr>
        <w:pStyle w:val="7"/>
        <w:spacing w:line="330" w:lineRule="atLeast"/>
        <w:ind w:firstLine="425"/>
        <w:rPr>
          <w:color w:val="000000"/>
          <w:sz w:val="21"/>
          <w:szCs w:val="21"/>
        </w:rPr>
      </w:pPr>
      <w:r>
        <w:rPr>
          <w:rFonts w:hint="eastAsia" w:ascii="SimHei" w:hAnsi="SimHei" w:eastAsia="黑体"/>
          <w:color w:val="000000"/>
          <w:sz w:val="27"/>
          <w:szCs w:val="27"/>
        </w:rPr>
        <w:t>（三）省国资委将最终确认的企业负责人年度经营业绩考核与奖惩意见反馈各企业负责人及其所在企业。企业负责人对考核与奖惩意见有不同意见的，可向省国资委反映。</w:t>
      </w:r>
    </w:p>
    <w:p>
      <w:pPr>
        <w:pStyle w:val="2"/>
        <w:rPr>
          <w:rFonts w:ascii="宋体" w:hAnsi="宋体"/>
          <w:bCs/>
        </w:rPr>
      </w:pPr>
      <w:bookmarkStart w:id="6" w:name="_Toc81280998"/>
      <w:r>
        <w:rPr>
          <w:rFonts w:hint="eastAsia" w:ascii="SimHei" w:hAnsi="SimHei" w:eastAsia="黑体"/>
          <w:bCs/>
        </w:rPr>
        <w:t>第三章 任期经营业绩考核</w:t>
      </w:r>
      <w:bookmarkEnd w:id="6"/>
    </w:p>
    <w:p>
      <w:pPr>
        <w:pStyle w:val="7"/>
        <w:numPr>
          <w:ilvl w:val="0"/>
          <w:numId w:val="1"/>
        </w:numPr>
        <w:spacing w:line="330" w:lineRule="atLeast"/>
        <w:rPr>
          <w:color w:val="000000"/>
          <w:sz w:val="27"/>
          <w:szCs w:val="27"/>
        </w:rPr>
      </w:pPr>
      <w:r>
        <w:rPr>
          <w:rFonts w:hint="eastAsia" w:ascii="SimHei" w:hAnsi="SimHei" w:eastAsia="黑体"/>
          <w:color w:val="000000"/>
          <w:sz w:val="27"/>
          <w:szCs w:val="27"/>
        </w:rPr>
        <w:t>任期经营业绩责任书以三年为考核期，由于特殊原因需要调整的，由国资委决定。</w:t>
      </w:r>
    </w:p>
    <w:p>
      <w:pPr>
        <w:pStyle w:val="7"/>
        <w:numPr>
          <w:ilvl w:val="0"/>
          <w:numId w:val="1"/>
        </w:numPr>
        <w:spacing w:line="330" w:lineRule="atLeast"/>
        <w:rPr>
          <w:color w:val="000000"/>
          <w:sz w:val="27"/>
          <w:szCs w:val="27"/>
        </w:rPr>
      </w:pPr>
      <w:r>
        <w:rPr>
          <w:rFonts w:hint="eastAsia" w:ascii="SimHei" w:hAnsi="SimHei" w:eastAsia="黑体"/>
          <w:color w:val="000000"/>
          <w:sz w:val="27"/>
          <w:szCs w:val="27"/>
        </w:rPr>
        <w:t>任期经营业绩责任书同年度经营业绩责任书。</w:t>
      </w:r>
    </w:p>
    <w:p>
      <w:pPr>
        <w:pStyle w:val="7"/>
        <w:numPr>
          <w:ilvl w:val="0"/>
          <w:numId w:val="1"/>
        </w:numPr>
        <w:spacing w:line="330" w:lineRule="atLeast"/>
        <w:rPr>
          <w:color w:val="000000"/>
          <w:sz w:val="27"/>
          <w:szCs w:val="27"/>
        </w:rPr>
      </w:pPr>
      <w:r>
        <w:rPr>
          <w:rFonts w:hint="eastAsia" w:ascii="SimHei" w:hAnsi="SimHei" w:eastAsia="黑体"/>
          <w:color w:val="000000"/>
          <w:sz w:val="27"/>
          <w:szCs w:val="27"/>
        </w:rPr>
        <w:t>任期经营业绩考核指标包括基本指标和分类指标。</w:t>
      </w:r>
    </w:p>
    <w:p>
      <w:pPr>
        <w:pStyle w:val="7"/>
        <w:spacing w:line="330" w:lineRule="atLeast"/>
        <w:ind w:firstLine="425"/>
        <w:rPr>
          <w:color w:val="000000"/>
          <w:sz w:val="21"/>
          <w:szCs w:val="21"/>
        </w:rPr>
      </w:pPr>
      <w:r>
        <w:rPr>
          <w:rFonts w:hint="eastAsia" w:ascii="SimHei" w:hAnsi="SimHei" w:eastAsia="黑体"/>
          <w:color w:val="000000"/>
          <w:sz w:val="27"/>
          <w:szCs w:val="27"/>
        </w:rPr>
        <w:t>（一）基本指标包括国有资产保值增值率和三年主营业务收入平均增长率。</w:t>
      </w:r>
    </w:p>
    <w:p>
      <w:pPr>
        <w:pStyle w:val="7"/>
        <w:spacing w:line="330" w:lineRule="atLeast"/>
        <w:ind w:firstLine="425"/>
        <w:rPr>
          <w:rFonts w:hint="eastAsia"/>
          <w:color w:val="000000"/>
          <w:sz w:val="27"/>
          <w:szCs w:val="27"/>
        </w:rPr>
      </w:pPr>
      <w:r>
        <w:rPr>
          <w:rFonts w:ascii="SimHei" w:hAnsi="SimHei" w:eastAsia="黑体"/>
          <w:color w:val="000000"/>
          <w:sz w:val="27"/>
          <w:szCs w:val="27"/>
        </w:rPr>
        <w:t xml:space="preserve">1. </w:t>
      </w:r>
      <w:r>
        <w:rPr>
          <w:rFonts w:hint="eastAsia" w:ascii="SimHei" w:hAnsi="SimHei" w:eastAsia="黑体"/>
          <w:color w:val="000000"/>
          <w:sz w:val="27"/>
          <w:szCs w:val="27"/>
        </w:rPr>
        <w:t>国有资产保值增值率是指企业考核期末扣除客观因素后的所有者权益同考核期初所有者权益的比率，计算公式为：</w:t>
      </w:r>
    </w:p>
    <w:p>
      <w:pPr>
        <w:pStyle w:val="7"/>
        <w:spacing w:line="330" w:lineRule="atLeast"/>
        <w:ind w:left="420" w:firstLine="5"/>
        <w:jc w:val="both"/>
        <w:rPr>
          <w:rFonts w:hint="eastAsia"/>
          <w:color w:val="000000"/>
          <w:sz w:val="21"/>
          <w:szCs w:val="21"/>
        </w:rPr>
      </w:pPr>
      <w:r>
        <w:rPr>
          <w:rFonts w:ascii="SimHei" w:hAnsi="SimHei" w:eastAsia="黑体"/>
          <w:color w:val="000000"/>
          <w:sz w:val="21"/>
          <w:szCs w:val="21"/>
        </w:rPr>
      </w:r>
    </w:p>
    <w:p>
      <w:pPr>
        <w:pStyle w:val="7"/>
        <w:spacing w:line="330" w:lineRule="atLeast"/>
        <w:ind w:firstLine="420"/>
        <w:jc w:val="both"/>
        <w:rPr>
          <w:color w:val="000000"/>
          <w:sz w:val="27"/>
          <w:szCs w:val="27"/>
        </w:rPr>
      </w:pPr>
      <w:r>
        <w:rPr>
          <w:rFonts w:hint="eastAsia" w:ascii="SimHei" w:hAnsi="SimHei" w:eastAsia="黑体"/>
          <w:color w:val="000000"/>
          <w:sz w:val="27"/>
          <w:szCs w:val="27"/>
        </w:rPr>
        <w:t>客观因素由国资委根据国家有关规定具体审核确定。企业国有资产保值增值结果以国资委确认的结果为准。</w:t>
      </w:r>
    </w:p>
    <w:p>
      <w:pPr>
        <w:pStyle w:val="7"/>
        <w:spacing w:line="330" w:lineRule="atLeast"/>
        <w:ind w:firstLine="425"/>
        <w:rPr>
          <w:rFonts w:hint="eastAsia"/>
          <w:color w:val="000000"/>
          <w:sz w:val="27"/>
          <w:szCs w:val="27"/>
        </w:rPr>
      </w:pPr>
      <w:r>
        <w:rPr>
          <w:rFonts w:ascii="SimHei" w:hAnsi="SimHei" w:eastAsia="黑体"/>
          <w:color w:val="000000"/>
          <w:sz w:val="27"/>
          <w:szCs w:val="27"/>
        </w:rPr>
        <w:t xml:space="preserve">2. </w:t>
      </w:r>
      <w:r>
        <w:rPr>
          <w:rFonts w:hint="eastAsia" w:ascii="SimHei" w:hAnsi="SimHei" w:eastAsia="黑体"/>
          <w:color w:val="000000"/>
          <w:sz w:val="27"/>
          <w:szCs w:val="27"/>
        </w:rPr>
        <w:t>三年主营业务收入平均增长率是指企业主营业务连续三年的平均增长情况，计算公式为：</w:t>
      </w:r>
    </w:p>
    <w:p>
      <w:pPr>
        <w:pStyle w:val="7"/>
        <w:spacing w:line="330" w:lineRule="atLeast"/>
        <w:ind w:firstLine="425"/>
        <w:rPr>
          <w:rFonts w:hint="eastAsia"/>
          <w:color w:val="000000"/>
          <w:sz w:val="27"/>
          <w:szCs w:val="27"/>
        </w:rPr>
      </w:pPr>
      <w:r>
        <w:rPr>
          <w:rFonts w:ascii="SimHei" w:hAnsi="SimHei" w:eastAsia="黑体"/>
          <w:color w:val="000000"/>
          <w:sz w:val="21"/>
          <w:szCs w:val="21"/>
        </w:rPr>
      </w:r>
    </w:p>
    <w:p>
      <w:pPr>
        <w:pStyle w:val="7"/>
        <w:spacing w:line="330" w:lineRule="atLeast"/>
        <w:ind w:firstLine="540"/>
        <w:rPr>
          <w:rFonts w:hint="eastAsia"/>
          <w:color w:val="000000"/>
          <w:sz w:val="27"/>
          <w:szCs w:val="27"/>
        </w:rPr>
      </w:pPr>
      <w:r>
        <w:rPr>
          <w:rFonts w:hint="eastAsia" w:ascii="SimHei" w:hAnsi="SimHei" w:eastAsia="黑体"/>
          <w:color w:val="000000"/>
          <w:sz w:val="27"/>
          <w:szCs w:val="27"/>
        </w:rPr>
        <w:t>（二）分类指标：某集团所处行业和特点，某集团经营管理水平及发展能力等因素，暂定为以下指标。</w:t>
      </w:r>
    </w:p>
    <w:p>
      <w:pPr>
        <w:pStyle w:val="7"/>
        <w:spacing w:line="330" w:lineRule="atLeast"/>
        <w:ind w:firstLine="540"/>
        <w:rPr>
          <w:rFonts w:hint="eastAsia"/>
        </w:rPr>
      </w:pPr>
      <w:r>
        <w:rPr>
          <w:rFonts w:hint="eastAsia" w:ascii="SimHei" w:hAnsi="SimHei" w:eastAsia="黑体"/>
        </w:rPr>
        <w:t>三年平均劳动生产率增长率 ＝</w:t>
      </w:r>
    </w:p>
    <w:p>
      <w:pPr>
        <w:pStyle w:val="7"/>
        <w:numPr>
          <w:ilvl w:val="0"/>
          <w:numId w:val="1"/>
        </w:numPr>
        <w:spacing w:line="330" w:lineRule="atLeast"/>
        <w:rPr>
          <w:color w:val="000000"/>
          <w:sz w:val="27"/>
          <w:szCs w:val="27"/>
        </w:rPr>
      </w:pPr>
      <w:r>
        <w:rPr>
          <w:rFonts w:hint="eastAsia" w:ascii="SimHei" w:hAnsi="SimHei" w:eastAsia="黑体"/>
          <w:color w:val="000000"/>
          <w:sz w:val="27"/>
          <w:szCs w:val="27"/>
        </w:rPr>
        <w:t>任期经营业绩责任书按下列程序签订：</w:t>
      </w:r>
    </w:p>
    <w:p>
      <w:pPr>
        <w:pStyle w:val="7"/>
        <w:spacing w:line="330" w:lineRule="atLeast"/>
        <w:ind w:firstLine="425"/>
        <w:rPr>
          <w:color w:val="000000"/>
          <w:sz w:val="21"/>
          <w:szCs w:val="21"/>
        </w:rPr>
      </w:pPr>
      <w:r>
        <w:rPr>
          <w:rFonts w:hint="eastAsia" w:ascii="SimHei" w:hAnsi="SimHei" w:eastAsia="黑体"/>
          <w:color w:val="000000"/>
          <w:sz w:val="27"/>
          <w:szCs w:val="27"/>
        </w:rPr>
        <w:t>（一）预报任期经营业绩考核目标建议值。考核期初，企业负责人按照国资委任期经营业绩考核的要求和企业发展规划及经营状况，提出任期经营业绩考核目标的建议值，并将考核目标建议值和必要的说明材料报国资委。考核目标建议值原则上不低于前一任期考核指标实际完成值。</w:t>
      </w:r>
    </w:p>
    <w:p>
      <w:pPr>
        <w:pStyle w:val="7"/>
        <w:spacing w:line="330" w:lineRule="atLeast"/>
        <w:ind w:firstLine="425"/>
        <w:rPr>
          <w:color w:val="000000"/>
          <w:sz w:val="21"/>
          <w:szCs w:val="21"/>
        </w:rPr>
      </w:pPr>
      <w:r>
        <w:rPr>
          <w:rFonts w:hint="eastAsia" w:ascii="SimHei" w:hAnsi="SimHei" w:eastAsia="黑体"/>
          <w:color w:val="000000"/>
          <w:sz w:val="27"/>
          <w:szCs w:val="27"/>
        </w:rPr>
        <w:t>（二）核定任期经营业绩考核目标值。国资委根据宏观经济形势及企业运营环境，对企业负责人的任期经营业绩考核目标建议值进行审核，并就考核目标值及有关内容同企业沟通后加以确定。</w:t>
      </w:r>
    </w:p>
    <w:p>
      <w:pPr>
        <w:pStyle w:val="7"/>
        <w:spacing w:line="330" w:lineRule="atLeast"/>
        <w:ind w:firstLine="425"/>
        <w:rPr>
          <w:color w:val="000000"/>
          <w:sz w:val="21"/>
          <w:szCs w:val="21"/>
        </w:rPr>
      </w:pPr>
      <w:r>
        <w:rPr>
          <w:rFonts w:hint="eastAsia" w:ascii="SimHei" w:hAnsi="SimHei" w:eastAsia="黑体"/>
          <w:color w:val="000000"/>
          <w:sz w:val="27"/>
          <w:szCs w:val="27"/>
        </w:rPr>
        <w:t>（三）由国资委主任或其授权代表同企业负责人签订任期经营业绩责任书。</w:t>
      </w:r>
    </w:p>
    <w:p>
      <w:pPr>
        <w:pStyle w:val="7"/>
        <w:numPr>
          <w:ilvl w:val="0"/>
          <w:numId w:val="1"/>
        </w:numPr>
        <w:spacing w:line="330" w:lineRule="atLeast"/>
        <w:rPr>
          <w:color w:val="000000"/>
          <w:sz w:val="27"/>
          <w:szCs w:val="27"/>
        </w:rPr>
      </w:pPr>
      <w:r>
        <w:rPr>
          <w:rFonts w:hint="eastAsia" w:ascii="SimHei" w:hAnsi="SimHei" w:eastAsia="黑体"/>
          <w:color w:val="000000"/>
          <w:sz w:val="27"/>
          <w:szCs w:val="27"/>
        </w:rPr>
        <w:t>任期经营业绩责任书完成情况按照下列程序进行考核：</w:t>
      </w:r>
    </w:p>
    <w:p>
      <w:pPr>
        <w:pStyle w:val="7"/>
        <w:spacing w:line="330" w:lineRule="atLeast"/>
        <w:ind w:firstLine="425"/>
        <w:rPr>
          <w:color w:val="000000"/>
          <w:sz w:val="21"/>
          <w:szCs w:val="21"/>
        </w:rPr>
      </w:pPr>
      <w:r>
        <w:rPr>
          <w:rFonts w:hint="eastAsia" w:ascii="SimHei" w:hAnsi="SimHei" w:eastAsia="黑体"/>
          <w:color w:val="000000"/>
          <w:sz w:val="27"/>
          <w:szCs w:val="27"/>
        </w:rPr>
        <w:t>（一）考核期末，企业负责人对任期经营业绩考核目标的完成情况进行总结分析，并将总结分析报告报国资委。任期经营业绩总结分析报告格式和主要内容严格按省国资委相关规定进行。</w:t>
      </w:r>
    </w:p>
    <w:p>
      <w:pPr>
        <w:pStyle w:val="7"/>
        <w:spacing w:line="330" w:lineRule="atLeast"/>
        <w:ind w:firstLine="425"/>
        <w:rPr>
          <w:color w:val="000000"/>
          <w:sz w:val="21"/>
          <w:szCs w:val="21"/>
        </w:rPr>
      </w:pPr>
      <w:r>
        <w:rPr>
          <w:rFonts w:hint="eastAsia" w:ascii="SimHei" w:hAnsi="SimHei" w:eastAsia="黑体"/>
          <w:color w:val="000000"/>
          <w:sz w:val="27"/>
          <w:szCs w:val="27"/>
        </w:rPr>
        <w:t>（二）国资委依据任期内经审计并经审核的企业财务决算报告和经审查的统计数据，结合企业负责人任期经营业绩总结分析报告并听取监事会对企业负责人的任期评价意见，对企业负责人任期经营业绩考核目标的完成情况进行综合考核（具体办法见附件3</w:t>
      </w:r>
      <w:r>
        <w:rPr>
          <w:rFonts w:ascii="SimHei" w:hAnsi="SimHei" w:eastAsia="黑体"/>
          <w:color w:val="000000"/>
          <w:sz w:val="27"/>
          <w:szCs w:val="27"/>
        </w:rPr>
        <w:t>），形成企业负责人任期经营业绩考核与奖惩意见。</w:t>
      </w:r>
    </w:p>
    <w:p>
      <w:pPr>
        <w:pStyle w:val="7"/>
        <w:spacing w:line="330" w:lineRule="atLeast"/>
        <w:ind w:firstLine="540"/>
        <w:rPr>
          <w:color w:val="000000"/>
          <w:sz w:val="21"/>
          <w:szCs w:val="21"/>
        </w:rPr>
      </w:pPr>
      <w:r>
        <w:rPr>
          <w:rFonts w:hint="eastAsia" w:ascii="SimHei" w:hAnsi="SimHei" w:eastAsia="黑体"/>
          <w:color w:val="000000"/>
          <w:sz w:val="27"/>
          <w:szCs w:val="27"/>
        </w:rPr>
        <w:t>（三）国资委将最终确认的企业负责人任期经营业绩考核与奖惩意见反馈各企业负责人及其所在企业。企业负责人对考核与奖惩意见有不同意见的，可向国资委反映。</w:t>
      </w:r>
    </w:p>
    <w:p>
      <w:pPr>
        <w:pStyle w:val="2"/>
        <w:rPr>
          <w:rFonts w:ascii="宋体" w:hAnsi="宋体"/>
          <w:bCs/>
        </w:rPr>
      </w:pPr>
      <w:bookmarkStart w:id="7" w:name="_Toc81280999"/>
      <w:r>
        <w:rPr>
          <w:rFonts w:hint="eastAsia" w:ascii="SimHei" w:hAnsi="SimHei" w:eastAsia="黑体"/>
          <w:bCs/>
        </w:rPr>
        <w:t>第四章 奖 惩</w:t>
      </w:r>
      <w:bookmarkEnd w:id="7"/>
    </w:p>
    <w:p>
      <w:pPr>
        <w:pStyle w:val="7"/>
        <w:numPr>
          <w:ilvl w:val="0"/>
          <w:numId w:val="1"/>
        </w:numPr>
        <w:spacing w:line="330" w:lineRule="atLeast"/>
        <w:rPr>
          <w:color w:val="000000"/>
          <w:sz w:val="27"/>
          <w:szCs w:val="27"/>
        </w:rPr>
      </w:pPr>
      <w:r>
        <w:rPr>
          <w:rFonts w:hint="eastAsia" w:ascii="SimHei" w:hAnsi="SimHei" w:eastAsia="黑体"/>
          <w:color w:val="000000"/>
          <w:sz w:val="27"/>
          <w:szCs w:val="27"/>
        </w:rPr>
        <w:t>根据企业负责人经营业绩考核得分，年度经营业绩考核和任期经营业绩考核最终结果分为</w:t>
      </w:r>
      <w:r>
        <w:rPr>
          <w:rFonts w:ascii="SimHei" w:hAnsi="SimHei" w:eastAsia="黑体"/>
          <w:color w:val="000000"/>
          <w:sz w:val="27"/>
          <w:szCs w:val="27"/>
        </w:rPr>
        <w:t>A、B、C、D、E五个级别，完成考核目标值为C级进级点。</w:t>
      </w:r>
    </w:p>
    <w:p>
      <w:pPr>
        <w:pStyle w:val="7"/>
        <w:numPr>
          <w:ilvl w:val="0"/>
          <w:numId w:val="1"/>
        </w:numPr>
        <w:spacing w:line="330" w:lineRule="atLeast"/>
        <w:rPr>
          <w:color w:val="000000"/>
          <w:sz w:val="27"/>
          <w:szCs w:val="27"/>
        </w:rPr>
      </w:pPr>
      <w:r>
        <w:rPr>
          <w:rFonts w:hint="eastAsia" w:ascii="SimHei" w:hAnsi="SimHei" w:eastAsia="黑体"/>
          <w:color w:val="000000"/>
          <w:sz w:val="27"/>
          <w:szCs w:val="27"/>
        </w:rPr>
        <w:t>省国资委依据年度经营业绩考核结果和任期经营业绩考核结果对企业负责人实施奖惩。</w:t>
      </w:r>
    </w:p>
    <w:p>
      <w:pPr>
        <w:pStyle w:val="7"/>
        <w:numPr>
          <w:ilvl w:val="0"/>
          <w:numId w:val="1"/>
        </w:numPr>
        <w:spacing w:line="330" w:lineRule="atLeast"/>
        <w:rPr>
          <w:color w:val="000000"/>
          <w:sz w:val="27"/>
          <w:szCs w:val="27"/>
        </w:rPr>
      </w:pPr>
      <w:r>
        <w:rPr>
          <w:rFonts w:hint="eastAsia" w:ascii="SimHei" w:hAnsi="SimHei" w:eastAsia="黑体"/>
          <w:color w:val="000000"/>
          <w:sz w:val="27"/>
          <w:szCs w:val="27"/>
        </w:rPr>
        <w:t>对企业负责人的奖励分为年度薪酬奖励和任期中长期激励。</w:t>
      </w:r>
    </w:p>
    <w:p>
      <w:pPr>
        <w:pStyle w:val="7"/>
        <w:numPr>
          <w:ilvl w:val="0"/>
          <w:numId w:val="1"/>
        </w:numPr>
        <w:spacing w:line="330" w:lineRule="atLeast"/>
        <w:rPr>
          <w:color w:val="000000"/>
          <w:sz w:val="27"/>
          <w:szCs w:val="27"/>
        </w:rPr>
      </w:pPr>
      <w:r>
        <w:rPr>
          <w:rFonts w:hint="eastAsia" w:ascii="SimHei" w:hAnsi="SimHei" w:eastAsia="黑体"/>
          <w:color w:val="000000"/>
          <w:sz w:val="27"/>
          <w:szCs w:val="27"/>
        </w:rPr>
        <w:t>企业负责人年度薪酬分为基本年薪和绩效年薪两个部分。绩效年薪与年度考核结果挂钩。</w:t>
      </w:r>
    </w:p>
    <w:p>
      <w:pPr>
        <w:pStyle w:val="7"/>
        <w:spacing w:line="330" w:lineRule="atLeast"/>
        <w:ind w:firstLine="425"/>
        <w:rPr>
          <w:color w:val="000000"/>
          <w:sz w:val="21"/>
          <w:szCs w:val="21"/>
        </w:rPr>
      </w:pPr>
      <w:r>
        <w:rPr>
          <w:rFonts w:hint="eastAsia" w:ascii="SimHei" w:hAnsi="SimHei" w:eastAsia="黑体"/>
          <w:color w:val="000000"/>
          <w:sz w:val="27"/>
          <w:szCs w:val="27"/>
        </w:rPr>
        <w:t>当考核结果为</w:t>
      </w:r>
      <w:r>
        <w:rPr>
          <w:rFonts w:ascii="SimHei" w:hAnsi="SimHei" w:eastAsia="黑体"/>
          <w:color w:val="000000"/>
          <w:sz w:val="27"/>
          <w:szCs w:val="27"/>
        </w:rPr>
        <w:t>E级时，绩效年薪为0；</w:t>
      </w:r>
    </w:p>
    <w:p>
      <w:pPr>
        <w:pStyle w:val="7"/>
        <w:spacing w:line="330" w:lineRule="atLeast"/>
        <w:ind w:firstLine="425"/>
        <w:rPr>
          <w:color w:val="000000"/>
          <w:sz w:val="21"/>
          <w:szCs w:val="21"/>
        </w:rPr>
      </w:pPr>
      <w:r>
        <w:rPr>
          <w:rFonts w:hint="eastAsia" w:ascii="SimHei" w:hAnsi="SimHei" w:eastAsia="黑体"/>
          <w:color w:val="000000"/>
          <w:sz w:val="27"/>
          <w:szCs w:val="27"/>
        </w:rPr>
        <w:t>当考核结果为</w:t>
      </w:r>
      <w:r>
        <w:rPr>
          <w:rFonts w:ascii="SimHei" w:hAnsi="SimHei" w:eastAsia="黑体"/>
          <w:color w:val="000000"/>
          <w:sz w:val="27"/>
          <w:szCs w:val="27"/>
        </w:rPr>
        <w:t>D级时，绩效年薪按“基薪×（考核分数-D级起点分数）/（C级起点分数-D级起点分数）”确定，绩效年薪在0到1倍基薪之间；</w:t>
      </w:r>
    </w:p>
    <w:p>
      <w:pPr>
        <w:pStyle w:val="7"/>
        <w:spacing w:line="330" w:lineRule="atLeast"/>
        <w:ind w:firstLine="425"/>
        <w:rPr>
          <w:color w:val="000000"/>
          <w:sz w:val="21"/>
          <w:szCs w:val="21"/>
        </w:rPr>
      </w:pPr>
      <w:r>
        <w:rPr>
          <w:rFonts w:hint="eastAsia" w:ascii="SimHei" w:hAnsi="SimHei" w:eastAsia="黑体"/>
          <w:color w:val="000000"/>
          <w:sz w:val="27"/>
          <w:szCs w:val="27"/>
        </w:rPr>
        <w:t>当考核结果为</w:t>
      </w:r>
      <w:r>
        <w:rPr>
          <w:rFonts w:ascii="SimHei" w:hAnsi="SimHei" w:eastAsia="黑体"/>
          <w:color w:val="000000"/>
          <w:sz w:val="27"/>
          <w:szCs w:val="27"/>
        </w:rPr>
        <w:t>C级时，绩效年薪按“基薪×[1+0.5×（考核分数-C级起点分数）/（B级起点分数-C级起点分数）]”确定，绩效年薪在1倍基薪到1.5倍基薪之间；</w:t>
      </w:r>
    </w:p>
    <w:p>
      <w:pPr>
        <w:pStyle w:val="7"/>
        <w:spacing w:line="330" w:lineRule="atLeast"/>
        <w:ind w:firstLine="425"/>
        <w:rPr>
          <w:color w:val="000000"/>
          <w:sz w:val="21"/>
          <w:szCs w:val="21"/>
        </w:rPr>
      </w:pPr>
      <w:r>
        <w:rPr>
          <w:rFonts w:hint="eastAsia" w:ascii="SimHei" w:hAnsi="SimHei" w:eastAsia="黑体"/>
          <w:color w:val="000000"/>
          <w:sz w:val="27"/>
          <w:szCs w:val="27"/>
        </w:rPr>
        <w:t>当考核结果为</w:t>
      </w:r>
      <w:r>
        <w:rPr>
          <w:rFonts w:ascii="SimHei" w:hAnsi="SimHei" w:eastAsia="黑体"/>
          <w:color w:val="000000"/>
          <w:sz w:val="27"/>
          <w:szCs w:val="27"/>
        </w:rPr>
        <w:t>B级时，绩效年薪按“基薪×[1.5+0.5×（考核分数-B级起点分数）/（A级起点分数-B级起点分数）]”确定，绩效年薪在1.5倍基薪到2倍基薪之间；</w:t>
      </w:r>
    </w:p>
    <w:p>
      <w:pPr>
        <w:pStyle w:val="7"/>
        <w:spacing w:line="330" w:lineRule="atLeast"/>
        <w:ind w:firstLine="425"/>
        <w:rPr>
          <w:color w:val="000000"/>
          <w:sz w:val="21"/>
          <w:szCs w:val="21"/>
        </w:rPr>
      </w:pPr>
      <w:r>
        <w:rPr>
          <w:rFonts w:hint="eastAsia" w:ascii="SimHei" w:hAnsi="SimHei" w:eastAsia="黑体"/>
          <w:color w:val="000000"/>
          <w:sz w:val="27"/>
          <w:szCs w:val="27"/>
        </w:rPr>
        <w:t>当考核结果为</w:t>
      </w:r>
      <w:r>
        <w:rPr>
          <w:rFonts w:ascii="SimHei" w:hAnsi="SimHei" w:eastAsia="黑体"/>
          <w:color w:val="000000"/>
          <w:sz w:val="27"/>
          <w:szCs w:val="27"/>
        </w:rPr>
        <w:t>A级时，绩效年薪按“基薪×[2+（考核分数-A级起点分数）/（A级封顶分数-A级起点分数）]”确定，绩效年薪在2倍基薪到3倍基薪之间。</w:t>
      </w:r>
    </w:p>
    <w:p>
      <w:pPr>
        <w:pStyle w:val="7"/>
        <w:numPr>
          <w:ilvl w:val="0"/>
          <w:numId w:val="1"/>
        </w:numPr>
        <w:spacing w:line="330" w:lineRule="atLeast"/>
        <w:rPr>
          <w:rFonts w:hint="eastAsia"/>
          <w:color w:val="000000"/>
          <w:sz w:val="27"/>
          <w:szCs w:val="27"/>
        </w:rPr>
      </w:pPr>
      <w:r>
        <w:rPr>
          <w:rFonts w:hint="eastAsia" w:ascii="SimHei" w:hAnsi="SimHei" w:eastAsia="黑体"/>
          <w:color w:val="000000"/>
          <w:sz w:val="27"/>
          <w:szCs w:val="27"/>
        </w:rPr>
        <w:t>绩效年薪系数的确定</w:t>
      </w:r>
    </w:p>
    <w:p>
      <w:pPr>
        <w:pStyle w:val="7"/>
        <w:spacing w:line="330" w:lineRule="atLeast"/>
        <w:ind w:firstLine="540"/>
        <w:rPr>
          <w:rFonts w:hint="eastAsia"/>
          <w:color w:val="000000"/>
          <w:sz w:val="27"/>
          <w:szCs w:val="27"/>
        </w:rPr>
      </w:pPr>
      <w:r>
        <w:rPr>
          <w:rFonts w:hint="eastAsia" w:ascii="SimHei" w:hAnsi="SimHei" w:eastAsia="黑体"/>
          <w:color w:val="000000"/>
          <w:sz w:val="27"/>
          <w:szCs w:val="27"/>
        </w:rPr>
        <w:t>集团高层管理人员</w:t>
      </w:r>
      <w:r>
        <w:rPr>
          <w:rFonts w:ascii="SimHei" w:hAnsi="SimHei" w:eastAsia="黑体"/>
          <w:color w:val="000000"/>
          <w:sz w:val="27"/>
          <w:szCs w:val="27"/>
        </w:rPr>
        <w:t>的系数</w:t>
      </w:r>
      <w:r>
        <w:rPr>
          <w:rFonts w:hint="eastAsia" w:ascii="SimHei" w:hAnsi="SimHei" w:eastAsia="黑体"/>
          <w:color w:val="000000"/>
          <w:sz w:val="27"/>
          <w:szCs w:val="27"/>
        </w:rPr>
        <w:t>，参照国务院国资委《中央企业负责人经营业绩考核暂行办法》中相关规定，</w:t>
      </w:r>
      <w:r>
        <w:rPr>
          <w:rFonts w:ascii="SimHei" w:hAnsi="SimHei" w:eastAsia="黑体"/>
          <w:color w:val="000000"/>
          <w:sz w:val="27"/>
          <w:szCs w:val="27"/>
        </w:rPr>
        <w:t>根据各</w:t>
      </w:r>
      <w:r>
        <w:rPr>
          <w:rFonts w:hint="eastAsia" w:ascii="SimHei" w:hAnsi="SimHei" w:eastAsia="黑体"/>
          <w:color w:val="000000"/>
          <w:sz w:val="27"/>
          <w:szCs w:val="27"/>
        </w:rPr>
        <w:t>自</w:t>
      </w:r>
      <w:r>
        <w:rPr>
          <w:rFonts w:ascii="SimHei" w:hAnsi="SimHei" w:eastAsia="黑体"/>
          <w:color w:val="000000"/>
          <w:sz w:val="27"/>
          <w:szCs w:val="27"/>
        </w:rPr>
        <w:t>的责任和贡献，</w:t>
      </w:r>
      <w:r>
        <w:rPr>
          <w:rFonts w:hint="eastAsia" w:ascii="SimHei" w:hAnsi="SimHei" w:eastAsia="黑体"/>
          <w:color w:val="000000"/>
          <w:sz w:val="27"/>
          <w:szCs w:val="27"/>
        </w:rPr>
        <w:t>结合岗位评价结果，</w:t>
      </w:r>
      <w:r>
        <w:rPr>
          <w:rFonts w:ascii="SimHei" w:hAnsi="SimHei" w:eastAsia="黑体"/>
          <w:color w:val="000000"/>
          <w:sz w:val="27"/>
          <w:szCs w:val="27"/>
        </w:rPr>
        <w:t>确定</w:t>
      </w:r>
      <w:r>
        <w:rPr>
          <w:rFonts w:hint="eastAsia" w:ascii="SimHei" w:hAnsi="SimHei" w:eastAsia="黑体"/>
          <w:color w:val="000000"/>
          <w:sz w:val="27"/>
          <w:szCs w:val="27"/>
        </w:rPr>
        <w:t>集团高层管理人员的绩效年薪系数如下表</w:t>
      </w:r>
      <w:r>
        <w:rPr>
          <w:rFonts w:ascii="SimHei" w:hAnsi="SimHei" w:eastAsia="黑体"/>
          <w:color w:val="000000"/>
          <w:sz w:val="27"/>
          <w:szCs w:val="27"/>
        </w:rPr>
        <w:t>。</w:t>
      </w:r>
    </w:p>
    <w:tbl>
      <w:tblPr>
        <w:tblStyle w:val="8"/>
        <w:tblW w:w="0" w:type="auto"/>
        <w:tblInd w:w="59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3960"/>
        <w:gridCol w:w="29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6" w:type="dxa"/>
            <w:noWrap w:val="0"/>
            <w:vAlign w:val="top"/>
          </w:tcPr>
          <w:p>
            <w:pPr>
              <w:pStyle w:val="7"/>
              <w:spacing w:line="330" w:lineRule="atLeast"/>
              <w:jc w:val="center"/>
              <w:rPr>
                <w:rFonts w:hint="eastAsia"/>
                <w:b/>
                <w:bCs/>
                <w:color w:val="000000"/>
                <w:sz w:val="27"/>
                <w:szCs w:val="27"/>
              </w:rPr>
            </w:pPr>
            <w:r>
              <w:rPr>
                <w:rFonts w:hint="eastAsia" w:ascii="SimHei" w:hAnsi="SimHei" w:eastAsia="黑体"/>
                <w:b/>
                <w:bCs/>
                <w:color w:val="000000"/>
                <w:sz w:val="27"/>
                <w:szCs w:val="27"/>
              </w:rPr>
              <w:t>序号</w:t>
            </w:r>
          </w:p>
        </w:tc>
        <w:tc>
          <w:tcPr>
            <w:tcW w:w="3960" w:type="dxa"/>
            <w:noWrap w:val="0"/>
            <w:vAlign w:val="top"/>
          </w:tcPr>
          <w:p>
            <w:pPr>
              <w:pStyle w:val="7"/>
              <w:spacing w:line="330" w:lineRule="atLeast"/>
              <w:jc w:val="center"/>
              <w:rPr>
                <w:rFonts w:hint="eastAsia"/>
                <w:b/>
                <w:bCs/>
                <w:color w:val="000000"/>
                <w:sz w:val="27"/>
                <w:szCs w:val="27"/>
              </w:rPr>
            </w:pPr>
            <w:r>
              <w:rPr>
                <w:rFonts w:hint="eastAsia" w:ascii="SimHei" w:hAnsi="SimHei" w:eastAsia="黑体"/>
                <w:b/>
                <w:bCs/>
                <w:color w:val="000000"/>
                <w:sz w:val="27"/>
                <w:szCs w:val="27"/>
              </w:rPr>
              <w:t>岗位</w:t>
            </w:r>
          </w:p>
        </w:tc>
        <w:tc>
          <w:tcPr>
            <w:tcW w:w="2950" w:type="dxa"/>
            <w:noWrap w:val="0"/>
            <w:vAlign w:val="top"/>
          </w:tcPr>
          <w:p>
            <w:pPr>
              <w:pStyle w:val="7"/>
              <w:spacing w:line="330" w:lineRule="atLeast"/>
              <w:jc w:val="center"/>
              <w:rPr>
                <w:rFonts w:hint="eastAsia"/>
                <w:b/>
                <w:bCs/>
                <w:color w:val="000000"/>
                <w:sz w:val="27"/>
                <w:szCs w:val="27"/>
              </w:rPr>
            </w:pPr>
            <w:r>
              <w:rPr>
                <w:rFonts w:hint="eastAsia" w:ascii="SimHei" w:hAnsi="SimHei" w:eastAsia="黑体"/>
                <w:b/>
                <w:bCs/>
                <w:color w:val="000000"/>
                <w:sz w:val="27"/>
                <w:szCs w:val="27"/>
              </w:rPr>
              <w:t>绩效年薪系数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6" w:type="dxa"/>
            <w:noWrap w:val="0"/>
            <w:vAlign w:val="top"/>
          </w:tcPr>
          <w:p>
            <w:pPr>
              <w:pStyle w:val="7"/>
              <w:spacing w:line="330" w:lineRule="atLeast"/>
              <w:jc w:val="center"/>
              <w:rPr>
                <w:rFonts w:hint="eastAsia"/>
                <w:color w:val="000000"/>
                <w:sz w:val="27"/>
                <w:szCs w:val="27"/>
              </w:rPr>
            </w:pPr>
            <w:r>
              <w:rPr>
                <w:rFonts w:hint="eastAsia" w:ascii="SimHei" w:hAnsi="SimHei" w:eastAsia="黑体"/>
                <w:color w:val="000000"/>
                <w:sz w:val="27"/>
                <w:szCs w:val="27"/>
              </w:rPr>
              <w:t>1</w:t>
            </w:r>
          </w:p>
        </w:tc>
        <w:tc>
          <w:tcPr>
            <w:tcW w:w="3960" w:type="dxa"/>
            <w:noWrap w:val="0"/>
            <w:vAlign w:val="top"/>
          </w:tcPr>
          <w:p>
            <w:pPr>
              <w:pStyle w:val="7"/>
              <w:spacing w:line="330" w:lineRule="atLeast"/>
              <w:jc w:val="center"/>
              <w:rPr>
                <w:rFonts w:hint="eastAsia"/>
                <w:color w:val="000000"/>
                <w:sz w:val="27"/>
                <w:szCs w:val="27"/>
              </w:rPr>
            </w:pPr>
            <w:r>
              <w:rPr>
                <w:rFonts w:hint="eastAsia" w:ascii="SimHei" w:hAnsi="SimHei" w:eastAsia="黑体"/>
                <w:color w:val="000000"/>
                <w:sz w:val="27"/>
                <w:szCs w:val="27"/>
              </w:rPr>
              <w:t>董事长</w:t>
            </w:r>
          </w:p>
        </w:tc>
        <w:tc>
          <w:tcPr>
            <w:tcW w:w="2950" w:type="dxa"/>
            <w:noWrap w:val="0"/>
            <w:vAlign w:val="top"/>
          </w:tcPr>
          <w:p>
            <w:pPr>
              <w:pStyle w:val="7"/>
              <w:spacing w:line="330" w:lineRule="atLeast"/>
              <w:jc w:val="center"/>
              <w:rPr>
                <w:rFonts w:hint="eastAsia"/>
                <w:color w:val="000000"/>
                <w:sz w:val="27"/>
                <w:szCs w:val="27"/>
              </w:rPr>
            </w:pPr>
            <w:r>
              <w:rPr>
                <w:rFonts w:hint="eastAsia" w:ascii="SimHei" w:hAnsi="SimHei" w:eastAsia="黑体"/>
                <w:color w:val="000000"/>
                <w:sz w:val="27"/>
                <w:szCs w:val="27"/>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6" w:type="dxa"/>
            <w:noWrap w:val="0"/>
            <w:vAlign w:val="top"/>
          </w:tcPr>
          <w:p>
            <w:pPr>
              <w:pStyle w:val="7"/>
              <w:spacing w:line="330" w:lineRule="atLeast"/>
              <w:jc w:val="center"/>
              <w:rPr>
                <w:rFonts w:hint="eastAsia"/>
                <w:color w:val="000000"/>
                <w:sz w:val="27"/>
                <w:szCs w:val="27"/>
              </w:rPr>
            </w:pPr>
            <w:r>
              <w:rPr>
                <w:rFonts w:hint="eastAsia" w:ascii="SimHei" w:hAnsi="SimHei" w:eastAsia="黑体"/>
                <w:color w:val="000000"/>
                <w:sz w:val="27"/>
                <w:szCs w:val="27"/>
              </w:rPr>
              <w:t>2</w:t>
            </w:r>
          </w:p>
        </w:tc>
        <w:tc>
          <w:tcPr>
            <w:tcW w:w="3960" w:type="dxa"/>
            <w:noWrap w:val="0"/>
            <w:vAlign w:val="top"/>
          </w:tcPr>
          <w:p>
            <w:pPr>
              <w:pStyle w:val="7"/>
              <w:spacing w:line="330" w:lineRule="atLeast"/>
              <w:jc w:val="center"/>
              <w:rPr>
                <w:rFonts w:hint="eastAsia"/>
                <w:color w:val="000000"/>
                <w:sz w:val="27"/>
                <w:szCs w:val="27"/>
              </w:rPr>
            </w:pPr>
            <w:r>
              <w:rPr>
                <w:rFonts w:hint="eastAsia" w:ascii="SimHei" w:hAnsi="SimHei" w:eastAsia="黑体"/>
                <w:color w:val="000000"/>
                <w:sz w:val="27"/>
                <w:szCs w:val="27"/>
              </w:rPr>
              <w:t>总经理</w:t>
            </w:r>
          </w:p>
        </w:tc>
        <w:tc>
          <w:tcPr>
            <w:tcW w:w="2950" w:type="dxa"/>
            <w:noWrap w:val="0"/>
            <w:vAlign w:val="top"/>
          </w:tcPr>
          <w:p>
            <w:pPr>
              <w:pStyle w:val="7"/>
              <w:spacing w:line="330" w:lineRule="atLeast"/>
              <w:jc w:val="center"/>
              <w:rPr>
                <w:rFonts w:hint="eastAsia"/>
                <w:color w:val="000000"/>
                <w:sz w:val="27"/>
                <w:szCs w:val="27"/>
              </w:rPr>
            </w:pPr>
            <w:r>
              <w:rPr>
                <w:rFonts w:hint="eastAsia" w:ascii="SimHei" w:hAnsi="SimHei" w:eastAsia="黑体"/>
                <w:color w:val="000000"/>
                <w:sz w:val="27"/>
                <w:szCs w:val="27"/>
              </w:rPr>
              <w:t>0.97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6" w:type="dxa"/>
            <w:noWrap w:val="0"/>
            <w:vAlign w:val="center"/>
          </w:tcPr>
          <w:p>
            <w:pPr>
              <w:pStyle w:val="7"/>
              <w:spacing w:line="330" w:lineRule="atLeast"/>
              <w:jc w:val="center"/>
              <w:rPr>
                <w:rFonts w:hint="eastAsia"/>
                <w:color w:val="000000"/>
                <w:sz w:val="27"/>
                <w:szCs w:val="27"/>
              </w:rPr>
            </w:pPr>
            <w:r>
              <w:rPr>
                <w:rFonts w:hint="eastAsia" w:ascii="SimHei" w:hAnsi="SimHei" w:eastAsia="黑体"/>
                <w:color w:val="000000"/>
                <w:sz w:val="27"/>
                <w:szCs w:val="27"/>
              </w:rPr>
              <w:t>3</w:t>
            </w:r>
          </w:p>
        </w:tc>
        <w:tc>
          <w:tcPr>
            <w:tcW w:w="3960" w:type="dxa"/>
            <w:noWrap w:val="0"/>
            <w:vAlign w:val="top"/>
          </w:tcPr>
          <w:p>
            <w:pPr>
              <w:pStyle w:val="7"/>
              <w:spacing w:line="330" w:lineRule="atLeast"/>
              <w:jc w:val="center"/>
              <w:rPr>
                <w:rFonts w:hint="eastAsia"/>
                <w:color w:val="000000"/>
                <w:sz w:val="27"/>
                <w:szCs w:val="27"/>
              </w:rPr>
            </w:pPr>
            <w:r>
              <w:rPr>
                <w:rFonts w:hint="eastAsia" w:ascii="SimHei" w:hAnsi="SimHei" w:eastAsia="黑体"/>
                <w:color w:val="000000"/>
                <w:sz w:val="27"/>
                <w:szCs w:val="27"/>
              </w:rPr>
              <w:t>副总经理</w:t>
            </w:r>
          </w:p>
        </w:tc>
        <w:tc>
          <w:tcPr>
            <w:tcW w:w="2950" w:type="dxa"/>
            <w:noWrap w:val="0"/>
            <w:vAlign w:val="center"/>
          </w:tcPr>
          <w:p>
            <w:pPr>
              <w:pStyle w:val="7"/>
              <w:spacing w:line="330" w:lineRule="atLeast"/>
              <w:jc w:val="center"/>
              <w:rPr>
                <w:rFonts w:hint="eastAsia"/>
                <w:color w:val="000000"/>
                <w:sz w:val="27"/>
                <w:szCs w:val="27"/>
              </w:rPr>
            </w:pPr>
            <w:r>
              <w:rPr>
                <w:rFonts w:hint="eastAsia" w:ascii="SimHei" w:hAnsi="SimHei" w:eastAsia="黑体"/>
                <w:color w:val="000000"/>
                <w:sz w:val="27"/>
                <w:szCs w:val="27"/>
              </w:rPr>
              <w:t>0.72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6" w:type="dxa"/>
            <w:noWrap w:val="0"/>
            <w:vAlign w:val="top"/>
          </w:tcPr>
          <w:p>
            <w:pPr>
              <w:pStyle w:val="7"/>
              <w:spacing w:line="330" w:lineRule="atLeast"/>
              <w:jc w:val="center"/>
              <w:rPr>
                <w:rFonts w:hint="eastAsia"/>
                <w:color w:val="000000"/>
                <w:sz w:val="27"/>
                <w:szCs w:val="27"/>
              </w:rPr>
            </w:pPr>
            <w:r>
              <w:rPr>
                <w:rFonts w:hint="eastAsia" w:ascii="SimHei" w:hAnsi="SimHei" w:eastAsia="黑体"/>
                <w:color w:val="000000"/>
                <w:sz w:val="27"/>
                <w:szCs w:val="27"/>
              </w:rPr>
              <w:t>4</w:t>
            </w:r>
          </w:p>
        </w:tc>
        <w:tc>
          <w:tcPr>
            <w:tcW w:w="3960" w:type="dxa"/>
            <w:noWrap w:val="0"/>
            <w:vAlign w:val="top"/>
          </w:tcPr>
          <w:p>
            <w:pPr>
              <w:pStyle w:val="7"/>
              <w:spacing w:line="330" w:lineRule="atLeast"/>
              <w:jc w:val="center"/>
              <w:rPr>
                <w:rFonts w:hint="eastAsia"/>
                <w:color w:val="000000"/>
                <w:sz w:val="27"/>
                <w:szCs w:val="27"/>
              </w:rPr>
            </w:pPr>
            <w:r>
              <w:rPr>
                <w:rFonts w:hint="eastAsia" w:ascii="SimHei" w:hAnsi="SimHei" w:eastAsia="黑体"/>
                <w:color w:val="000000"/>
                <w:sz w:val="27"/>
                <w:szCs w:val="27"/>
              </w:rPr>
              <w:t>助理总经理</w:t>
            </w:r>
          </w:p>
        </w:tc>
        <w:tc>
          <w:tcPr>
            <w:tcW w:w="2950" w:type="dxa"/>
            <w:noWrap w:val="0"/>
            <w:vAlign w:val="top"/>
          </w:tcPr>
          <w:p>
            <w:pPr>
              <w:pStyle w:val="7"/>
              <w:spacing w:line="330" w:lineRule="atLeast"/>
              <w:jc w:val="center"/>
              <w:rPr>
                <w:rFonts w:hint="eastAsia"/>
                <w:color w:val="000000"/>
                <w:sz w:val="27"/>
                <w:szCs w:val="27"/>
              </w:rPr>
            </w:pPr>
            <w:r>
              <w:rPr>
                <w:rFonts w:hint="eastAsia" w:ascii="SimHei" w:hAnsi="SimHei" w:eastAsia="黑体"/>
                <w:color w:val="000000"/>
                <w:sz w:val="27"/>
                <w:szCs w:val="27"/>
              </w:rPr>
              <w:t>0.52</w:t>
            </w:r>
          </w:p>
        </w:tc>
      </w:tr>
    </w:tbl>
    <w:p>
      <w:pPr>
        <w:tabs>
          <w:tab w:val="left" w:pos="993"/>
        </w:tabs>
        <w:spacing w:line="360" w:lineRule="auto"/>
        <w:ind w:firstLine="480" w:firstLineChars="200"/>
        <w:rPr>
          <w:rFonts w:hint="eastAsia"/>
          <w:sz w:val="24"/>
        </w:rPr>
      </w:pPr>
    </w:p>
    <w:p>
      <w:pPr>
        <w:pStyle w:val="7"/>
        <w:numPr>
          <w:ilvl w:val="0"/>
          <w:numId w:val="1"/>
        </w:numPr>
        <w:spacing w:line="330" w:lineRule="atLeast"/>
        <w:rPr>
          <w:rFonts w:hint="eastAsia"/>
          <w:color w:val="000000"/>
          <w:sz w:val="27"/>
          <w:szCs w:val="27"/>
        </w:rPr>
      </w:pPr>
      <w:r>
        <w:rPr>
          <w:rFonts w:hint="eastAsia" w:ascii="SimHei" w:hAnsi="SimHei" w:eastAsia="黑体"/>
          <w:color w:val="000000"/>
          <w:sz w:val="27"/>
          <w:szCs w:val="27"/>
        </w:rPr>
        <w:t>绩效年薪计提系数的计算：</w:t>
      </w:r>
    </w:p>
    <w:p>
      <w:pPr>
        <w:numPr>
          <w:ilvl w:val="0"/>
          <w:numId w:val="3"/>
        </w:numPr>
        <w:tabs>
          <w:tab w:val="left" w:pos="993"/>
        </w:tabs>
        <w:spacing w:line="360" w:lineRule="auto"/>
        <w:rPr>
          <w:rFonts w:hint="eastAsia"/>
          <w:sz w:val="24"/>
        </w:rPr>
      </w:pPr>
      <w:r>
        <w:rPr>
          <w:rFonts w:hint="eastAsia" w:ascii="SimHei" w:hAnsi="SimHei" w:eastAsia="黑体"/>
          <w:color w:val="000000"/>
          <w:sz w:val="27"/>
          <w:szCs w:val="27"/>
        </w:rPr>
        <w:t>董事长、总经理</w:t>
      </w:r>
      <w:r>
        <w:rPr>
          <w:rFonts w:hint="eastAsia" w:ascii="SimHei" w:hAnsi="SimHei" w:eastAsia="黑体"/>
          <w:sz w:val="24"/>
        </w:rPr>
        <w:t>绩效年薪</w:t>
      </w:r>
      <w:r>
        <w:rPr>
          <w:rFonts w:hint="eastAsia" w:ascii="SimHei" w:hAnsi="SimHei" w:eastAsia="黑体"/>
          <w:color w:val="000000"/>
          <w:sz w:val="27"/>
          <w:szCs w:val="27"/>
        </w:rPr>
        <w:t>计提系数为1和0.97，不与分管部室或工作挂钩。</w:t>
      </w:r>
    </w:p>
    <w:p>
      <w:pPr>
        <w:numPr>
          <w:ilvl w:val="0"/>
          <w:numId w:val="3"/>
        </w:numPr>
        <w:tabs>
          <w:tab w:val="left" w:pos="993"/>
        </w:tabs>
        <w:spacing w:line="360" w:lineRule="auto"/>
        <w:rPr>
          <w:rFonts w:hint="eastAsia"/>
          <w:sz w:val="24"/>
        </w:rPr>
      </w:pPr>
      <w:r>
        <w:rPr>
          <w:rFonts w:hint="eastAsia" w:ascii="SimHei" w:hAnsi="SimHei" w:eastAsia="黑体"/>
          <w:color w:val="000000"/>
          <w:sz w:val="27"/>
          <w:szCs w:val="27"/>
        </w:rPr>
        <w:t>副总经理和助理总经理的实际计提系数与所分管部室挂钩，年度绩效年薪计提系数按以下公式计算：</w:t>
      </w:r>
    </w:p>
    <w:p>
      <w:pPr>
        <w:pStyle w:val="7"/>
        <w:spacing w:before="0" w:beforeAutospacing="0" w:after="0" w:afterAutospacing="0" w:line="360" w:lineRule="auto"/>
        <w:ind w:firstLine="425"/>
        <w:rPr>
          <w:rFonts w:hint="eastAsia"/>
          <w:color w:val="000000"/>
          <w:sz w:val="27"/>
          <w:szCs w:val="27"/>
        </w:rPr>
      </w:pPr>
      <w:r>
        <w:rPr>
          <w:rFonts w:hint="eastAsia" w:ascii="SimHei" w:hAnsi="SimHei" w:eastAsia="黑体"/>
          <w:color w:val="000000"/>
          <w:sz w:val="27"/>
          <w:szCs w:val="27"/>
        </w:rPr>
        <w:t>年度绩效年薪计提系数 = 绩效年薪系数×所分管部室年度考核系数</w:t>
      </w:r>
    </w:p>
    <w:p>
      <w:pPr>
        <w:pStyle w:val="7"/>
        <w:spacing w:before="0" w:beforeAutospacing="0" w:after="0" w:afterAutospacing="0" w:line="360" w:lineRule="auto"/>
        <w:ind w:firstLine="425"/>
        <w:rPr>
          <w:rFonts w:hint="eastAsia"/>
          <w:color w:val="000000"/>
          <w:sz w:val="27"/>
          <w:szCs w:val="27"/>
        </w:rPr>
      </w:pPr>
      <w:r>
        <w:rPr>
          <w:rFonts w:hint="eastAsia" w:ascii="SimHei" w:hAnsi="SimHei" w:eastAsia="黑体"/>
          <w:color w:val="000000"/>
          <w:sz w:val="27"/>
          <w:szCs w:val="27"/>
        </w:rPr>
        <w:t>如果分管两个及以上部室时，考核系数取相应部室考核系数的平均值。按上式计算的年度绩效年薪计提系数超过0.9时，按0.9计算。</w:t>
      </w:r>
    </w:p>
    <w:p>
      <w:pPr>
        <w:pStyle w:val="7"/>
        <w:numPr>
          <w:ilvl w:val="0"/>
          <w:numId w:val="1"/>
        </w:numPr>
        <w:spacing w:line="330" w:lineRule="atLeast"/>
        <w:rPr>
          <w:color w:val="000000"/>
          <w:sz w:val="27"/>
          <w:szCs w:val="27"/>
        </w:rPr>
      </w:pPr>
      <w:r>
        <w:rPr>
          <w:rFonts w:hint="eastAsia" w:ascii="SimHei" w:hAnsi="SimHei" w:eastAsia="黑体"/>
          <w:color w:val="000000"/>
          <w:sz w:val="27"/>
          <w:szCs w:val="27"/>
        </w:rPr>
        <w:t>绩效年薪的7</w:t>
      </w:r>
      <w:r>
        <w:rPr>
          <w:rFonts w:ascii="SimHei" w:hAnsi="SimHei" w:eastAsia="黑体"/>
          <w:color w:val="000000"/>
          <w:sz w:val="27"/>
          <w:szCs w:val="27"/>
        </w:rPr>
        <w:t>0%在年度考核结束后当期兑现；其余</w:t>
      </w:r>
      <w:r>
        <w:rPr>
          <w:rFonts w:hint="eastAsia" w:ascii="SimHei" w:hAnsi="SimHei" w:eastAsia="黑体"/>
          <w:color w:val="000000"/>
          <w:sz w:val="27"/>
          <w:szCs w:val="27"/>
        </w:rPr>
        <w:t>3</w:t>
      </w:r>
      <w:r>
        <w:rPr>
          <w:rFonts w:ascii="SimHei" w:hAnsi="SimHei" w:eastAsia="黑体"/>
          <w:color w:val="000000"/>
          <w:sz w:val="27"/>
          <w:szCs w:val="27"/>
        </w:rPr>
        <w:t>0%根据任期考核结果等因素延期到连任或离任的下一年兑现。</w:t>
      </w:r>
    </w:p>
    <w:p>
      <w:pPr>
        <w:pStyle w:val="7"/>
        <w:numPr>
          <w:ilvl w:val="0"/>
          <w:numId w:val="1"/>
        </w:numPr>
        <w:spacing w:line="330" w:lineRule="atLeast"/>
        <w:rPr>
          <w:color w:val="000000"/>
          <w:sz w:val="27"/>
          <w:szCs w:val="27"/>
        </w:rPr>
      </w:pPr>
      <w:r>
        <w:rPr>
          <w:rFonts w:hint="eastAsia" w:ascii="SimHei" w:hAnsi="SimHei" w:eastAsia="黑体"/>
          <w:color w:val="000000"/>
          <w:sz w:val="27"/>
          <w:szCs w:val="27"/>
        </w:rPr>
        <w:t>依据任期经营业绩考核结果，实行奖惩与任免。</w:t>
      </w:r>
    </w:p>
    <w:p>
      <w:pPr>
        <w:pStyle w:val="7"/>
        <w:spacing w:line="330" w:lineRule="atLeast"/>
        <w:ind w:firstLine="425"/>
        <w:rPr>
          <w:rFonts w:hint="eastAsia"/>
          <w:color w:val="000000"/>
          <w:sz w:val="21"/>
          <w:szCs w:val="21"/>
        </w:rPr>
      </w:pPr>
      <w:r>
        <w:rPr>
          <w:rFonts w:hint="eastAsia" w:ascii="SimHei" w:hAnsi="SimHei" w:eastAsia="黑体"/>
          <w:color w:val="000000"/>
          <w:sz w:val="27"/>
          <w:szCs w:val="27"/>
        </w:rPr>
        <w:t>（一）任期经营考核结果为</w:t>
      </w:r>
      <w:r>
        <w:rPr>
          <w:rFonts w:ascii="SimHei" w:hAnsi="SimHei" w:eastAsia="黑体"/>
          <w:color w:val="000000"/>
          <w:sz w:val="27"/>
          <w:szCs w:val="27"/>
        </w:rPr>
        <w:t>A级和B级，除按期兑现全部延期绩效年薪外，</w:t>
      </w:r>
      <w:r>
        <w:rPr>
          <w:rFonts w:hint="eastAsia" w:ascii="SimHei" w:hAnsi="SimHei" w:eastAsia="黑体"/>
          <w:color w:val="000000"/>
          <w:sz w:val="27"/>
          <w:szCs w:val="27"/>
        </w:rPr>
        <w:t>另外以任期内平均绩效年薪作为</w:t>
      </w:r>
      <w:r>
        <w:rPr>
          <w:rFonts w:ascii="SimHei" w:hAnsi="SimHei" w:eastAsia="黑体"/>
          <w:color w:val="000000"/>
          <w:sz w:val="27"/>
          <w:szCs w:val="27"/>
        </w:rPr>
        <w:t>中长期激励。</w:t>
      </w:r>
    </w:p>
    <w:p>
      <w:pPr>
        <w:pStyle w:val="7"/>
        <w:spacing w:line="330" w:lineRule="atLeast"/>
        <w:ind w:firstLine="425"/>
        <w:rPr>
          <w:color w:val="000000"/>
          <w:sz w:val="21"/>
          <w:szCs w:val="21"/>
        </w:rPr>
      </w:pPr>
      <w:r>
        <w:rPr>
          <w:rFonts w:hint="eastAsia" w:ascii="SimHei" w:hAnsi="SimHei" w:eastAsia="黑体"/>
          <w:color w:val="000000"/>
          <w:sz w:val="27"/>
          <w:szCs w:val="27"/>
        </w:rPr>
        <w:t>（二）任期经营考核结果为</w:t>
      </w:r>
      <w:r>
        <w:rPr>
          <w:rFonts w:ascii="SimHei" w:hAnsi="SimHei" w:eastAsia="黑体"/>
          <w:color w:val="000000"/>
          <w:sz w:val="27"/>
          <w:szCs w:val="27"/>
        </w:rPr>
        <w:t>C级，按期兑现全部延期绩效年薪。</w:t>
      </w:r>
    </w:p>
    <w:p>
      <w:pPr>
        <w:pStyle w:val="7"/>
        <w:spacing w:line="330" w:lineRule="atLeast"/>
        <w:ind w:firstLine="425"/>
        <w:rPr>
          <w:color w:val="000000"/>
          <w:sz w:val="21"/>
          <w:szCs w:val="21"/>
        </w:rPr>
      </w:pPr>
      <w:r>
        <w:rPr>
          <w:rFonts w:hint="eastAsia" w:ascii="SimHei" w:hAnsi="SimHei" w:eastAsia="黑体"/>
          <w:color w:val="000000"/>
          <w:sz w:val="27"/>
          <w:szCs w:val="27"/>
        </w:rPr>
        <w:t>（三）任期经营考核结果为</w:t>
      </w:r>
      <w:r>
        <w:rPr>
          <w:rFonts w:ascii="SimHei" w:hAnsi="SimHei" w:eastAsia="黑体"/>
          <w:color w:val="000000"/>
          <w:sz w:val="27"/>
          <w:szCs w:val="27"/>
        </w:rPr>
        <w:t>D级和E级，除根据考核分数扣减延期绩效年薪外，根据具体情况，可不再对其任命、续聘或对其进行工作调整。</w:t>
      </w:r>
    </w:p>
    <w:p>
      <w:pPr>
        <w:pStyle w:val="7"/>
        <w:spacing w:line="330" w:lineRule="atLeast"/>
        <w:ind w:firstLine="425"/>
        <w:rPr>
          <w:color w:val="000000"/>
          <w:sz w:val="21"/>
          <w:szCs w:val="21"/>
        </w:rPr>
      </w:pPr>
      <w:r>
        <w:rPr>
          <w:rFonts w:hint="eastAsia" w:ascii="SimHei" w:hAnsi="SimHei" w:eastAsia="黑体"/>
          <w:color w:val="000000"/>
          <w:sz w:val="27"/>
          <w:szCs w:val="27"/>
        </w:rPr>
        <w:t>具体扣减绩效年薪的公式为：</w:t>
      </w:r>
    </w:p>
    <w:p>
      <w:pPr>
        <w:pStyle w:val="7"/>
        <w:spacing w:line="330" w:lineRule="atLeast"/>
        <w:ind w:firstLine="425"/>
        <w:rPr>
          <w:color w:val="000000"/>
          <w:sz w:val="21"/>
          <w:szCs w:val="21"/>
        </w:rPr>
      </w:pPr>
      <w:r>
        <w:rPr>
          <w:rFonts w:hint="eastAsia" w:ascii="SimHei" w:hAnsi="SimHei" w:eastAsia="黑体"/>
          <w:color w:val="000000"/>
          <w:sz w:val="27"/>
          <w:szCs w:val="27"/>
        </w:rPr>
        <w:t>扣减延期绩效年薪</w:t>
      </w:r>
      <w:r>
        <w:rPr>
          <w:rFonts w:ascii="SimHei" w:hAnsi="SimHei" w:eastAsia="黑体"/>
          <w:color w:val="000000"/>
          <w:sz w:val="27"/>
          <w:szCs w:val="27"/>
        </w:rPr>
        <w:t>=任期内积累的延期绩效年薪×（C级起点分数-实得分数）/C级起点分数。</w:t>
      </w:r>
    </w:p>
    <w:p>
      <w:pPr>
        <w:pStyle w:val="7"/>
        <w:numPr>
          <w:ilvl w:val="0"/>
          <w:numId w:val="1"/>
        </w:numPr>
        <w:spacing w:line="330" w:lineRule="atLeast"/>
        <w:rPr>
          <w:color w:val="000000"/>
          <w:sz w:val="27"/>
          <w:szCs w:val="27"/>
        </w:rPr>
      </w:pPr>
      <w:r>
        <w:rPr>
          <w:rFonts w:hint="eastAsia" w:ascii="SimHei" w:hAnsi="SimHei" w:eastAsia="黑体"/>
          <w:color w:val="000000"/>
          <w:sz w:val="27"/>
          <w:szCs w:val="27"/>
        </w:rPr>
        <w:t>对社会、行业和企业发展做出重大贡献的企业负责人，可享受国资委特别贡献奖。具体办法见省国资委相关规定。</w:t>
      </w:r>
    </w:p>
    <w:bookmarkEnd w:id="2"/>
    <w:bookmarkEnd w:id="3"/>
    <w:p>
      <w:pPr>
        <w:pStyle w:val="2"/>
        <w:rPr>
          <w:rFonts w:hint="eastAsia" w:ascii="宋体" w:hAnsi="宋体"/>
          <w:bCs/>
        </w:rPr>
      </w:pPr>
      <w:bookmarkStart w:id="8" w:name="_Toc16144331"/>
      <w:bookmarkStart w:id="9" w:name="_Toc54765312"/>
      <w:r>
        <w:rPr>
          <w:rFonts w:ascii="SimHei" w:hAnsi="SimHei" w:eastAsia="黑体"/>
          <w:bCs/>
        </w:rPr>
      </w:r>
      <w:bookmarkStart w:id="10" w:name="_Hlt76867443"/>
      <w:bookmarkEnd w:id="10"/>
      <w:bookmarkStart w:id="11" w:name="_Toc81281000"/>
      <w:r>
        <w:rPr>
          <w:rFonts w:hint="eastAsia" w:ascii="SimHei" w:hAnsi="SimHei" w:eastAsia="黑体"/>
          <w:bCs/>
        </w:rPr>
        <w:t xml:space="preserve">第五章  </w:t>
      </w:r>
      <w:bookmarkStart w:id="12" w:name="_Hlt80755093"/>
      <w:bookmarkEnd w:id="12"/>
      <w:r>
        <w:rPr>
          <w:rFonts w:hint="eastAsia" w:ascii="SimHei" w:hAnsi="SimHei" w:eastAsia="黑体"/>
          <w:bCs/>
        </w:rPr>
        <w:t>附则</w:t>
      </w:r>
      <w:bookmarkEnd w:id="11"/>
    </w:p>
    <w:p>
      <w:pPr>
        <w:pStyle w:val="7"/>
        <w:numPr>
          <w:ilvl w:val="0"/>
          <w:numId w:val="1"/>
        </w:numPr>
        <w:spacing w:line="330" w:lineRule="atLeast"/>
        <w:rPr>
          <w:color w:val="000000"/>
          <w:sz w:val="27"/>
          <w:szCs w:val="27"/>
        </w:rPr>
      </w:pPr>
      <w:r>
        <w:rPr>
          <w:rFonts w:hint="eastAsia" w:ascii="SimHei" w:hAnsi="SimHei" w:eastAsia="黑体"/>
          <w:color w:val="000000"/>
          <w:sz w:val="27"/>
          <w:szCs w:val="27"/>
        </w:rPr>
        <w:t>公司独立董事、职工代表出任的董事、监事等的考核及其奖惩办法另行制定。</w:t>
      </w:r>
    </w:p>
    <w:p>
      <w:pPr>
        <w:pStyle w:val="7"/>
        <w:numPr>
          <w:ilvl w:val="0"/>
          <w:numId w:val="1"/>
        </w:numPr>
        <w:spacing w:line="330" w:lineRule="atLeast"/>
        <w:rPr>
          <w:color w:val="000000"/>
          <w:sz w:val="27"/>
          <w:szCs w:val="27"/>
        </w:rPr>
      </w:pPr>
      <w:r>
        <w:rPr>
          <w:rFonts w:hint="eastAsia" w:ascii="SimHei" w:hAnsi="SimHei" w:eastAsia="黑体"/>
          <w:color w:val="000000"/>
          <w:sz w:val="27"/>
          <w:szCs w:val="27"/>
        </w:rPr>
        <w:t>某集团董事会负责解释。</w:t>
      </w:r>
    </w:p>
    <w:p>
      <w:pPr>
        <w:pStyle w:val="7"/>
        <w:numPr>
          <w:ilvl w:val="0"/>
          <w:numId w:val="1"/>
        </w:numPr>
        <w:spacing w:line="330" w:lineRule="atLeast"/>
        <w:rPr>
          <w:rFonts w:hint="eastAsia"/>
          <w:color w:val="000000"/>
          <w:sz w:val="27"/>
          <w:szCs w:val="27"/>
        </w:rPr>
      </w:pPr>
      <w:r>
        <w:rPr>
          <w:rFonts w:hint="eastAsia" w:ascii="SimHei" w:hAnsi="SimHei" w:eastAsia="黑体"/>
          <w:color w:val="000000"/>
          <w:sz w:val="27"/>
          <w:szCs w:val="27"/>
        </w:rPr>
        <w:t>本办法自_______</w:t>
      </w:r>
      <w:r>
        <w:rPr>
          <w:rFonts w:ascii="SimHei" w:hAnsi="SimHei" w:eastAsia="黑体"/>
          <w:color w:val="000000"/>
          <w:sz w:val="27"/>
          <w:szCs w:val="27"/>
        </w:rPr>
        <w:t>起</w:t>
      </w:r>
      <w:r>
        <w:rPr>
          <w:rFonts w:hint="eastAsia" w:ascii="SimHei" w:hAnsi="SimHei" w:eastAsia="黑体"/>
          <w:color w:val="000000"/>
          <w:sz w:val="27"/>
          <w:szCs w:val="27"/>
        </w:rPr>
        <w:t>实施</w:t>
      </w:r>
      <w:r>
        <w:rPr>
          <w:rFonts w:ascii="SimHei" w:hAnsi="SimHei" w:eastAsia="黑体"/>
          <w:color w:val="000000"/>
          <w:sz w:val="27"/>
          <w:szCs w:val="27"/>
        </w:rPr>
        <w:t>。</w:t>
      </w:r>
    </w:p>
    <w:p>
      <w:pPr>
        <w:pStyle w:val="7"/>
        <w:numPr>
          <w:ilvl w:val="0"/>
          <w:numId w:val="1"/>
        </w:numPr>
        <w:spacing w:line="330" w:lineRule="atLeast"/>
        <w:rPr>
          <w:rFonts w:hint="eastAsia"/>
          <w:color w:val="000000"/>
          <w:sz w:val="27"/>
          <w:szCs w:val="27"/>
        </w:rPr>
      </w:pPr>
      <w:r>
        <w:rPr>
          <w:rFonts w:hint="eastAsia" w:ascii="SimHei" w:hAnsi="SimHei" w:eastAsia="黑体"/>
          <w:color w:val="000000"/>
          <w:sz w:val="27"/>
          <w:szCs w:val="27"/>
        </w:rPr>
        <w:t>如果本办法中相关内容与将来省国资委相关规定发生冲突，则以省国资委相关规定为准</w:t>
      </w:r>
      <w:r>
        <w:rPr>
          <w:rFonts w:ascii="SimHei" w:hAnsi="SimHei" w:eastAsia="黑体"/>
          <w:color w:val="000000"/>
          <w:sz w:val="27"/>
          <w:szCs w:val="27"/>
        </w:rPr>
        <w:t>。</w:t>
      </w:r>
    </w:p>
    <w:p>
      <w:pPr>
        <w:pStyle w:val="2"/>
        <w:rPr>
          <w:rFonts w:ascii="宋体" w:hAnsi="宋体"/>
          <w:bCs/>
        </w:rPr>
      </w:pPr>
      <w:r>
        <w:rPr>
          <w:rFonts w:ascii="SimHei" w:hAnsi="SimHei" w:eastAsia="黑体"/>
          <w:b w:val="0"/>
          <w:bCs/>
          <w:color w:val="000000"/>
          <w:sz w:val="27"/>
          <w:szCs w:val="27"/>
        </w:rPr>
      </w:r>
      <w:bookmarkStart w:id="13" w:name="_Toc81281001"/>
      <w:r>
        <w:rPr>
          <w:rFonts w:hint="eastAsia" w:ascii="SimHei" w:hAnsi="SimHei" w:eastAsia="黑体"/>
          <w:bCs/>
        </w:rPr>
        <w:t>附件</w:t>
      </w:r>
      <w:r>
        <w:rPr>
          <w:rFonts w:ascii="SimHei" w:hAnsi="SimHei" w:eastAsia="黑体"/>
          <w:bCs/>
        </w:rPr>
        <w:t>1：</w:t>
      </w:r>
      <w:r>
        <w:rPr>
          <w:rFonts w:hint="eastAsia" w:ascii="SimHei" w:hAnsi="SimHei" w:eastAsia="黑体"/>
          <w:bCs/>
        </w:rPr>
        <w:t>基本年薪</w:t>
      </w:r>
      <w:bookmarkEnd w:id="13"/>
    </w:p>
    <w:p>
      <w:pPr>
        <w:tabs>
          <w:tab w:val="left" w:pos="993"/>
        </w:tabs>
        <w:spacing w:line="360" w:lineRule="auto"/>
        <w:ind w:firstLine="540" w:firstLineChars="200"/>
        <w:rPr>
          <w:rFonts w:hint="eastAsia"/>
          <w:color w:val="000000"/>
          <w:sz w:val="27"/>
          <w:szCs w:val="27"/>
        </w:rPr>
      </w:pPr>
      <w:r>
        <w:rPr>
          <w:rFonts w:hint="eastAsia" w:ascii="SimHei" w:hAnsi="SimHei" w:eastAsia="黑体"/>
          <w:color w:val="000000"/>
          <w:sz w:val="27"/>
          <w:szCs w:val="27"/>
        </w:rPr>
        <w:t>一、基本依据</w:t>
      </w:r>
    </w:p>
    <w:p>
      <w:pPr>
        <w:pStyle w:val="7"/>
        <w:spacing w:before="0" w:beforeAutospacing="0" w:after="0" w:afterAutospacing="0" w:line="360" w:lineRule="auto"/>
        <w:ind w:firstLine="425"/>
        <w:rPr>
          <w:rFonts w:hint="eastAsia"/>
          <w:color w:val="000000"/>
          <w:sz w:val="27"/>
          <w:szCs w:val="27"/>
        </w:rPr>
      </w:pPr>
      <w:r>
        <w:rPr>
          <w:rFonts w:hint="eastAsia" w:ascii="SimHei" w:hAnsi="SimHei" w:eastAsia="黑体"/>
          <w:color w:val="000000"/>
          <w:sz w:val="27"/>
          <w:szCs w:val="27"/>
        </w:rPr>
        <w:t>根据山东省及济南市国有企业的在岗职工的平均工资水平、山东省及济南市平均物价水平，参照省内同行业及相近行业的同等及相近资产规模、经济效益的企业负责人的薪资水平，某集团近年实际经营情况和薪资水平，某集团负责人的基本年薪。</w:t>
      </w:r>
    </w:p>
    <w:p>
      <w:pPr>
        <w:pStyle w:val="7"/>
        <w:spacing w:before="0" w:beforeAutospacing="0" w:after="0" w:afterAutospacing="0" w:line="360" w:lineRule="auto"/>
        <w:ind w:firstLine="425"/>
        <w:rPr>
          <w:rFonts w:hint="eastAsia"/>
          <w:color w:val="000000"/>
          <w:sz w:val="27"/>
          <w:szCs w:val="27"/>
        </w:rPr>
      </w:pPr>
      <w:r>
        <w:rPr>
          <w:rFonts w:hint="eastAsia" w:ascii="SimHei" w:hAnsi="SimHei" w:eastAsia="黑体"/>
          <w:color w:val="000000"/>
          <w:sz w:val="27"/>
          <w:szCs w:val="27"/>
        </w:rPr>
        <w:t>二、基本年薪</w:t>
      </w:r>
    </w:p>
    <w:p>
      <w:pPr>
        <w:pStyle w:val="7"/>
        <w:spacing w:before="0" w:beforeAutospacing="0" w:after="0" w:afterAutospacing="0" w:line="360" w:lineRule="auto"/>
        <w:ind w:firstLine="425"/>
        <w:rPr>
          <w:rFonts w:hint="eastAsia"/>
          <w:color w:val="000000"/>
          <w:sz w:val="27"/>
          <w:szCs w:val="27"/>
        </w:rPr>
      </w:pPr>
      <w:r>
        <w:rPr>
          <w:rFonts w:hint="eastAsia" w:ascii="SimHei" w:hAnsi="SimHei" w:eastAsia="黑体"/>
          <w:color w:val="000000"/>
          <w:sz w:val="27"/>
          <w:szCs w:val="27"/>
        </w:rPr>
        <w:t>基本年薪设为5个档次，某集团目前实际情况，建议目前从第1档开始实行，具体如表1：</w:t>
      </w:r>
    </w:p>
    <w:p>
      <w:pPr>
        <w:tabs>
          <w:tab w:val="left" w:pos="993"/>
        </w:tabs>
        <w:spacing w:line="360" w:lineRule="auto"/>
        <w:ind w:firstLine="480" w:firstLineChars="200"/>
        <w:jc w:val="center"/>
        <w:rPr>
          <w:rFonts w:hint="eastAsia"/>
          <w:sz w:val="24"/>
        </w:rPr>
      </w:pPr>
      <w:r>
        <w:rPr>
          <w:rFonts w:hint="eastAsia" w:ascii="SimHei" w:hAnsi="SimHei" w:eastAsia="黑体"/>
          <w:sz w:val="24"/>
        </w:rPr>
        <w:t xml:space="preserve">表1：基本年薪表 </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4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noWrap w:val="0"/>
            <w:vAlign w:val="top"/>
          </w:tcPr>
          <w:p>
            <w:pPr>
              <w:pStyle w:val="7"/>
              <w:spacing w:line="330" w:lineRule="atLeast"/>
              <w:jc w:val="center"/>
              <w:rPr>
                <w:rFonts w:hint="eastAsia"/>
                <w:color w:val="000000"/>
                <w:sz w:val="28"/>
                <w:szCs w:val="21"/>
              </w:rPr>
            </w:pPr>
            <w:r>
              <w:rPr>
                <w:rFonts w:hint="eastAsia" w:ascii="SimHei" w:hAnsi="SimHei" w:eastAsia="黑体"/>
                <w:color w:val="000000"/>
                <w:sz w:val="28"/>
                <w:szCs w:val="21"/>
              </w:rPr>
              <w:t>档等</w:t>
            </w:r>
          </w:p>
        </w:tc>
        <w:tc>
          <w:tcPr>
            <w:tcW w:w="4336" w:type="dxa"/>
            <w:noWrap w:val="0"/>
            <w:vAlign w:val="center"/>
          </w:tcPr>
          <w:p>
            <w:pPr>
              <w:pStyle w:val="7"/>
              <w:spacing w:line="330" w:lineRule="atLeast"/>
              <w:jc w:val="center"/>
              <w:rPr>
                <w:rFonts w:hint="eastAsia"/>
                <w:color w:val="000000"/>
                <w:sz w:val="21"/>
                <w:szCs w:val="21"/>
              </w:rPr>
            </w:pPr>
            <w:r>
              <w:rPr>
                <w:rFonts w:hint="eastAsia" w:ascii="SimHei" w:hAnsi="SimHei" w:eastAsia="黑体"/>
                <w:color w:val="000000"/>
                <w:sz w:val="21"/>
                <w:szCs w:val="21"/>
              </w:rPr>
              <w:t>基本年薪（万元）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noWrap w:val="0"/>
            <w:vAlign w:val="top"/>
          </w:tcPr>
          <w:p>
            <w:pPr>
              <w:pStyle w:val="7"/>
              <w:spacing w:line="330" w:lineRule="atLeast"/>
              <w:jc w:val="center"/>
              <w:rPr>
                <w:rFonts w:hint="eastAsia"/>
                <w:color w:val="000000"/>
                <w:szCs w:val="21"/>
              </w:rPr>
            </w:pPr>
            <w:r>
              <w:rPr>
                <w:rFonts w:hint="eastAsia" w:ascii="SimHei" w:hAnsi="SimHei" w:eastAsia="黑体"/>
                <w:color w:val="000000"/>
                <w:szCs w:val="21"/>
              </w:rPr>
              <w:t>1</w:t>
            </w:r>
          </w:p>
        </w:tc>
        <w:tc>
          <w:tcPr>
            <w:tcW w:w="4336" w:type="dxa"/>
            <w:noWrap w:val="0"/>
            <w:vAlign w:val="top"/>
          </w:tcPr>
          <w:p>
            <w:pPr>
              <w:pStyle w:val="7"/>
              <w:spacing w:line="330" w:lineRule="atLeast"/>
              <w:jc w:val="center"/>
              <w:rPr>
                <w:rFonts w:hint="eastAsia"/>
                <w:color w:val="000000"/>
                <w:szCs w:val="21"/>
              </w:rPr>
            </w:pPr>
            <w:r>
              <w:rPr>
                <w:rFonts w:hint="eastAsia" w:ascii="SimHei" w:hAnsi="SimHei" w:eastAsia="黑体"/>
                <w:color w:val="000000"/>
                <w:szCs w:val="21"/>
              </w:rPr>
              <w:t>25.2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noWrap w:val="0"/>
            <w:vAlign w:val="top"/>
          </w:tcPr>
          <w:p>
            <w:pPr>
              <w:pStyle w:val="7"/>
              <w:spacing w:line="330" w:lineRule="atLeast"/>
              <w:jc w:val="center"/>
              <w:rPr>
                <w:rFonts w:hint="eastAsia"/>
                <w:color w:val="000000"/>
                <w:szCs w:val="21"/>
              </w:rPr>
            </w:pPr>
            <w:r>
              <w:rPr>
                <w:rFonts w:hint="eastAsia" w:ascii="SimHei" w:hAnsi="SimHei" w:eastAsia="黑体"/>
                <w:color w:val="000000"/>
                <w:szCs w:val="21"/>
              </w:rPr>
              <w:t>2</w:t>
            </w:r>
          </w:p>
        </w:tc>
        <w:tc>
          <w:tcPr>
            <w:tcW w:w="4336" w:type="dxa"/>
            <w:noWrap w:val="0"/>
            <w:vAlign w:val="top"/>
          </w:tcPr>
          <w:p>
            <w:pPr>
              <w:pStyle w:val="7"/>
              <w:spacing w:line="330" w:lineRule="atLeast"/>
              <w:jc w:val="center"/>
              <w:rPr>
                <w:rFonts w:hint="eastAsia"/>
                <w:color w:val="000000"/>
                <w:szCs w:val="21"/>
              </w:rPr>
            </w:pPr>
            <w:r>
              <w:rPr>
                <w:rFonts w:hint="eastAsia" w:ascii="SimHei" w:hAnsi="SimHei" w:eastAsia="黑体"/>
                <w:color w:val="000000"/>
                <w:szCs w:val="21"/>
              </w:rPr>
              <w:t>27.6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noWrap w:val="0"/>
            <w:vAlign w:val="top"/>
          </w:tcPr>
          <w:p>
            <w:pPr>
              <w:pStyle w:val="7"/>
              <w:spacing w:line="330" w:lineRule="atLeast"/>
              <w:jc w:val="center"/>
              <w:rPr>
                <w:rFonts w:hint="eastAsia"/>
                <w:color w:val="000000"/>
                <w:szCs w:val="21"/>
              </w:rPr>
            </w:pPr>
            <w:r>
              <w:rPr>
                <w:rFonts w:hint="eastAsia" w:ascii="SimHei" w:hAnsi="SimHei" w:eastAsia="黑体"/>
                <w:color w:val="000000"/>
                <w:szCs w:val="21"/>
              </w:rPr>
              <w:t>3</w:t>
            </w:r>
          </w:p>
        </w:tc>
        <w:tc>
          <w:tcPr>
            <w:tcW w:w="4336" w:type="dxa"/>
            <w:noWrap w:val="0"/>
            <w:vAlign w:val="top"/>
          </w:tcPr>
          <w:p>
            <w:pPr>
              <w:pStyle w:val="7"/>
              <w:spacing w:line="330" w:lineRule="atLeast"/>
              <w:jc w:val="center"/>
              <w:rPr>
                <w:rFonts w:hint="eastAsia"/>
                <w:color w:val="000000"/>
                <w:szCs w:val="21"/>
              </w:rPr>
            </w:pPr>
            <w:r>
              <w:rPr>
                <w:rFonts w:hint="eastAsia" w:ascii="SimHei" w:hAnsi="SimHei" w:eastAsia="黑体"/>
                <w:color w:val="000000"/>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noWrap w:val="0"/>
            <w:vAlign w:val="top"/>
          </w:tcPr>
          <w:p>
            <w:pPr>
              <w:pStyle w:val="7"/>
              <w:spacing w:line="330" w:lineRule="atLeast"/>
              <w:jc w:val="center"/>
              <w:rPr>
                <w:rFonts w:hint="eastAsia"/>
                <w:color w:val="000000"/>
                <w:szCs w:val="21"/>
              </w:rPr>
            </w:pPr>
            <w:r>
              <w:rPr>
                <w:rFonts w:hint="eastAsia" w:ascii="SimHei" w:hAnsi="SimHei" w:eastAsia="黑体"/>
                <w:color w:val="000000"/>
                <w:szCs w:val="21"/>
              </w:rPr>
              <w:t>4</w:t>
            </w:r>
          </w:p>
        </w:tc>
        <w:tc>
          <w:tcPr>
            <w:tcW w:w="4336" w:type="dxa"/>
            <w:noWrap w:val="0"/>
            <w:vAlign w:val="top"/>
          </w:tcPr>
          <w:p>
            <w:pPr>
              <w:pStyle w:val="7"/>
              <w:spacing w:line="330" w:lineRule="atLeast"/>
              <w:jc w:val="center"/>
              <w:rPr>
                <w:rFonts w:hint="eastAsia"/>
                <w:color w:val="000000"/>
                <w:szCs w:val="21"/>
              </w:rPr>
            </w:pPr>
            <w:r>
              <w:rPr>
                <w:rFonts w:hint="eastAsia" w:ascii="SimHei" w:hAnsi="SimHei" w:eastAsia="黑体"/>
                <w:color w:val="000000"/>
                <w:szCs w:val="21"/>
              </w:rPr>
              <w:t>32.4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noWrap w:val="0"/>
            <w:vAlign w:val="top"/>
          </w:tcPr>
          <w:p>
            <w:pPr>
              <w:pStyle w:val="7"/>
              <w:spacing w:line="330" w:lineRule="atLeast"/>
              <w:jc w:val="center"/>
              <w:rPr>
                <w:rFonts w:hint="eastAsia"/>
                <w:color w:val="000000"/>
                <w:szCs w:val="21"/>
              </w:rPr>
            </w:pPr>
            <w:r>
              <w:rPr>
                <w:rFonts w:hint="eastAsia" w:ascii="SimHei" w:hAnsi="SimHei" w:eastAsia="黑体"/>
                <w:color w:val="000000"/>
                <w:szCs w:val="21"/>
              </w:rPr>
              <w:t>5</w:t>
            </w:r>
          </w:p>
        </w:tc>
        <w:tc>
          <w:tcPr>
            <w:tcW w:w="4336" w:type="dxa"/>
            <w:noWrap w:val="0"/>
            <w:vAlign w:val="top"/>
          </w:tcPr>
          <w:p>
            <w:pPr>
              <w:pStyle w:val="7"/>
              <w:spacing w:line="330" w:lineRule="atLeast"/>
              <w:jc w:val="center"/>
              <w:rPr>
                <w:rFonts w:hint="eastAsia"/>
                <w:color w:val="000000"/>
                <w:szCs w:val="21"/>
              </w:rPr>
            </w:pPr>
            <w:r>
              <w:rPr>
                <w:rFonts w:hint="eastAsia" w:ascii="SimHei" w:hAnsi="SimHei" w:eastAsia="黑体"/>
                <w:color w:val="000000"/>
                <w:szCs w:val="21"/>
              </w:rPr>
              <w:t>34.8</w:t>
            </w:r>
          </w:p>
        </w:tc>
      </w:tr>
    </w:tbl>
    <w:p>
      <w:pPr>
        <w:tabs>
          <w:tab w:val="left" w:pos="993"/>
        </w:tabs>
        <w:spacing w:line="360" w:lineRule="auto"/>
        <w:ind w:firstLine="480" w:firstLineChars="200"/>
        <w:rPr>
          <w:rFonts w:hint="eastAsia"/>
          <w:sz w:val="24"/>
        </w:rPr>
      </w:pPr>
    </w:p>
    <w:p>
      <w:pPr>
        <w:tabs>
          <w:tab w:val="left" w:pos="993"/>
        </w:tabs>
        <w:spacing w:line="360" w:lineRule="auto"/>
        <w:ind w:firstLine="480" w:firstLineChars="200"/>
        <w:rPr>
          <w:rFonts w:hint="eastAsia"/>
          <w:sz w:val="24"/>
        </w:rPr>
      </w:pPr>
      <w:r>
        <w:rPr>
          <w:rFonts w:hint="eastAsia" w:ascii="SimHei" w:hAnsi="SimHei" w:eastAsia="黑体"/>
          <w:sz w:val="24"/>
        </w:rPr>
        <w:t>三、基本年薪系数</w:t>
      </w:r>
    </w:p>
    <w:p>
      <w:pPr>
        <w:pStyle w:val="7"/>
        <w:spacing w:before="0" w:beforeAutospacing="0" w:after="0" w:afterAutospacing="0" w:line="360" w:lineRule="auto"/>
        <w:ind w:firstLine="425"/>
        <w:rPr>
          <w:rFonts w:hint="eastAsia"/>
          <w:color w:val="000000"/>
          <w:sz w:val="27"/>
          <w:szCs w:val="27"/>
        </w:rPr>
      </w:pPr>
      <w:r>
        <w:rPr>
          <w:rFonts w:hint="eastAsia" w:ascii="SimHei" w:hAnsi="SimHei" w:eastAsia="黑体"/>
          <w:color w:val="000000"/>
          <w:sz w:val="27"/>
          <w:szCs w:val="27"/>
        </w:rPr>
        <w:t>某集团高层管理人员基本年薪</w:t>
      </w:r>
      <w:r>
        <w:rPr>
          <w:rFonts w:ascii="SimHei" w:hAnsi="SimHei" w:eastAsia="黑体"/>
          <w:color w:val="000000"/>
          <w:sz w:val="27"/>
          <w:szCs w:val="27"/>
        </w:rPr>
        <w:t>系数</w:t>
      </w:r>
      <w:r>
        <w:rPr>
          <w:rFonts w:hint="eastAsia" w:ascii="SimHei" w:hAnsi="SimHei" w:eastAsia="黑体"/>
          <w:color w:val="000000"/>
          <w:sz w:val="27"/>
          <w:szCs w:val="27"/>
        </w:rPr>
        <w:t>参照国务院国资委《中央企业负责人经营业绩考核暂行办法》中相关规定，</w:t>
      </w:r>
      <w:r>
        <w:rPr>
          <w:rFonts w:ascii="SimHei" w:hAnsi="SimHei" w:eastAsia="黑体"/>
          <w:color w:val="000000"/>
          <w:sz w:val="27"/>
          <w:szCs w:val="27"/>
        </w:rPr>
        <w:t>根据各</w:t>
      </w:r>
      <w:r>
        <w:rPr>
          <w:rFonts w:hint="eastAsia" w:ascii="SimHei" w:hAnsi="SimHei" w:eastAsia="黑体"/>
          <w:color w:val="000000"/>
          <w:sz w:val="27"/>
          <w:szCs w:val="27"/>
        </w:rPr>
        <w:t>自</w:t>
      </w:r>
      <w:r>
        <w:rPr>
          <w:rFonts w:ascii="SimHei" w:hAnsi="SimHei" w:eastAsia="黑体"/>
          <w:color w:val="000000"/>
          <w:sz w:val="27"/>
          <w:szCs w:val="27"/>
        </w:rPr>
        <w:t>的责任和贡献，</w:t>
      </w:r>
      <w:r>
        <w:rPr>
          <w:rFonts w:hint="eastAsia" w:ascii="SimHei" w:hAnsi="SimHei" w:eastAsia="黑体"/>
          <w:color w:val="000000"/>
          <w:sz w:val="27"/>
          <w:szCs w:val="27"/>
        </w:rPr>
        <w:t>结合岗位评价结果，</w:t>
      </w:r>
      <w:r>
        <w:rPr>
          <w:rFonts w:ascii="SimHei" w:hAnsi="SimHei" w:eastAsia="黑体"/>
          <w:color w:val="000000"/>
          <w:sz w:val="27"/>
          <w:szCs w:val="27"/>
        </w:rPr>
        <w:t>确定</w:t>
      </w:r>
      <w:r>
        <w:rPr>
          <w:rFonts w:hint="eastAsia" w:ascii="SimHei" w:hAnsi="SimHei" w:eastAsia="黑体"/>
          <w:color w:val="000000"/>
          <w:sz w:val="27"/>
          <w:szCs w:val="27"/>
        </w:rPr>
        <w:t>集团高层管理人员的基本年薪系数如下表</w:t>
      </w:r>
      <w:r>
        <w:rPr>
          <w:rFonts w:ascii="SimHei" w:hAnsi="SimHei" w:eastAsia="黑体"/>
          <w:color w:val="000000"/>
          <w:sz w:val="27"/>
          <w:szCs w:val="27"/>
        </w:rPr>
        <w:t>。</w:t>
      </w:r>
    </w:p>
    <w:p>
      <w:pPr>
        <w:tabs>
          <w:tab w:val="left" w:pos="993"/>
        </w:tabs>
        <w:spacing w:line="360" w:lineRule="auto"/>
        <w:ind w:firstLine="480" w:firstLineChars="200"/>
        <w:jc w:val="center"/>
        <w:rPr>
          <w:sz w:val="24"/>
        </w:rPr>
      </w:pPr>
    </w:p>
    <w:p>
      <w:pPr>
        <w:tabs>
          <w:tab w:val="left" w:pos="993"/>
        </w:tabs>
        <w:spacing w:line="360" w:lineRule="auto"/>
        <w:ind w:firstLine="480" w:firstLineChars="200"/>
        <w:jc w:val="center"/>
        <w:rPr>
          <w:sz w:val="24"/>
        </w:rPr>
      </w:pPr>
    </w:p>
    <w:p>
      <w:pPr>
        <w:tabs>
          <w:tab w:val="left" w:pos="993"/>
        </w:tabs>
        <w:spacing w:line="360" w:lineRule="auto"/>
        <w:ind w:firstLine="480" w:firstLineChars="200"/>
        <w:jc w:val="center"/>
        <w:rPr>
          <w:sz w:val="24"/>
        </w:rPr>
      </w:pPr>
    </w:p>
    <w:p>
      <w:pPr>
        <w:tabs>
          <w:tab w:val="left" w:pos="993"/>
        </w:tabs>
        <w:spacing w:line="360" w:lineRule="auto"/>
        <w:ind w:firstLine="480" w:firstLineChars="200"/>
        <w:jc w:val="center"/>
        <w:rPr>
          <w:sz w:val="24"/>
        </w:rPr>
      </w:pPr>
    </w:p>
    <w:p>
      <w:pPr>
        <w:tabs>
          <w:tab w:val="left" w:pos="993"/>
        </w:tabs>
        <w:spacing w:line="360" w:lineRule="auto"/>
        <w:ind w:firstLine="480" w:firstLineChars="200"/>
        <w:jc w:val="center"/>
        <w:rPr>
          <w:sz w:val="24"/>
        </w:rPr>
      </w:pPr>
    </w:p>
    <w:p>
      <w:pPr>
        <w:tabs>
          <w:tab w:val="left" w:pos="993"/>
        </w:tabs>
        <w:spacing w:line="360" w:lineRule="auto"/>
        <w:ind w:firstLine="480" w:firstLineChars="200"/>
        <w:jc w:val="center"/>
        <w:rPr>
          <w:rFonts w:hint="eastAsia"/>
          <w:sz w:val="24"/>
        </w:rPr>
      </w:pPr>
      <w:r>
        <w:rPr>
          <w:rFonts w:hint="eastAsia" w:ascii="SimHei" w:hAnsi="SimHei" w:eastAsia="黑体"/>
          <w:sz w:val="24"/>
        </w:rPr>
        <w:t>表2：</w:t>
      </w:r>
      <w:r>
        <w:rPr>
          <w:rFonts w:hint="eastAsia" w:ascii="SimHei" w:hAnsi="SimHei" w:eastAsia="黑体"/>
          <w:color w:val="000000"/>
          <w:sz w:val="27"/>
          <w:szCs w:val="27"/>
        </w:rPr>
        <w:t>基本年薪系数表</w:t>
      </w:r>
    </w:p>
    <w:p>
      <w:pPr>
        <w:pStyle w:val="7"/>
        <w:spacing w:before="0" w:beforeAutospacing="0" w:after="0" w:afterAutospacing="0" w:line="360" w:lineRule="auto"/>
        <w:ind w:firstLine="425"/>
        <w:rPr>
          <w:rFonts w:hint="eastAsia"/>
          <w:color w:val="000000"/>
          <w:sz w:val="27"/>
          <w:szCs w:val="27"/>
        </w:rPr>
      </w:pPr>
    </w:p>
    <w:tbl>
      <w:tblPr>
        <w:tblStyle w:val="8"/>
        <w:tblW w:w="0" w:type="auto"/>
        <w:tblInd w:w="59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3600"/>
        <w:gridCol w:w="33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6" w:type="dxa"/>
            <w:noWrap w:val="0"/>
            <w:vAlign w:val="top"/>
          </w:tcPr>
          <w:p>
            <w:pPr>
              <w:pStyle w:val="7"/>
              <w:spacing w:line="330" w:lineRule="atLeast"/>
              <w:jc w:val="center"/>
              <w:rPr>
                <w:rFonts w:hint="eastAsia"/>
                <w:b/>
                <w:bCs/>
                <w:color w:val="000000"/>
                <w:sz w:val="27"/>
                <w:szCs w:val="27"/>
              </w:rPr>
            </w:pPr>
            <w:r>
              <w:rPr>
                <w:rFonts w:hint="eastAsia" w:ascii="SimHei" w:hAnsi="SimHei" w:eastAsia="黑体"/>
                <w:b/>
                <w:bCs/>
                <w:color w:val="000000"/>
                <w:sz w:val="27"/>
                <w:szCs w:val="27"/>
              </w:rPr>
              <w:t>序号</w:t>
            </w:r>
          </w:p>
        </w:tc>
        <w:tc>
          <w:tcPr>
            <w:tcW w:w="3600" w:type="dxa"/>
            <w:noWrap w:val="0"/>
            <w:vAlign w:val="top"/>
          </w:tcPr>
          <w:p>
            <w:pPr>
              <w:pStyle w:val="7"/>
              <w:spacing w:line="330" w:lineRule="atLeast"/>
              <w:jc w:val="center"/>
              <w:rPr>
                <w:rFonts w:hint="eastAsia"/>
                <w:b/>
                <w:bCs/>
                <w:color w:val="000000"/>
                <w:sz w:val="27"/>
                <w:szCs w:val="27"/>
              </w:rPr>
            </w:pPr>
            <w:r>
              <w:rPr>
                <w:rFonts w:hint="eastAsia" w:ascii="SimHei" w:hAnsi="SimHei" w:eastAsia="黑体"/>
                <w:b/>
                <w:bCs/>
                <w:color w:val="000000"/>
                <w:sz w:val="27"/>
                <w:szCs w:val="27"/>
              </w:rPr>
              <w:t>岗位</w:t>
            </w:r>
          </w:p>
        </w:tc>
        <w:tc>
          <w:tcPr>
            <w:tcW w:w="3310" w:type="dxa"/>
            <w:noWrap w:val="0"/>
            <w:vAlign w:val="top"/>
          </w:tcPr>
          <w:p>
            <w:pPr>
              <w:pStyle w:val="7"/>
              <w:spacing w:line="330" w:lineRule="atLeast"/>
              <w:jc w:val="center"/>
              <w:rPr>
                <w:rFonts w:hint="eastAsia"/>
                <w:b/>
                <w:bCs/>
                <w:color w:val="000000"/>
                <w:sz w:val="27"/>
                <w:szCs w:val="27"/>
              </w:rPr>
            </w:pPr>
            <w:r>
              <w:rPr>
                <w:rFonts w:hint="eastAsia" w:ascii="SimHei" w:hAnsi="SimHei" w:eastAsia="黑体"/>
                <w:b/>
                <w:bCs/>
                <w:color w:val="000000"/>
                <w:sz w:val="27"/>
                <w:szCs w:val="27"/>
              </w:rPr>
              <w:t>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6" w:type="dxa"/>
            <w:noWrap w:val="0"/>
            <w:vAlign w:val="top"/>
          </w:tcPr>
          <w:p>
            <w:pPr>
              <w:pStyle w:val="7"/>
              <w:spacing w:line="330" w:lineRule="atLeast"/>
              <w:jc w:val="center"/>
              <w:rPr>
                <w:rFonts w:hint="eastAsia"/>
                <w:color w:val="000000"/>
                <w:sz w:val="27"/>
                <w:szCs w:val="27"/>
              </w:rPr>
            </w:pPr>
            <w:r>
              <w:rPr>
                <w:rFonts w:hint="eastAsia" w:ascii="SimHei" w:hAnsi="SimHei" w:eastAsia="黑体"/>
                <w:color w:val="000000"/>
                <w:sz w:val="27"/>
                <w:szCs w:val="27"/>
              </w:rPr>
              <w:t>1</w:t>
            </w:r>
          </w:p>
        </w:tc>
        <w:tc>
          <w:tcPr>
            <w:tcW w:w="3600" w:type="dxa"/>
            <w:noWrap w:val="0"/>
            <w:vAlign w:val="top"/>
          </w:tcPr>
          <w:p>
            <w:pPr>
              <w:pStyle w:val="7"/>
              <w:spacing w:line="330" w:lineRule="atLeast"/>
              <w:jc w:val="center"/>
              <w:rPr>
                <w:rFonts w:hint="eastAsia"/>
                <w:color w:val="000000"/>
                <w:sz w:val="27"/>
                <w:szCs w:val="27"/>
              </w:rPr>
            </w:pPr>
            <w:r>
              <w:rPr>
                <w:rFonts w:hint="eastAsia" w:ascii="SimHei" w:hAnsi="SimHei" w:eastAsia="黑体"/>
                <w:color w:val="000000"/>
                <w:sz w:val="27"/>
                <w:szCs w:val="27"/>
              </w:rPr>
              <w:t>董事长</w:t>
            </w:r>
          </w:p>
        </w:tc>
        <w:tc>
          <w:tcPr>
            <w:tcW w:w="3310" w:type="dxa"/>
            <w:noWrap w:val="0"/>
            <w:vAlign w:val="top"/>
          </w:tcPr>
          <w:p>
            <w:pPr>
              <w:pStyle w:val="7"/>
              <w:spacing w:line="330" w:lineRule="atLeast"/>
              <w:ind w:firstLine="540"/>
              <w:jc w:val="center"/>
              <w:rPr>
                <w:rFonts w:hint="eastAsia"/>
                <w:color w:val="000000"/>
                <w:sz w:val="27"/>
                <w:szCs w:val="27"/>
              </w:rPr>
            </w:pPr>
            <w:r>
              <w:rPr>
                <w:rFonts w:hint="eastAsia" w:ascii="SimHei" w:hAnsi="SimHei" w:eastAsia="黑体"/>
                <w:color w:val="000000"/>
                <w:sz w:val="27"/>
                <w:szCs w:val="27"/>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6" w:type="dxa"/>
            <w:noWrap w:val="0"/>
            <w:vAlign w:val="top"/>
          </w:tcPr>
          <w:p>
            <w:pPr>
              <w:pStyle w:val="7"/>
              <w:spacing w:line="330" w:lineRule="atLeast"/>
              <w:jc w:val="center"/>
              <w:rPr>
                <w:rFonts w:hint="eastAsia"/>
                <w:color w:val="000000"/>
                <w:sz w:val="27"/>
                <w:szCs w:val="27"/>
              </w:rPr>
            </w:pPr>
            <w:r>
              <w:rPr>
                <w:rFonts w:hint="eastAsia" w:ascii="SimHei" w:hAnsi="SimHei" w:eastAsia="黑体"/>
                <w:color w:val="000000"/>
                <w:sz w:val="27"/>
                <w:szCs w:val="27"/>
              </w:rPr>
              <w:t>2</w:t>
            </w:r>
          </w:p>
        </w:tc>
        <w:tc>
          <w:tcPr>
            <w:tcW w:w="3600" w:type="dxa"/>
            <w:noWrap w:val="0"/>
            <w:vAlign w:val="top"/>
          </w:tcPr>
          <w:p>
            <w:pPr>
              <w:pStyle w:val="7"/>
              <w:spacing w:line="330" w:lineRule="atLeast"/>
              <w:jc w:val="center"/>
              <w:rPr>
                <w:rFonts w:hint="eastAsia"/>
                <w:color w:val="000000"/>
                <w:sz w:val="27"/>
                <w:szCs w:val="27"/>
              </w:rPr>
            </w:pPr>
            <w:r>
              <w:rPr>
                <w:rFonts w:hint="eastAsia" w:ascii="SimHei" w:hAnsi="SimHei" w:eastAsia="黑体"/>
                <w:color w:val="000000"/>
                <w:sz w:val="27"/>
                <w:szCs w:val="27"/>
              </w:rPr>
              <w:t>总经理</w:t>
            </w:r>
          </w:p>
        </w:tc>
        <w:tc>
          <w:tcPr>
            <w:tcW w:w="3310" w:type="dxa"/>
            <w:noWrap w:val="0"/>
            <w:vAlign w:val="top"/>
          </w:tcPr>
          <w:p>
            <w:pPr>
              <w:pStyle w:val="7"/>
              <w:spacing w:line="330" w:lineRule="atLeast"/>
              <w:ind w:firstLine="540"/>
              <w:jc w:val="center"/>
              <w:rPr>
                <w:rFonts w:hint="eastAsia"/>
                <w:color w:val="000000"/>
                <w:sz w:val="27"/>
                <w:szCs w:val="27"/>
              </w:rPr>
            </w:pPr>
            <w:r>
              <w:rPr>
                <w:rFonts w:hint="eastAsia" w:ascii="SimHei" w:hAnsi="SimHei" w:eastAsia="黑体"/>
                <w:color w:val="000000"/>
                <w:sz w:val="27"/>
                <w:szCs w:val="27"/>
              </w:rPr>
              <w:t>0.97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6" w:type="dxa"/>
            <w:noWrap w:val="0"/>
            <w:vAlign w:val="top"/>
          </w:tcPr>
          <w:p>
            <w:pPr>
              <w:pStyle w:val="7"/>
              <w:spacing w:line="330" w:lineRule="atLeast"/>
              <w:jc w:val="center"/>
              <w:rPr>
                <w:rFonts w:hint="eastAsia"/>
                <w:color w:val="000000"/>
                <w:sz w:val="27"/>
                <w:szCs w:val="27"/>
              </w:rPr>
            </w:pPr>
            <w:r>
              <w:rPr>
                <w:rFonts w:hint="eastAsia" w:ascii="SimHei" w:hAnsi="SimHei" w:eastAsia="黑体"/>
                <w:color w:val="000000"/>
                <w:sz w:val="27"/>
                <w:szCs w:val="27"/>
              </w:rPr>
              <w:t>3</w:t>
            </w:r>
          </w:p>
        </w:tc>
        <w:tc>
          <w:tcPr>
            <w:tcW w:w="3600" w:type="dxa"/>
            <w:noWrap w:val="0"/>
            <w:vAlign w:val="top"/>
          </w:tcPr>
          <w:p>
            <w:pPr>
              <w:pStyle w:val="7"/>
              <w:spacing w:line="330" w:lineRule="atLeast"/>
              <w:jc w:val="center"/>
              <w:rPr>
                <w:rFonts w:hint="eastAsia"/>
                <w:color w:val="000000"/>
                <w:sz w:val="27"/>
                <w:szCs w:val="27"/>
              </w:rPr>
            </w:pPr>
            <w:r>
              <w:rPr>
                <w:rFonts w:hint="eastAsia" w:ascii="SimHei" w:hAnsi="SimHei" w:eastAsia="黑体"/>
                <w:color w:val="000000"/>
                <w:sz w:val="27"/>
                <w:szCs w:val="27"/>
              </w:rPr>
              <w:t>副总经理</w:t>
            </w:r>
          </w:p>
        </w:tc>
        <w:tc>
          <w:tcPr>
            <w:tcW w:w="3310" w:type="dxa"/>
            <w:noWrap w:val="0"/>
            <w:vAlign w:val="top"/>
          </w:tcPr>
          <w:p>
            <w:pPr>
              <w:pStyle w:val="7"/>
              <w:spacing w:line="330" w:lineRule="atLeast"/>
              <w:ind w:firstLine="540"/>
              <w:jc w:val="center"/>
              <w:rPr>
                <w:rFonts w:hint="eastAsia"/>
                <w:color w:val="000000"/>
                <w:sz w:val="27"/>
                <w:szCs w:val="27"/>
              </w:rPr>
            </w:pPr>
            <w:r>
              <w:rPr>
                <w:rFonts w:hint="eastAsia" w:ascii="SimHei" w:hAnsi="SimHei" w:eastAsia="黑体"/>
                <w:color w:val="000000"/>
                <w:sz w:val="27"/>
                <w:szCs w:val="27"/>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6" w:type="dxa"/>
            <w:noWrap w:val="0"/>
            <w:vAlign w:val="top"/>
          </w:tcPr>
          <w:p>
            <w:pPr>
              <w:pStyle w:val="7"/>
              <w:spacing w:line="330" w:lineRule="atLeast"/>
              <w:jc w:val="center"/>
              <w:rPr>
                <w:rFonts w:hint="eastAsia"/>
                <w:color w:val="000000"/>
                <w:sz w:val="27"/>
                <w:szCs w:val="27"/>
              </w:rPr>
            </w:pPr>
            <w:r>
              <w:rPr>
                <w:rFonts w:hint="eastAsia" w:ascii="SimHei" w:hAnsi="SimHei" w:eastAsia="黑体"/>
                <w:color w:val="000000"/>
                <w:sz w:val="27"/>
                <w:szCs w:val="27"/>
              </w:rPr>
              <w:t>4</w:t>
            </w:r>
          </w:p>
        </w:tc>
        <w:tc>
          <w:tcPr>
            <w:tcW w:w="3600" w:type="dxa"/>
            <w:noWrap w:val="0"/>
            <w:vAlign w:val="top"/>
          </w:tcPr>
          <w:p>
            <w:pPr>
              <w:pStyle w:val="7"/>
              <w:spacing w:line="330" w:lineRule="atLeast"/>
              <w:jc w:val="center"/>
              <w:rPr>
                <w:rFonts w:hint="eastAsia"/>
                <w:color w:val="000000"/>
                <w:sz w:val="27"/>
                <w:szCs w:val="27"/>
              </w:rPr>
            </w:pPr>
            <w:r>
              <w:rPr>
                <w:rFonts w:hint="eastAsia" w:ascii="SimHei" w:hAnsi="SimHei" w:eastAsia="黑体"/>
                <w:color w:val="000000"/>
                <w:sz w:val="27"/>
                <w:szCs w:val="27"/>
              </w:rPr>
              <w:t>助理总经理</w:t>
            </w:r>
          </w:p>
        </w:tc>
        <w:tc>
          <w:tcPr>
            <w:tcW w:w="3310" w:type="dxa"/>
            <w:noWrap w:val="0"/>
            <w:vAlign w:val="top"/>
          </w:tcPr>
          <w:p>
            <w:pPr>
              <w:pStyle w:val="7"/>
              <w:spacing w:line="330" w:lineRule="atLeast"/>
              <w:ind w:firstLine="540"/>
              <w:jc w:val="center"/>
              <w:rPr>
                <w:rFonts w:hint="eastAsia"/>
                <w:color w:val="000000"/>
                <w:sz w:val="27"/>
                <w:szCs w:val="27"/>
              </w:rPr>
            </w:pPr>
            <w:r>
              <w:rPr>
                <w:rFonts w:hint="eastAsia" w:ascii="SimHei" w:hAnsi="SimHei" w:eastAsia="黑体"/>
                <w:color w:val="000000"/>
                <w:sz w:val="27"/>
                <w:szCs w:val="27"/>
              </w:rPr>
              <w:t>0.65</w:t>
            </w:r>
          </w:p>
        </w:tc>
      </w:tr>
    </w:tbl>
    <w:p>
      <w:pPr>
        <w:tabs>
          <w:tab w:val="left" w:pos="993"/>
        </w:tabs>
        <w:spacing w:line="360" w:lineRule="auto"/>
        <w:ind w:firstLine="540" w:firstLineChars="200"/>
        <w:rPr>
          <w:rFonts w:hint="eastAsia"/>
          <w:color w:val="000000"/>
          <w:sz w:val="27"/>
          <w:szCs w:val="27"/>
        </w:rPr>
      </w:pPr>
    </w:p>
    <w:p>
      <w:pPr>
        <w:tabs>
          <w:tab w:val="left" w:pos="993"/>
        </w:tabs>
        <w:spacing w:line="360" w:lineRule="auto"/>
        <w:ind w:firstLine="480" w:firstLineChars="200"/>
        <w:rPr>
          <w:rFonts w:hint="eastAsia"/>
          <w:sz w:val="24"/>
        </w:rPr>
      </w:pPr>
      <w:r>
        <w:rPr>
          <w:rFonts w:hint="eastAsia" w:ascii="SimHei" w:hAnsi="SimHei" w:eastAsia="黑体"/>
          <w:sz w:val="24"/>
        </w:rPr>
        <w:t>四、基本年薪的调整</w:t>
      </w:r>
    </w:p>
    <w:p>
      <w:pPr>
        <w:pStyle w:val="7"/>
        <w:spacing w:before="0" w:beforeAutospacing="0" w:after="0" w:afterAutospacing="0" w:line="360" w:lineRule="auto"/>
        <w:ind w:firstLine="425"/>
        <w:rPr>
          <w:color w:val="000000"/>
          <w:sz w:val="27"/>
          <w:szCs w:val="27"/>
        </w:rPr>
      </w:pPr>
      <w:r>
        <w:rPr>
          <w:rFonts w:hint="eastAsia" w:ascii="SimHei" w:hAnsi="SimHei" w:eastAsia="黑体"/>
          <w:color w:val="000000"/>
          <w:sz w:val="27"/>
          <w:szCs w:val="27"/>
        </w:rPr>
        <w:t>集团高层管理人员基本年薪依据任期或年度经营业绩考核结果，进行调整。</w:t>
      </w:r>
    </w:p>
    <w:p>
      <w:pPr>
        <w:pStyle w:val="7"/>
        <w:spacing w:before="0" w:beforeAutospacing="0" w:after="0" w:afterAutospacing="0" w:line="360" w:lineRule="auto"/>
        <w:ind w:firstLine="425"/>
        <w:rPr>
          <w:rFonts w:hint="eastAsia"/>
          <w:color w:val="000000"/>
          <w:sz w:val="27"/>
          <w:szCs w:val="27"/>
        </w:rPr>
      </w:pPr>
      <w:r>
        <w:rPr>
          <w:rFonts w:hint="eastAsia" w:ascii="SimHei" w:hAnsi="SimHei" w:eastAsia="黑体"/>
          <w:color w:val="000000"/>
          <w:sz w:val="27"/>
          <w:szCs w:val="27"/>
        </w:rPr>
        <w:t>（一）年度经营考核结果为</w:t>
      </w:r>
      <w:r>
        <w:rPr>
          <w:rFonts w:ascii="SimHei" w:hAnsi="SimHei" w:eastAsia="黑体"/>
          <w:color w:val="000000"/>
          <w:sz w:val="27"/>
          <w:szCs w:val="27"/>
        </w:rPr>
        <w:t>A级和B级，</w:t>
      </w:r>
      <w:r>
        <w:rPr>
          <w:rFonts w:hint="eastAsia" w:ascii="SimHei" w:hAnsi="SimHei" w:eastAsia="黑体"/>
          <w:color w:val="000000"/>
          <w:sz w:val="27"/>
          <w:szCs w:val="27"/>
        </w:rPr>
        <w:t>基本年薪上调一档。当调至第5档时不再上调。</w:t>
      </w:r>
    </w:p>
    <w:p>
      <w:pPr>
        <w:pStyle w:val="7"/>
        <w:spacing w:before="0" w:beforeAutospacing="0" w:after="0" w:afterAutospacing="0" w:line="360" w:lineRule="auto"/>
        <w:ind w:firstLine="425"/>
        <w:rPr>
          <w:color w:val="000000"/>
          <w:sz w:val="27"/>
          <w:szCs w:val="27"/>
        </w:rPr>
      </w:pPr>
      <w:r>
        <w:rPr>
          <w:rFonts w:hint="eastAsia" w:ascii="SimHei" w:hAnsi="SimHei" w:eastAsia="黑体"/>
          <w:color w:val="000000"/>
          <w:sz w:val="27"/>
          <w:szCs w:val="27"/>
        </w:rPr>
        <w:t>（二）年度经营考核结果为</w:t>
      </w:r>
      <w:r>
        <w:rPr>
          <w:rFonts w:ascii="SimHei" w:hAnsi="SimHei" w:eastAsia="黑体"/>
          <w:color w:val="000000"/>
          <w:sz w:val="27"/>
          <w:szCs w:val="27"/>
        </w:rPr>
        <w:t>C级，</w:t>
      </w:r>
      <w:r>
        <w:rPr>
          <w:rFonts w:hint="eastAsia" w:ascii="SimHei" w:hAnsi="SimHei" w:eastAsia="黑体"/>
          <w:color w:val="000000"/>
          <w:sz w:val="27"/>
          <w:szCs w:val="27"/>
        </w:rPr>
        <w:t>基本年薪保持不变</w:t>
      </w:r>
      <w:r>
        <w:rPr>
          <w:rFonts w:ascii="SimHei" w:hAnsi="SimHei" w:eastAsia="黑体"/>
          <w:color w:val="000000"/>
          <w:sz w:val="27"/>
          <w:szCs w:val="27"/>
        </w:rPr>
        <w:t>。</w:t>
      </w:r>
    </w:p>
    <w:p>
      <w:pPr>
        <w:pStyle w:val="7"/>
        <w:spacing w:before="0" w:beforeAutospacing="0" w:after="0" w:afterAutospacing="0" w:line="360" w:lineRule="auto"/>
        <w:ind w:firstLine="425"/>
        <w:rPr>
          <w:rFonts w:hint="eastAsia"/>
          <w:color w:val="000000"/>
          <w:sz w:val="27"/>
          <w:szCs w:val="27"/>
        </w:rPr>
      </w:pPr>
      <w:r>
        <w:rPr>
          <w:rFonts w:hint="eastAsia" w:ascii="SimHei" w:hAnsi="SimHei" w:eastAsia="黑体"/>
          <w:color w:val="000000"/>
          <w:sz w:val="27"/>
          <w:szCs w:val="27"/>
        </w:rPr>
        <w:t>（三）连续两年经营考核结果为</w:t>
      </w:r>
      <w:r>
        <w:rPr>
          <w:rFonts w:ascii="SimHei" w:hAnsi="SimHei" w:eastAsia="黑体"/>
          <w:color w:val="000000"/>
          <w:sz w:val="27"/>
          <w:szCs w:val="27"/>
        </w:rPr>
        <w:t>D级和E级，</w:t>
      </w:r>
      <w:r>
        <w:rPr>
          <w:rFonts w:hint="eastAsia" w:ascii="SimHei" w:hAnsi="SimHei" w:eastAsia="黑体"/>
          <w:color w:val="000000"/>
          <w:sz w:val="27"/>
          <w:szCs w:val="27"/>
        </w:rPr>
        <w:t>基本年薪下调一档</w:t>
      </w:r>
      <w:r>
        <w:rPr>
          <w:rFonts w:ascii="SimHei" w:hAnsi="SimHei" w:eastAsia="黑体"/>
          <w:color w:val="000000"/>
          <w:sz w:val="27"/>
          <w:szCs w:val="27"/>
        </w:rPr>
        <w:t>。</w:t>
      </w:r>
      <w:r>
        <w:rPr>
          <w:rFonts w:hint="eastAsia" w:ascii="SimHei" w:hAnsi="SimHei" w:eastAsia="黑体"/>
          <w:color w:val="000000"/>
          <w:sz w:val="27"/>
          <w:szCs w:val="27"/>
        </w:rPr>
        <w:t>当调至第1档时不再下调。</w:t>
      </w:r>
    </w:p>
    <w:p>
      <w:pPr>
        <w:pStyle w:val="7"/>
        <w:spacing w:before="0" w:beforeAutospacing="0" w:after="0" w:afterAutospacing="0" w:line="360" w:lineRule="auto"/>
        <w:ind w:left="540"/>
        <w:rPr>
          <w:rFonts w:hint="eastAsia"/>
          <w:color w:val="000000"/>
          <w:sz w:val="27"/>
          <w:szCs w:val="27"/>
        </w:rPr>
      </w:pPr>
      <w:r>
        <w:rPr>
          <w:rFonts w:hint="eastAsia" w:ascii="SimHei" w:hAnsi="SimHei" w:eastAsia="黑体"/>
          <w:color w:val="000000"/>
          <w:sz w:val="27"/>
          <w:szCs w:val="27"/>
        </w:rPr>
        <w:t>（四）基本年薪的调整从下一年度1月1日开始实施。</w:t>
      </w:r>
    </w:p>
    <w:p>
      <w:pPr>
        <w:pStyle w:val="7"/>
        <w:spacing w:before="0" w:beforeAutospacing="0" w:after="0" w:afterAutospacing="0" w:line="360" w:lineRule="auto"/>
        <w:ind w:firstLine="425"/>
        <w:rPr>
          <w:rFonts w:hint="eastAsia"/>
          <w:color w:val="000000"/>
          <w:sz w:val="27"/>
          <w:szCs w:val="27"/>
        </w:rPr>
      </w:pPr>
      <w:r>
        <w:rPr>
          <w:rFonts w:hint="eastAsia" w:ascii="SimHei" w:hAnsi="SimHei" w:eastAsia="黑体"/>
          <w:color w:val="000000"/>
          <w:sz w:val="27"/>
          <w:szCs w:val="27"/>
        </w:rPr>
        <w:t>五、基本年薪分为</w:t>
      </w:r>
      <w:r>
        <w:rPr>
          <w:rFonts w:ascii="SimHei" w:hAnsi="SimHei" w:eastAsia="黑体"/>
          <w:color w:val="000000"/>
          <w:sz w:val="27"/>
          <w:szCs w:val="27"/>
        </w:rPr>
        <w:t>12</w:t>
      </w:r>
      <w:r>
        <w:rPr>
          <w:rFonts w:hint="eastAsia" w:ascii="SimHei" w:hAnsi="SimHei" w:eastAsia="黑体"/>
          <w:color w:val="000000"/>
          <w:sz w:val="27"/>
          <w:szCs w:val="27"/>
        </w:rPr>
        <w:t>个月平均分发，月平均年薪包括住房补贴，不包括司龄工资、社会保险、住房公积金和其他福利等。某集团高层管理人员，其司龄工资、社会保险、某集团相关制度执行。</w:t>
      </w:r>
    </w:p>
    <w:p>
      <w:pPr>
        <w:pStyle w:val="7"/>
        <w:spacing w:before="0" w:beforeAutospacing="0" w:after="0" w:afterAutospacing="0" w:line="360" w:lineRule="auto"/>
        <w:ind w:firstLine="425"/>
        <w:rPr>
          <w:rFonts w:hint="eastAsia"/>
          <w:color w:val="000000"/>
          <w:sz w:val="27"/>
          <w:szCs w:val="27"/>
        </w:rPr>
      </w:pPr>
      <w:r>
        <w:rPr>
          <w:rFonts w:hint="eastAsia" w:ascii="SimHei" w:hAnsi="SimHei" w:eastAsia="黑体"/>
          <w:color w:val="000000"/>
          <w:sz w:val="27"/>
          <w:szCs w:val="27"/>
        </w:rPr>
        <w:t>六、实行年终双薪制度，具体为基本年薪1/12，不包括住房补贴。</w:t>
      </w:r>
    </w:p>
    <w:p>
      <w:pPr>
        <w:pStyle w:val="2"/>
        <w:rPr>
          <w:rFonts w:ascii="宋体" w:hAnsi="宋体"/>
          <w:bCs/>
        </w:rPr>
      </w:pPr>
      <w:r>
        <w:rPr>
          <w:rFonts w:ascii="SimHei" w:hAnsi="SimHei" w:eastAsia="黑体"/>
          <w:color w:val="000000"/>
          <w:sz w:val="27"/>
          <w:szCs w:val="27"/>
        </w:rPr>
      </w:r>
      <w:bookmarkStart w:id="14" w:name="_Toc81281002"/>
      <w:r>
        <w:rPr>
          <w:rFonts w:hint="eastAsia" w:ascii="SimHei" w:hAnsi="SimHei" w:eastAsia="黑体"/>
          <w:bCs/>
        </w:rPr>
        <w:t>附件2</w:t>
      </w:r>
      <w:r>
        <w:rPr>
          <w:rFonts w:ascii="SimHei" w:hAnsi="SimHei" w:eastAsia="黑体"/>
          <w:bCs/>
        </w:rPr>
        <w:t>：</w:t>
      </w:r>
      <w:r>
        <w:rPr>
          <w:rFonts w:hint="eastAsia" w:ascii="SimHei" w:hAnsi="SimHei" w:eastAsia="黑体"/>
          <w:bCs/>
        </w:rPr>
        <w:t>年度经营业绩考核计分办法</w:t>
      </w:r>
      <w:bookmarkEnd w:id="14"/>
    </w:p>
    <w:p>
      <w:pPr>
        <w:pStyle w:val="7"/>
        <w:spacing w:before="0" w:beforeAutospacing="0" w:after="0" w:afterAutospacing="0" w:line="360" w:lineRule="auto"/>
        <w:ind w:firstLine="425"/>
        <w:rPr>
          <w:color w:val="000000"/>
          <w:sz w:val="27"/>
          <w:szCs w:val="27"/>
        </w:rPr>
      </w:pPr>
      <w:r>
        <w:rPr>
          <w:rFonts w:hint="eastAsia" w:ascii="SimHei" w:hAnsi="SimHei" w:eastAsia="黑体"/>
          <w:color w:val="000000"/>
          <w:sz w:val="27"/>
          <w:szCs w:val="27"/>
        </w:rPr>
        <w:t>一、年度经营业绩考核的综合计分</w:t>
      </w:r>
    </w:p>
    <w:p>
      <w:pPr>
        <w:pStyle w:val="7"/>
        <w:spacing w:before="0" w:beforeAutospacing="0" w:after="0" w:afterAutospacing="0" w:line="360" w:lineRule="auto"/>
        <w:ind w:firstLine="425"/>
        <w:rPr>
          <w:color w:val="000000"/>
          <w:sz w:val="27"/>
          <w:szCs w:val="27"/>
        </w:rPr>
      </w:pPr>
      <w:r>
        <w:rPr>
          <w:rFonts w:hint="eastAsia" w:ascii="SimHei" w:hAnsi="SimHei" w:eastAsia="黑体"/>
          <w:color w:val="000000"/>
          <w:sz w:val="27"/>
          <w:szCs w:val="27"/>
        </w:rPr>
        <w:t>年度经营业绩考核的综合得分＝年度利润总额指标得分×经营难度系数＋净资产收益率指标得分×经营难度系数＋分类指标得分×经营难度系数。</w:t>
      </w:r>
    </w:p>
    <w:p>
      <w:pPr>
        <w:pStyle w:val="7"/>
        <w:spacing w:before="0" w:beforeAutospacing="0" w:after="0" w:afterAutospacing="0" w:line="360" w:lineRule="auto"/>
        <w:ind w:firstLine="425"/>
        <w:rPr>
          <w:color w:val="000000"/>
          <w:sz w:val="27"/>
          <w:szCs w:val="27"/>
        </w:rPr>
      </w:pPr>
      <w:r>
        <w:rPr>
          <w:rFonts w:hint="eastAsia" w:ascii="SimHei" w:hAnsi="SimHei" w:eastAsia="黑体"/>
          <w:color w:val="000000"/>
          <w:sz w:val="27"/>
          <w:szCs w:val="27"/>
        </w:rPr>
        <w:t>上述年度经营业绩考核指标中，若某项指标没有达到基本分，则该项指标不乘以经营难度系数。</w:t>
      </w:r>
    </w:p>
    <w:p>
      <w:pPr>
        <w:pStyle w:val="7"/>
        <w:spacing w:line="330" w:lineRule="atLeast"/>
        <w:ind w:firstLine="425"/>
        <w:rPr>
          <w:color w:val="000000"/>
          <w:sz w:val="21"/>
          <w:szCs w:val="21"/>
        </w:rPr>
      </w:pPr>
      <w:r>
        <w:rPr>
          <w:rFonts w:hint="eastAsia" w:ascii="SimHei" w:hAnsi="SimHei" w:eastAsia="黑体"/>
          <w:color w:val="000000"/>
          <w:sz w:val="27"/>
          <w:szCs w:val="27"/>
        </w:rPr>
        <w:t>二、年度经营业绩考核各指标计分</w:t>
      </w:r>
    </w:p>
    <w:p>
      <w:pPr>
        <w:pStyle w:val="7"/>
        <w:spacing w:before="0" w:beforeAutospacing="0" w:after="0" w:afterAutospacing="0" w:line="360" w:lineRule="auto"/>
        <w:ind w:firstLine="425"/>
        <w:rPr>
          <w:color w:val="000000"/>
          <w:sz w:val="21"/>
          <w:szCs w:val="21"/>
        </w:rPr>
      </w:pPr>
      <w:r>
        <w:rPr>
          <w:rFonts w:hint="eastAsia" w:ascii="SimHei" w:hAnsi="SimHei" w:eastAsia="黑体"/>
          <w:color w:val="000000"/>
          <w:sz w:val="27"/>
          <w:szCs w:val="27"/>
        </w:rPr>
        <w:t>年度利润总额指标的基本分为</w:t>
      </w:r>
      <w:r>
        <w:rPr>
          <w:rFonts w:ascii="SimHei" w:hAnsi="SimHei" w:eastAsia="黑体"/>
          <w:color w:val="000000"/>
          <w:sz w:val="27"/>
          <w:szCs w:val="27"/>
        </w:rPr>
        <w:t>30分。完成目标值时，得基本分30分；超过目标值时，每超过3%，加1分，最多加6分。低于目标值时，每低于3%，扣1分，最多扣6分。</w:t>
      </w:r>
    </w:p>
    <w:p>
      <w:pPr>
        <w:pStyle w:val="7"/>
        <w:spacing w:before="0" w:beforeAutospacing="0" w:after="0" w:afterAutospacing="0" w:line="360" w:lineRule="auto"/>
        <w:ind w:firstLine="425"/>
        <w:rPr>
          <w:color w:val="000000"/>
          <w:sz w:val="27"/>
          <w:szCs w:val="27"/>
        </w:rPr>
      </w:pPr>
      <w:r>
        <w:rPr>
          <w:rFonts w:hint="eastAsia" w:ascii="SimHei" w:hAnsi="SimHei" w:eastAsia="黑体"/>
          <w:color w:val="000000"/>
          <w:sz w:val="27"/>
          <w:szCs w:val="27"/>
        </w:rPr>
        <w:t>净资产收益率指标的基本分为</w:t>
      </w:r>
      <w:r>
        <w:rPr>
          <w:rFonts w:ascii="SimHei" w:hAnsi="SimHei" w:eastAsia="黑体"/>
          <w:color w:val="000000"/>
          <w:sz w:val="27"/>
          <w:szCs w:val="27"/>
        </w:rPr>
        <w:t>40分。完成目标值时，得基本分40分；高于目标值时，每高于0.5个百分点，加1分，最多加8分。低于目标值时，每低于0.5个百分点，扣1分，最多扣8分。</w:t>
      </w:r>
    </w:p>
    <w:p>
      <w:pPr>
        <w:pStyle w:val="7"/>
        <w:spacing w:before="0" w:beforeAutospacing="0" w:after="0" w:afterAutospacing="0" w:line="360" w:lineRule="auto"/>
        <w:ind w:firstLine="425"/>
        <w:rPr>
          <w:rFonts w:hint="eastAsia"/>
          <w:color w:val="000000"/>
          <w:sz w:val="27"/>
          <w:szCs w:val="27"/>
        </w:rPr>
      </w:pPr>
      <w:r>
        <w:rPr>
          <w:rFonts w:hint="eastAsia" w:ascii="SimHei" w:hAnsi="SimHei" w:eastAsia="黑体"/>
          <w:color w:val="000000"/>
          <w:sz w:val="27"/>
          <w:szCs w:val="27"/>
        </w:rPr>
        <w:t>净资产增长率指标的基本分为</w:t>
      </w:r>
      <w:r>
        <w:rPr>
          <w:rFonts w:ascii="SimHei" w:hAnsi="SimHei" w:eastAsia="黑体"/>
          <w:color w:val="000000"/>
          <w:sz w:val="27"/>
          <w:szCs w:val="27"/>
        </w:rPr>
        <w:t>15分。完成目标值时，得基本分</w:t>
      </w:r>
      <w:r>
        <w:rPr>
          <w:rFonts w:hint="eastAsia" w:ascii="SimHei" w:hAnsi="SimHei" w:eastAsia="黑体"/>
          <w:color w:val="000000"/>
          <w:sz w:val="27"/>
          <w:szCs w:val="27"/>
        </w:rPr>
        <w:t>15</w:t>
      </w:r>
      <w:r>
        <w:rPr>
          <w:rFonts w:ascii="SimHei" w:hAnsi="SimHei" w:eastAsia="黑体"/>
          <w:color w:val="000000"/>
          <w:sz w:val="27"/>
          <w:szCs w:val="27"/>
        </w:rPr>
        <w:t>分；高于目标值时，每高于0.5个百分点，加1分，最多加</w:t>
      </w:r>
      <w:r>
        <w:rPr>
          <w:rFonts w:hint="eastAsia" w:ascii="SimHei" w:hAnsi="SimHei" w:eastAsia="黑体"/>
          <w:color w:val="000000"/>
          <w:sz w:val="27"/>
          <w:szCs w:val="27"/>
        </w:rPr>
        <w:t>3</w:t>
      </w:r>
      <w:r>
        <w:rPr>
          <w:rFonts w:ascii="SimHei" w:hAnsi="SimHei" w:eastAsia="黑体"/>
          <w:color w:val="000000"/>
          <w:sz w:val="27"/>
          <w:szCs w:val="27"/>
        </w:rPr>
        <w:t>分。低于目标值时，每低于0.5个百分点，扣1分，最多扣</w:t>
      </w:r>
      <w:r>
        <w:rPr>
          <w:rFonts w:hint="eastAsia" w:ascii="SimHei" w:hAnsi="SimHei" w:eastAsia="黑体"/>
          <w:color w:val="000000"/>
          <w:sz w:val="27"/>
          <w:szCs w:val="27"/>
        </w:rPr>
        <w:t>3</w:t>
      </w:r>
      <w:r>
        <w:rPr>
          <w:rFonts w:ascii="SimHei" w:hAnsi="SimHei" w:eastAsia="黑体"/>
          <w:color w:val="000000"/>
          <w:sz w:val="27"/>
          <w:szCs w:val="27"/>
        </w:rPr>
        <w:t>分。</w:t>
      </w:r>
    </w:p>
    <w:p>
      <w:pPr>
        <w:pStyle w:val="7"/>
        <w:spacing w:before="0" w:beforeAutospacing="0" w:after="0" w:afterAutospacing="0" w:line="360" w:lineRule="auto"/>
        <w:ind w:firstLine="425"/>
        <w:rPr>
          <w:rFonts w:hint="eastAsia"/>
          <w:color w:val="000000"/>
          <w:sz w:val="27"/>
          <w:szCs w:val="27"/>
        </w:rPr>
      </w:pPr>
      <w:r>
        <w:rPr>
          <w:rFonts w:hint="eastAsia" w:ascii="SimHei" w:hAnsi="SimHei" w:eastAsia="黑体"/>
          <w:color w:val="000000"/>
          <w:sz w:val="27"/>
          <w:szCs w:val="27"/>
        </w:rPr>
        <w:t>应收账款周转率指标的基本分为</w:t>
      </w:r>
      <w:r>
        <w:rPr>
          <w:rFonts w:ascii="SimHei" w:hAnsi="SimHei" w:eastAsia="黑体"/>
          <w:color w:val="000000"/>
          <w:sz w:val="27"/>
          <w:szCs w:val="27"/>
        </w:rPr>
        <w:t>15分。完成目标值时，得基本分</w:t>
      </w:r>
      <w:r>
        <w:rPr>
          <w:rFonts w:hint="eastAsia" w:ascii="SimHei" w:hAnsi="SimHei" w:eastAsia="黑体"/>
          <w:color w:val="000000"/>
          <w:sz w:val="27"/>
          <w:szCs w:val="27"/>
        </w:rPr>
        <w:t>15</w:t>
      </w:r>
      <w:r>
        <w:rPr>
          <w:rFonts w:ascii="SimHei" w:hAnsi="SimHei" w:eastAsia="黑体"/>
          <w:color w:val="000000"/>
          <w:sz w:val="27"/>
          <w:szCs w:val="27"/>
        </w:rPr>
        <w:t>分；高于目标值时，每高于0.5个百分点，加1分，最多加</w:t>
      </w:r>
      <w:r>
        <w:rPr>
          <w:rFonts w:hint="eastAsia" w:ascii="SimHei" w:hAnsi="SimHei" w:eastAsia="黑体"/>
          <w:color w:val="000000"/>
          <w:sz w:val="27"/>
          <w:szCs w:val="27"/>
        </w:rPr>
        <w:t>3</w:t>
      </w:r>
      <w:r>
        <w:rPr>
          <w:rFonts w:ascii="SimHei" w:hAnsi="SimHei" w:eastAsia="黑体"/>
          <w:color w:val="000000"/>
          <w:sz w:val="27"/>
          <w:szCs w:val="27"/>
        </w:rPr>
        <w:t>分。低于目标值时，每低于0.5个百分点，扣1分，最多扣</w:t>
      </w:r>
      <w:r>
        <w:rPr>
          <w:rFonts w:hint="eastAsia" w:ascii="SimHei" w:hAnsi="SimHei" w:eastAsia="黑体"/>
          <w:color w:val="000000"/>
          <w:sz w:val="27"/>
          <w:szCs w:val="27"/>
        </w:rPr>
        <w:t>3</w:t>
      </w:r>
      <w:r>
        <w:rPr>
          <w:rFonts w:ascii="SimHei" w:hAnsi="SimHei" w:eastAsia="黑体"/>
          <w:color w:val="000000"/>
          <w:sz w:val="27"/>
          <w:szCs w:val="27"/>
        </w:rPr>
        <w:t>分。</w:t>
      </w:r>
    </w:p>
    <w:p>
      <w:pPr>
        <w:pStyle w:val="7"/>
        <w:spacing w:before="0" w:beforeAutospacing="0" w:after="0" w:afterAutospacing="0" w:line="360" w:lineRule="auto"/>
        <w:ind w:firstLine="425"/>
        <w:rPr>
          <w:color w:val="000000"/>
          <w:sz w:val="27"/>
          <w:szCs w:val="27"/>
        </w:rPr>
      </w:pPr>
      <w:r>
        <w:rPr>
          <w:rFonts w:hint="eastAsia" w:ascii="SimHei" w:hAnsi="SimHei" w:eastAsia="黑体"/>
          <w:color w:val="000000"/>
          <w:sz w:val="27"/>
          <w:szCs w:val="27"/>
        </w:rPr>
        <w:t>三、经营难度系数</w:t>
      </w:r>
    </w:p>
    <w:p>
      <w:pPr>
        <w:pStyle w:val="7"/>
        <w:spacing w:before="0" w:beforeAutospacing="0" w:after="0" w:afterAutospacing="0" w:line="360" w:lineRule="auto"/>
        <w:ind w:firstLine="425"/>
        <w:rPr>
          <w:rFonts w:hint="eastAsia"/>
          <w:color w:val="000000"/>
          <w:sz w:val="27"/>
          <w:szCs w:val="27"/>
        </w:rPr>
      </w:pPr>
      <w:r>
        <w:rPr>
          <w:rFonts w:hint="eastAsia" w:ascii="SimHei" w:hAnsi="SimHei" w:eastAsia="黑体"/>
          <w:color w:val="000000"/>
          <w:sz w:val="27"/>
          <w:szCs w:val="27"/>
        </w:rPr>
        <w:t>经营难度系数根据企业净资产、资产总额、主营业务收入、利润总额、职工平均人数、离退休人员占职工人数的比重等因素加权计算，分类确定。详见附件4《经营难度系数的确定》。</w:t>
      </w:r>
    </w:p>
    <w:p>
      <w:pPr>
        <w:pStyle w:val="7"/>
        <w:spacing w:line="330" w:lineRule="atLeast"/>
        <w:rPr>
          <w:color w:val="000000"/>
          <w:sz w:val="21"/>
          <w:szCs w:val="21"/>
        </w:rPr>
      </w:pPr>
      <w:r>
        <w:rPr>
          <w:rFonts w:hint="eastAsia" w:ascii="SimHei" w:hAnsi="SimHei" w:eastAsia="黑体"/>
          <w:color w:val="000000"/>
          <w:sz w:val="27"/>
          <w:szCs w:val="27"/>
        </w:rPr>
        <w:t>四、考核分级</w:t>
      </w:r>
    </w:p>
    <w:p>
      <w:pPr>
        <w:pStyle w:val="7"/>
        <w:spacing w:before="0" w:beforeAutospacing="0" w:after="0" w:afterAutospacing="0" w:line="360" w:lineRule="auto"/>
        <w:ind w:firstLine="425"/>
        <w:rPr>
          <w:rFonts w:hint="eastAsia"/>
          <w:color w:val="000000"/>
          <w:sz w:val="27"/>
          <w:szCs w:val="27"/>
        </w:rPr>
      </w:pPr>
      <w:r>
        <w:rPr>
          <w:rFonts w:hint="eastAsia" w:ascii="SimHei" w:hAnsi="SimHei" w:eastAsia="黑体"/>
          <w:color w:val="000000"/>
          <w:sz w:val="27"/>
          <w:szCs w:val="27"/>
        </w:rPr>
        <w:t>根据企业负责人年度经营业绩考核的综合得分，考核结果分为</w:t>
      </w:r>
      <w:r>
        <w:rPr>
          <w:rFonts w:ascii="SimHei" w:hAnsi="SimHei" w:eastAsia="黑体"/>
          <w:color w:val="000000"/>
          <w:sz w:val="27"/>
          <w:szCs w:val="27"/>
        </w:rPr>
        <w:t>A、B、C、D、E五个级别。</w:t>
      </w:r>
      <w:r>
        <w:rPr>
          <w:rFonts w:hint="eastAsia" w:ascii="SimHei" w:hAnsi="SimHei" w:eastAsia="黑体"/>
          <w:color w:val="000000"/>
          <w:sz w:val="27"/>
          <w:szCs w:val="27"/>
        </w:rPr>
        <w:t>综合得分与级别对应关系如下表：</w:t>
      </w:r>
    </w:p>
    <w:p>
      <w:pPr>
        <w:pStyle w:val="7"/>
        <w:spacing w:line="330" w:lineRule="atLeast"/>
        <w:ind w:firstLine="425"/>
        <w:jc w:val="center"/>
        <w:rPr>
          <w:rFonts w:hint="eastAsia"/>
          <w:color w:val="000000"/>
          <w:sz w:val="27"/>
          <w:szCs w:val="27"/>
        </w:rPr>
      </w:pPr>
      <w:r>
        <w:rPr>
          <w:rFonts w:hint="eastAsia" w:ascii="SimHei" w:hAnsi="SimHei" w:eastAsia="黑体"/>
          <w:color w:val="000000"/>
          <w:sz w:val="27"/>
          <w:szCs w:val="27"/>
        </w:rPr>
        <w:t>考核得分与级别对应表</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4"/>
        <w:gridCol w:w="1466"/>
        <w:gridCol w:w="1466"/>
        <w:gridCol w:w="1466"/>
        <w:gridCol w:w="1466"/>
        <w:gridCol w:w="14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04" w:type="dxa"/>
            <w:noWrap w:val="0"/>
            <w:vAlign w:val="top"/>
          </w:tcPr>
          <w:p>
            <w:pPr>
              <w:pStyle w:val="7"/>
              <w:spacing w:line="330" w:lineRule="atLeast"/>
              <w:rPr>
                <w:rFonts w:hint="eastAsia"/>
                <w:color w:val="000000"/>
                <w:sz w:val="21"/>
                <w:szCs w:val="21"/>
              </w:rPr>
            </w:pPr>
            <w:r>
              <w:rPr>
                <w:rFonts w:hint="eastAsia" w:ascii="SimHei" w:hAnsi="SimHei" w:eastAsia="黑体"/>
                <w:color w:val="000000"/>
                <w:sz w:val="21"/>
                <w:szCs w:val="21"/>
              </w:rPr>
              <w:t>级别</w:t>
            </w:r>
          </w:p>
        </w:tc>
        <w:tc>
          <w:tcPr>
            <w:tcW w:w="1466" w:type="dxa"/>
            <w:noWrap w:val="0"/>
            <w:vAlign w:val="top"/>
          </w:tcPr>
          <w:p>
            <w:pPr>
              <w:pStyle w:val="7"/>
              <w:spacing w:line="330" w:lineRule="atLeast"/>
              <w:jc w:val="center"/>
              <w:rPr>
                <w:rFonts w:hint="eastAsia"/>
                <w:color w:val="000000"/>
                <w:sz w:val="21"/>
                <w:szCs w:val="21"/>
              </w:rPr>
            </w:pPr>
            <w:r>
              <w:rPr>
                <w:rFonts w:ascii="SimHei" w:hAnsi="SimHei" w:eastAsia="黑体"/>
                <w:color w:val="000000"/>
                <w:sz w:val="27"/>
                <w:szCs w:val="27"/>
              </w:rPr>
              <w:t>A</w:t>
            </w:r>
          </w:p>
        </w:tc>
        <w:tc>
          <w:tcPr>
            <w:tcW w:w="1466" w:type="dxa"/>
            <w:noWrap w:val="0"/>
            <w:vAlign w:val="top"/>
          </w:tcPr>
          <w:p>
            <w:pPr>
              <w:pStyle w:val="7"/>
              <w:spacing w:line="330" w:lineRule="atLeast"/>
              <w:jc w:val="center"/>
              <w:rPr>
                <w:rFonts w:hint="eastAsia"/>
                <w:color w:val="000000"/>
                <w:sz w:val="21"/>
                <w:szCs w:val="21"/>
              </w:rPr>
            </w:pPr>
            <w:r>
              <w:rPr>
                <w:rFonts w:ascii="SimHei" w:hAnsi="SimHei" w:eastAsia="黑体"/>
                <w:color w:val="000000"/>
                <w:sz w:val="27"/>
                <w:szCs w:val="27"/>
              </w:rPr>
              <w:t>B</w:t>
            </w:r>
          </w:p>
        </w:tc>
        <w:tc>
          <w:tcPr>
            <w:tcW w:w="1466" w:type="dxa"/>
            <w:noWrap w:val="0"/>
            <w:vAlign w:val="top"/>
          </w:tcPr>
          <w:p>
            <w:pPr>
              <w:pStyle w:val="7"/>
              <w:spacing w:line="330" w:lineRule="atLeast"/>
              <w:jc w:val="center"/>
              <w:rPr>
                <w:rFonts w:hint="eastAsia"/>
                <w:color w:val="000000"/>
                <w:sz w:val="21"/>
                <w:szCs w:val="21"/>
              </w:rPr>
            </w:pPr>
            <w:r>
              <w:rPr>
                <w:rFonts w:hint="eastAsia" w:ascii="SimHei" w:hAnsi="SimHei" w:eastAsia="黑体"/>
                <w:color w:val="000000"/>
                <w:sz w:val="21"/>
                <w:szCs w:val="21"/>
              </w:rPr>
              <w:t>C</w:t>
            </w:r>
          </w:p>
        </w:tc>
        <w:tc>
          <w:tcPr>
            <w:tcW w:w="1466" w:type="dxa"/>
            <w:noWrap w:val="0"/>
            <w:vAlign w:val="top"/>
          </w:tcPr>
          <w:p>
            <w:pPr>
              <w:pStyle w:val="7"/>
              <w:spacing w:line="330" w:lineRule="atLeast"/>
              <w:jc w:val="center"/>
              <w:rPr>
                <w:rFonts w:hint="eastAsia"/>
                <w:color w:val="000000"/>
                <w:sz w:val="21"/>
                <w:szCs w:val="21"/>
              </w:rPr>
            </w:pPr>
            <w:r>
              <w:rPr>
                <w:rFonts w:hint="eastAsia" w:ascii="SimHei" w:hAnsi="SimHei" w:eastAsia="黑体"/>
                <w:color w:val="000000"/>
                <w:sz w:val="21"/>
                <w:szCs w:val="21"/>
              </w:rPr>
              <w:t>D</w:t>
            </w:r>
          </w:p>
        </w:tc>
        <w:tc>
          <w:tcPr>
            <w:tcW w:w="1466" w:type="dxa"/>
            <w:noWrap w:val="0"/>
            <w:vAlign w:val="top"/>
          </w:tcPr>
          <w:p>
            <w:pPr>
              <w:pStyle w:val="7"/>
              <w:spacing w:line="330" w:lineRule="atLeast"/>
              <w:jc w:val="center"/>
              <w:rPr>
                <w:rFonts w:hint="eastAsia"/>
                <w:color w:val="000000"/>
                <w:sz w:val="21"/>
                <w:szCs w:val="21"/>
              </w:rPr>
            </w:pPr>
            <w:r>
              <w:rPr>
                <w:rFonts w:hint="eastAsia" w:ascii="SimHei" w:hAnsi="SimHei" w:eastAsia="黑体"/>
                <w:color w:val="000000"/>
                <w:sz w:val="21"/>
                <w:szCs w:val="21"/>
              </w:rPr>
              <w:t>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04" w:type="dxa"/>
            <w:noWrap w:val="0"/>
            <w:vAlign w:val="top"/>
          </w:tcPr>
          <w:p>
            <w:pPr>
              <w:pStyle w:val="7"/>
              <w:spacing w:line="330" w:lineRule="atLeast"/>
              <w:rPr>
                <w:rFonts w:hint="eastAsia"/>
                <w:color w:val="000000"/>
                <w:sz w:val="21"/>
                <w:szCs w:val="21"/>
              </w:rPr>
            </w:pPr>
            <w:r>
              <w:rPr>
                <w:rFonts w:hint="eastAsia" w:ascii="SimHei" w:hAnsi="SimHei" w:eastAsia="黑体"/>
                <w:color w:val="000000"/>
                <w:sz w:val="21"/>
                <w:szCs w:val="21"/>
              </w:rPr>
              <w:t>综合得分</w:t>
            </w:r>
          </w:p>
        </w:tc>
        <w:tc>
          <w:tcPr>
            <w:tcW w:w="1466" w:type="dxa"/>
            <w:noWrap w:val="0"/>
            <w:vAlign w:val="top"/>
          </w:tcPr>
          <w:p>
            <w:pPr>
              <w:pStyle w:val="7"/>
              <w:spacing w:line="330" w:lineRule="atLeast"/>
              <w:jc w:val="center"/>
              <w:rPr>
                <w:rFonts w:hint="eastAsia"/>
                <w:color w:val="000000"/>
                <w:sz w:val="21"/>
                <w:szCs w:val="21"/>
              </w:rPr>
            </w:pPr>
            <w:r>
              <w:rPr>
                <w:rFonts w:hint="eastAsia" w:ascii="SimHei" w:hAnsi="SimHei" w:eastAsia="黑体"/>
                <w:color w:val="000000"/>
                <w:sz w:val="21"/>
                <w:szCs w:val="21"/>
              </w:rPr>
              <w:t>X≥90</w:t>
            </w:r>
          </w:p>
        </w:tc>
        <w:tc>
          <w:tcPr>
            <w:tcW w:w="1466" w:type="dxa"/>
            <w:noWrap w:val="0"/>
            <w:vAlign w:val="top"/>
          </w:tcPr>
          <w:p>
            <w:pPr>
              <w:pStyle w:val="7"/>
              <w:spacing w:line="330" w:lineRule="atLeast"/>
              <w:jc w:val="center"/>
              <w:rPr>
                <w:rFonts w:hint="eastAsia"/>
                <w:color w:val="000000"/>
                <w:sz w:val="21"/>
                <w:szCs w:val="21"/>
              </w:rPr>
            </w:pPr>
            <w:r>
              <w:rPr>
                <w:rFonts w:hint="eastAsia" w:ascii="SimHei" w:hAnsi="SimHei" w:eastAsia="黑体"/>
                <w:color w:val="000000"/>
                <w:sz w:val="21"/>
                <w:szCs w:val="21"/>
              </w:rPr>
              <w:t>90＞X≤80</w:t>
            </w:r>
          </w:p>
        </w:tc>
        <w:tc>
          <w:tcPr>
            <w:tcW w:w="1466" w:type="dxa"/>
            <w:noWrap w:val="0"/>
            <w:vAlign w:val="top"/>
          </w:tcPr>
          <w:p>
            <w:pPr>
              <w:pStyle w:val="7"/>
              <w:spacing w:line="330" w:lineRule="atLeast"/>
              <w:jc w:val="center"/>
              <w:rPr>
                <w:rFonts w:hint="eastAsia"/>
                <w:color w:val="000000"/>
                <w:sz w:val="21"/>
                <w:szCs w:val="21"/>
              </w:rPr>
            </w:pPr>
            <w:r>
              <w:rPr>
                <w:rFonts w:hint="eastAsia" w:ascii="SimHei" w:hAnsi="SimHei" w:eastAsia="黑体"/>
                <w:color w:val="000000"/>
                <w:sz w:val="21"/>
                <w:szCs w:val="21"/>
              </w:rPr>
              <w:t>80＞X≤75</w:t>
            </w:r>
          </w:p>
        </w:tc>
        <w:tc>
          <w:tcPr>
            <w:tcW w:w="1466" w:type="dxa"/>
            <w:noWrap w:val="0"/>
            <w:vAlign w:val="top"/>
          </w:tcPr>
          <w:p>
            <w:pPr>
              <w:pStyle w:val="7"/>
              <w:spacing w:line="330" w:lineRule="atLeast"/>
              <w:jc w:val="center"/>
              <w:rPr>
                <w:rFonts w:hint="eastAsia"/>
                <w:color w:val="000000"/>
                <w:sz w:val="21"/>
                <w:szCs w:val="21"/>
              </w:rPr>
            </w:pPr>
            <w:r>
              <w:rPr>
                <w:rFonts w:hint="eastAsia" w:ascii="SimHei" w:hAnsi="SimHei" w:eastAsia="黑体"/>
                <w:color w:val="000000"/>
                <w:sz w:val="21"/>
                <w:szCs w:val="21"/>
              </w:rPr>
              <w:t>75＞X≤60</w:t>
            </w:r>
          </w:p>
        </w:tc>
        <w:tc>
          <w:tcPr>
            <w:tcW w:w="1466" w:type="dxa"/>
            <w:noWrap w:val="0"/>
            <w:vAlign w:val="top"/>
          </w:tcPr>
          <w:p>
            <w:pPr>
              <w:pStyle w:val="7"/>
              <w:spacing w:line="330" w:lineRule="atLeast"/>
              <w:jc w:val="center"/>
              <w:rPr>
                <w:rFonts w:hint="eastAsia"/>
                <w:color w:val="000000"/>
                <w:sz w:val="21"/>
                <w:szCs w:val="21"/>
              </w:rPr>
            </w:pPr>
            <w:r>
              <w:rPr>
                <w:rFonts w:hint="eastAsia" w:ascii="SimHei" w:hAnsi="SimHei" w:eastAsia="黑体"/>
                <w:color w:val="000000"/>
                <w:sz w:val="21"/>
                <w:szCs w:val="21"/>
              </w:rPr>
              <w:t>60＞X</w:t>
            </w:r>
          </w:p>
        </w:tc>
      </w:tr>
    </w:tbl>
    <w:p>
      <w:pPr>
        <w:pStyle w:val="2"/>
        <w:rPr>
          <w:rFonts w:ascii="宋体" w:hAnsi="宋体"/>
          <w:bCs/>
        </w:rPr>
      </w:pPr>
      <w:r>
        <w:rPr>
          <w:rFonts w:ascii="SimHei" w:hAnsi="SimHei" w:eastAsia="黑体"/>
          <w:b w:val="0"/>
          <w:bCs/>
          <w:color w:val="000000"/>
          <w:sz w:val="27"/>
          <w:szCs w:val="27"/>
        </w:rPr>
      </w:r>
      <w:bookmarkStart w:id="15" w:name="_Toc81281003"/>
      <w:r>
        <w:rPr>
          <w:rFonts w:hint="eastAsia" w:ascii="SimHei" w:hAnsi="SimHei" w:eastAsia="黑体"/>
          <w:bCs/>
        </w:rPr>
        <w:t>附件3</w:t>
      </w:r>
      <w:r>
        <w:rPr>
          <w:rFonts w:ascii="SimHei" w:hAnsi="SimHei" w:eastAsia="黑体"/>
          <w:bCs/>
        </w:rPr>
        <w:t>：</w:t>
      </w:r>
      <w:r>
        <w:rPr>
          <w:rFonts w:hint="eastAsia" w:ascii="SimHei" w:hAnsi="SimHei" w:eastAsia="黑体"/>
          <w:bCs/>
        </w:rPr>
        <w:t>任期经营业绩考核计分办法</w:t>
      </w:r>
      <w:bookmarkEnd w:id="15"/>
    </w:p>
    <w:p>
      <w:pPr>
        <w:pStyle w:val="7"/>
        <w:spacing w:line="330" w:lineRule="atLeast"/>
        <w:ind w:firstLine="425"/>
        <w:rPr>
          <w:color w:val="000000"/>
          <w:sz w:val="21"/>
          <w:szCs w:val="21"/>
        </w:rPr>
      </w:pPr>
      <w:r>
        <w:rPr>
          <w:rFonts w:hint="eastAsia" w:ascii="SimHei" w:hAnsi="SimHei" w:eastAsia="黑体"/>
          <w:color w:val="000000"/>
          <w:sz w:val="27"/>
          <w:szCs w:val="27"/>
        </w:rPr>
        <w:t>一、任期经营业绩考核的综合计分</w:t>
      </w:r>
    </w:p>
    <w:p>
      <w:pPr>
        <w:pStyle w:val="7"/>
        <w:spacing w:line="330" w:lineRule="atLeast"/>
        <w:ind w:firstLine="425"/>
        <w:rPr>
          <w:color w:val="000000"/>
          <w:sz w:val="21"/>
          <w:szCs w:val="21"/>
        </w:rPr>
      </w:pPr>
      <w:r>
        <w:rPr>
          <w:rFonts w:hint="eastAsia" w:ascii="SimHei" w:hAnsi="SimHei" w:eastAsia="黑体"/>
          <w:color w:val="000000"/>
          <w:sz w:val="27"/>
          <w:szCs w:val="27"/>
        </w:rPr>
        <w:t>任期经营业绩考核的综合得分＝国有资本保值增值率指标得分×经营难度系数＋三年主营业务收入平均增长率指标得分×经营难度系数＋任期内三年的年度经营业绩考核结果指标得分＋分类指标得分×经营难度系数。</w:t>
      </w:r>
    </w:p>
    <w:p>
      <w:pPr>
        <w:pStyle w:val="7"/>
        <w:spacing w:line="330" w:lineRule="atLeast"/>
        <w:ind w:firstLine="425"/>
        <w:rPr>
          <w:color w:val="000000"/>
          <w:sz w:val="21"/>
          <w:szCs w:val="21"/>
        </w:rPr>
      </w:pPr>
      <w:r>
        <w:rPr>
          <w:rFonts w:hint="eastAsia" w:ascii="SimHei" w:hAnsi="SimHei" w:eastAsia="黑体"/>
          <w:color w:val="000000"/>
          <w:sz w:val="27"/>
          <w:szCs w:val="27"/>
        </w:rPr>
        <w:t>上述任期经营业绩考核指标中，若某项指标没有达到基本分，则该项指标不乘以经营难度系数。</w:t>
      </w:r>
    </w:p>
    <w:p>
      <w:pPr>
        <w:pStyle w:val="7"/>
        <w:spacing w:line="330" w:lineRule="atLeast"/>
        <w:ind w:firstLine="425"/>
        <w:rPr>
          <w:color w:val="000000"/>
          <w:sz w:val="21"/>
          <w:szCs w:val="21"/>
        </w:rPr>
      </w:pPr>
      <w:r>
        <w:rPr>
          <w:rFonts w:hint="eastAsia" w:ascii="SimHei" w:hAnsi="SimHei" w:eastAsia="黑体"/>
          <w:color w:val="000000"/>
          <w:sz w:val="27"/>
          <w:szCs w:val="27"/>
        </w:rPr>
        <w:t>二、任期经营业绩考核各指标计分</w:t>
      </w:r>
    </w:p>
    <w:p>
      <w:pPr>
        <w:pStyle w:val="7"/>
        <w:spacing w:line="330" w:lineRule="atLeast"/>
        <w:ind w:firstLine="425"/>
        <w:rPr>
          <w:color w:val="000000"/>
          <w:sz w:val="21"/>
          <w:szCs w:val="21"/>
        </w:rPr>
      </w:pPr>
      <w:r>
        <w:rPr>
          <w:rFonts w:hint="eastAsia" w:ascii="SimHei" w:hAnsi="SimHei" w:eastAsia="黑体"/>
          <w:color w:val="000000"/>
          <w:sz w:val="27"/>
          <w:szCs w:val="27"/>
        </w:rPr>
        <w:t>国有资本保值增值率指标的基本分为</w:t>
      </w:r>
      <w:r>
        <w:rPr>
          <w:rFonts w:ascii="SimHei" w:hAnsi="SimHei" w:eastAsia="黑体"/>
          <w:color w:val="000000"/>
          <w:sz w:val="27"/>
          <w:szCs w:val="27"/>
        </w:rPr>
        <w:t>40分。企业负责人完成目标值时，得基本分40分；每高于目标值0.5个百分点，加1分，最多加8分。低于目标值但大于100%时，每低于目标值0.5个百分点，扣0.5分，最多扣4分；低于100%时，每低于目标值0.5个百分点，扣1分，最多扣8分。</w:t>
      </w:r>
    </w:p>
    <w:p>
      <w:pPr>
        <w:pStyle w:val="7"/>
        <w:spacing w:line="330" w:lineRule="atLeast"/>
        <w:ind w:firstLine="425"/>
        <w:rPr>
          <w:color w:val="000000"/>
          <w:sz w:val="21"/>
          <w:szCs w:val="21"/>
        </w:rPr>
      </w:pPr>
      <w:r>
        <w:rPr>
          <w:rFonts w:hint="eastAsia" w:ascii="SimHei" w:hAnsi="SimHei" w:eastAsia="黑体"/>
          <w:color w:val="000000"/>
          <w:sz w:val="27"/>
          <w:szCs w:val="27"/>
        </w:rPr>
        <w:t>三年主营业务收入平均增长率指标基本分为</w:t>
      </w:r>
      <w:r>
        <w:rPr>
          <w:rFonts w:ascii="SimHei" w:hAnsi="SimHei" w:eastAsia="黑体"/>
          <w:color w:val="000000"/>
          <w:sz w:val="27"/>
          <w:szCs w:val="27"/>
        </w:rPr>
        <w:t>20分。企业负责人完成目标值时，得基本分20分；高于目标值时，每超过1个百分点，加１分，最多加4分。低于目标值时，每低于1个百分点，扣1分，最多扣4分。</w:t>
      </w:r>
    </w:p>
    <w:p>
      <w:pPr>
        <w:pStyle w:val="7"/>
        <w:spacing w:line="330" w:lineRule="atLeast"/>
        <w:ind w:firstLine="425"/>
        <w:rPr>
          <w:color w:val="000000"/>
          <w:sz w:val="21"/>
          <w:szCs w:val="21"/>
        </w:rPr>
      </w:pPr>
      <w:r>
        <w:rPr>
          <w:rFonts w:hint="eastAsia" w:ascii="SimHei" w:hAnsi="SimHei" w:eastAsia="黑体"/>
          <w:color w:val="000000"/>
          <w:sz w:val="27"/>
          <w:szCs w:val="27"/>
        </w:rPr>
        <w:t>任期内三年的年度经营业绩考核结果指标的基本分为</w:t>
      </w:r>
      <w:r>
        <w:rPr>
          <w:rFonts w:ascii="SimHei" w:hAnsi="SimHei" w:eastAsia="黑体"/>
          <w:color w:val="000000"/>
          <w:sz w:val="27"/>
          <w:szCs w:val="27"/>
        </w:rPr>
        <w:t>20分。企业负责人三年内的年度经营业绩综合考核结果每得一次A级的得8分；每得一次B级的得7分；每得一次C级的得6分；每得一次D级的得5分；每得一次E级的得4分。</w:t>
      </w:r>
    </w:p>
    <w:p>
      <w:pPr>
        <w:pStyle w:val="7"/>
        <w:spacing w:line="330" w:lineRule="atLeast"/>
        <w:ind w:firstLine="425"/>
        <w:rPr>
          <w:rFonts w:hint="eastAsia"/>
          <w:color w:val="000000"/>
          <w:sz w:val="27"/>
          <w:szCs w:val="27"/>
        </w:rPr>
      </w:pPr>
      <w:r>
        <w:rPr>
          <w:rFonts w:hint="eastAsia" w:ascii="SimHei" w:hAnsi="SimHei" w:eastAsia="黑体"/>
          <w:color w:val="000000"/>
          <w:sz w:val="27"/>
          <w:szCs w:val="27"/>
        </w:rPr>
        <w:t>劳动生产率任期内三年平均增长率的基本分为20</w:t>
      </w:r>
      <w:r>
        <w:rPr>
          <w:rFonts w:ascii="SimHei" w:hAnsi="SimHei" w:eastAsia="黑体"/>
          <w:color w:val="000000"/>
          <w:sz w:val="27"/>
          <w:szCs w:val="27"/>
        </w:rPr>
        <w:t>分。完成目标值时，得基本分</w:t>
      </w:r>
      <w:r>
        <w:rPr>
          <w:rFonts w:hint="eastAsia" w:ascii="SimHei" w:hAnsi="SimHei" w:eastAsia="黑体"/>
          <w:color w:val="000000"/>
          <w:sz w:val="27"/>
          <w:szCs w:val="27"/>
        </w:rPr>
        <w:t>20</w:t>
      </w:r>
      <w:r>
        <w:rPr>
          <w:rFonts w:ascii="SimHei" w:hAnsi="SimHei" w:eastAsia="黑体"/>
          <w:color w:val="000000"/>
          <w:sz w:val="27"/>
          <w:szCs w:val="27"/>
        </w:rPr>
        <w:t>分；高于目标值时，每高于0.5个百分点，加1分，最多加</w:t>
      </w:r>
      <w:r>
        <w:rPr>
          <w:rFonts w:hint="eastAsia" w:ascii="SimHei" w:hAnsi="SimHei" w:eastAsia="黑体"/>
          <w:color w:val="000000"/>
          <w:sz w:val="27"/>
          <w:szCs w:val="27"/>
        </w:rPr>
        <w:t>4</w:t>
      </w:r>
      <w:r>
        <w:rPr>
          <w:rFonts w:ascii="SimHei" w:hAnsi="SimHei" w:eastAsia="黑体"/>
          <w:color w:val="000000"/>
          <w:sz w:val="27"/>
          <w:szCs w:val="27"/>
        </w:rPr>
        <w:t>分。低于目标值时，每低于0.5个百分点，扣1分，最多扣</w:t>
      </w:r>
      <w:r>
        <w:rPr>
          <w:rFonts w:hint="eastAsia" w:ascii="SimHei" w:hAnsi="SimHei" w:eastAsia="黑体"/>
          <w:color w:val="000000"/>
          <w:sz w:val="27"/>
          <w:szCs w:val="27"/>
        </w:rPr>
        <w:t>4</w:t>
      </w:r>
      <w:r>
        <w:rPr>
          <w:rFonts w:ascii="SimHei" w:hAnsi="SimHei" w:eastAsia="黑体"/>
          <w:color w:val="000000"/>
          <w:sz w:val="27"/>
          <w:szCs w:val="27"/>
        </w:rPr>
        <w:t>分。</w:t>
      </w:r>
    </w:p>
    <w:p>
      <w:pPr>
        <w:pStyle w:val="7"/>
        <w:spacing w:line="330" w:lineRule="atLeast"/>
        <w:ind w:firstLine="425"/>
        <w:rPr>
          <w:color w:val="000000"/>
          <w:sz w:val="27"/>
          <w:szCs w:val="27"/>
        </w:rPr>
      </w:pPr>
      <w:r>
        <w:rPr>
          <w:rFonts w:hint="eastAsia" w:ascii="SimHei" w:hAnsi="SimHei" w:eastAsia="黑体"/>
          <w:color w:val="000000"/>
          <w:sz w:val="27"/>
          <w:szCs w:val="27"/>
        </w:rPr>
        <w:t>三、经营难度系数和考核分级同“任期经营业绩考核计分办法”相应规定。</w:t>
      </w:r>
    </w:p>
    <w:bookmarkEnd w:id="4"/>
    <w:bookmarkEnd w:id="8"/>
    <w:bookmarkEnd w:id="9"/>
    <w:p>
      <w:pPr>
        <w:pStyle w:val="2"/>
        <w:rPr>
          <w:rFonts w:hint="eastAsia" w:ascii="宋体" w:hAnsi="宋体"/>
          <w:bCs/>
        </w:rPr>
      </w:pPr>
      <w:r>
        <w:rPr>
          <w:rFonts w:ascii="SimHei" w:hAnsi="SimHei" w:eastAsia="黑体"/>
          <w:color w:val="000000"/>
        </w:rPr>
      </w:r>
      <w:bookmarkStart w:id="16" w:name="_附件4：岗位（技能）基薪中的固定与浮动比例"/>
      <w:bookmarkEnd w:id="16"/>
      <w:bookmarkStart w:id="17" w:name="_附件3：项目管理职系薪酬预算表"/>
      <w:bookmarkEnd w:id="17"/>
      <w:bookmarkStart w:id="18" w:name="_Toc81281004"/>
      <w:bookmarkStart w:id="19" w:name="_Toc54765316"/>
      <w:bookmarkStart w:id="20" w:name="_Toc41299670"/>
      <w:bookmarkStart w:id="21" w:name="_Toc52439184"/>
      <w:r>
        <w:rPr>
          <w:rFonts w:hint="eastAsia" w:ascii="SimHei" w:hAnsi="SimHei" w:eastAsia="黑体"/>
          <w:bCs/>
        </w:rPr>
        <w:t>附件4：经营难度系数的确定</w:t>
      </w:r>
      <w:bookmarkEnd w:id="18"/>
    </w:p>
    <w:p>
      <w:pPr>
        <w:numPr>
          <w:ilvl w:val="0"/>
          <w:numId w:val="4"/>
        </w:numPr>
        <w:tabs>
          <w:tab w:val="left" w:pos="993"/>
        </w:tabs>
        <w:spacing w:line="360" w:lineRule="auto"/>
        <w:rPr>
          <w:rFonts w:hint="eastAsia"/>
          <w:sz w:val="24"/>
        </w:rPr>
      </w:pPr>
      <w:r>
        <w:rPr>
          <w:rFonts w:hint="eastAsia" w:ascii="SimHei" w:hAnsi="SimHei" w:eastAsia="黑体"/>
          <w:sz w:val="24"/>
        </w:rPr>
        <w:t>企业经营难度系数确定</w:t>
      </w:r>
    </w:p>
    <w:p>
      <w:pPr>
        <w:tabs>
          <w:tab w:val="left" w:pos="993"/>
        </w:tabs>
        <w:spacing w:line="360" w:lineRule="auto"/>
        <w:ind w:firstLine="540" w:firstLineChars="200"/>
        <w:rPr>
          <w:rFonts w:hint="eastAsia"/>
          <w:sz w:val="24"/>
        </w:rPr>
      </w:pPr>
      <w:r>
        <w:rPr>
          <w:rFonts w:hint="eastAsia" w:ascii="SimHei" w:hAnsi="SimHei" w:eastAsia="黑体"/>
          <w:color w:val="000000"/>
          <w:sz w:val="27"/>
          <w:szCs w:val="27"/>
        </w:rPr>
        <w:t>经营难度系数根据企业净资产、资产总额、营业（销售）收入、利润总额、职工平均人数、离退休人员占职工人数的比重等因素加权计算，根据综合得分经营难度系数分为九等，分别对应不同系数，如表1</w:t>
      </w:r>
      <w:r>
        <w:rPr>
          <w:rFonts w:hint="eastAsia" w:ascii="SimHei" w:hAnsi="SimHei" w:eastAsia="黑体"/>
          <w:sz w:val="24"/>
        </w:rPr>
        <w:t>。</w:t>
      </w:r>
    </w:p>
    <w:p>
      <w:pPr>
        <w:spacing w:line="360" w:lineRule="auto"/>
        <w:jc w:val="center"/>
        <w:rPr>
          <w:rFonts w:hint="eastAsia"/>
          <w:sz w:val="24"/>
        </w:rPr>
      </w:pPr>
      <w:r>
        <w:rPr>
          <w:rFonts w:hint="eastAsia" w:ascii="SimHei" w:hAnsi="SimHei" w:eastAsia="黑体"/>
          <w:sz w:val="24"/>
        </w:rPr>
        <w:t>表1：综合得分与经营难度系数对应表</w:t>
      </w:r>
    </w:p>
    <w:tbl>
      <w:tblPr>
        <w:tblStyle w:val="8"/>
        <w:tblW w:w="0" w:type="auto"/>
        <w:tblInd w:w="67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3446"/>
        <w:gridCol w:w="16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noWrap w:val="0"/>
            <w:vAlign w:val="center"/>
          </w:tcPr>
          <w:p>
            <w:pPr>
              <w:jc w:val="center"/>
              <w:rPr>
                <w:sz w:val="24"/>
              </w:rPr>
            </w:pPr>
            <w:r>
              <w:rPr>
                <w:rFonts w:hint="eastAsia" w:ascii="SimHei" w:hAnsi="SimHei" w:eastAsia="黑体"/>
                <w:sz w:val="24"/>
              </w:rPr>
              <w:t>等级</w:t>
            </w:r>
          </w:p>
        </w:tc>
        <w:tc>
          <w:tcPr>
            <w:tcW w:w="3446" w:type="dxa"/>
            <w:noWrap w:val="0"/>
            <w:vAlign w:val="center"/>
          </w:tcPr>
          <w:p>
            <w:pPr>
              <w:jc w:val="center"/>
              <w:rPr>
                <w:sz w:val="24"/>
              </w:rPr>
            </w:pPr>
            <w:r>
              <w:rPr>
                <w:rFonts w:hint="eastAsia" w:ascii="SimHei" w:hAnsi="SimHei" w:eastAsia="黑体"/>
                <w:sz w:val="24"/>
              </w:rPr>
              <w:t>综合得分</w:t>
            </w:r>
          </w:p>
        </w:tc>
        <w:tc>
          <w:tcPr>
            <w:tcW w:w="1657" w:type="dxa"/>
            <w:noWrap w:val="0"/>
            <w:vAlign w:val="center"/>
          </w:tcPr>
          <w:p>
            <w:pPr>
              <w:jc w:val="center"/>
              <w:rPr>
                <w:sz w:val="24"/>
              </w:rPr>
            </w:pPr>
            <w:r>
              <w:rPr>
                <w:rFonts w:hint="eastAsia" w:ascii="SimHei" w:hAnsi="SimHei" w:eastAsia="黑体"/>
                <w:sz w:val="24"/>
              </w:rPr>
              <w:t>经营难度系数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noWrap w:val="0"/>
            <w:vAlign w:val="center"/>
          </w:tcPr>
          <w:p>
            <w:pPr>
              <w:jc w:val="center"/>
              <w:rPr>
                <w:sz w:val="24"/>
              </w:rPr>
            </w:pPr>
            <w:r>
              <w:rPr>
                <w:rFonts w:hint="eastAsia" w:ascii="SimHei" w:hAnsi="SimHei" w:eastAsia="黑体"/>
                <w:sz w:val="24"/>
              </w:rPr>
              <w:t>1</w:t>
            </w:r>
          </w:p>
        </w:tc>
        <w:tc>
          <w:tcPr>
            <w:tcW w:w="3446" w:type="dxa"/>
            <w:noWrap w:val="0"/>
            <w:vAlign w:val="center"/>
          </w:tcPr>
          <w:p>
            <w:pPr>
              <w:jc w:val="center"/>
              <w:rPr>
                <w:sz w:val="24"/>
              </w:rPr>
            </w:pPr>
            <w:r>
              <w:rPr>
                <w:rFonts w:hint="eastAsia" w:ascii="SimHei" w:hAnsi="SimHei" w:eastAsia="黑体"/>
                <w:sz w:val="24"/>
              </w:rPr>
              <w:t>得分≥850</w:t>
            </w:r>
          </w:p>
        </w:tc>
        <w:tc>
          <w:tcPr>
            <w:tcW w:w="1657" w:type="dxa"/>
            <w:noWrap w:val="0"/>
            <w:vAlign w:val="center"/>
          </w:tcPr>
          <w:p>
            <w:pPr>
              <w:jc w:val="center"/>
              <w:rPr>
                <w:sz w:val="24"/>
              </w:rPr>
            </w:pPr>
            <w:r>
              <w:rPr>
                <w:rFonts w:hint="eastAsia" w:ascii="SimHei" w:hAnsi="SimHei" w:eastAsia="黑体"/>
                <w:sz w:val="24"/>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noWrap w:val="0"/>
            <w:vAlign w:val="center"/>
          </w:tcPr>
          <w:p>
            <w:pPr>
              <w:jc w:val="center"/>
              <w:rPr>
                <w:sz w:val="24"/>
              </w:rPr>
            </w:pPr>
            <w:r>
              <w:rPr>
                <w:rFonts w:hint="eastAsia" w:ascii="SimHei" w:hAnsi="SimHei" w:eastAsia="黑体"/>
                <w:sz w:val="24"/>
              </w:rPr>
              <w:t>2</w:t>
            </w:r>
          </w:p>
        </w:tc>
        <w:tc>
          <w:tcPr>
            <w:tcW w:w="3446" w:type="dxa"/>
            <w:noWrap w:val="0"/>
            <w:vAlign w:val="center"/>
          </w:tcPr>
          <w:p>
            <w:pPr>
              <w:jc w:val="center"/>
              <w:rPr>
                <w:rFonts w:hint="eastAsia"/>
                <w:sz w:val="24"/>
              </w:rPr>
            </w:pPr>
            <w:r>
              <w:rPr>
                <w:rFonts w:hint="eastAsia" w:ascii="SimHei" w:hAnsi="SimHei" w:eastAsia="黑体"/>
                <w:sz w:val="24"/>
              </w:rPr>
              <w:t>750≤得分＜850</w:t>
            </w:r>
          </w:p>
        </w:tc>
        <w:tc>
          <w:tcPr>
            <w:tcW w:w="1657" w:type="dxa"/>
            <w:noWrap w:val="0"/>
            <w:vAlign w:val="center"/>
          </w:tcPr>
          <w:p>
            <w:pPr>
              <w:jc w:val="center"/>
              <w:rPr>
                <w:sz w:val="24"/>
              </w:rPr>
            </w:pPr>
            <w:r>
              <w:rPr>
                <w:rFonts w:hint="eastAsia" w:ascii="SimHei" w:hAnsi="SimHei" w:eastAsia="黑体"/>
                <w:sz w:val="24"/>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noWrap w:val="0"/>
            <w:vAlign w:val="center"/>
          </w:tcPr>
          <w:p>
            <w:pPr>
              <w:jc w:val="center"/>
              <w:rPr>
                <w:sz w:val="24"/>
              </w:rPr>
            </w:pPr>
            <w:r>
              <w:rPr>
                <w:rFonts w:hint="eastAsia" w:ascii="SimHei" w:hAnsi="SimHei" w:eastAsia="黑体"/>
                <w:sz w:val="24"/>
              </w:rPr>
              <w:t>3</w:t>
            </w:r>
          </w:p>
        </w:tc>
        <w:tc>
          <w:tcPr>
            <w:tcW w:w="3446" w:type="dxa"/>
            <w:noWrap w:val="0"/>
            <w:vAlign w:val="center"/>
          </w:tcPr>
          <w:p>
            <w:pPr>
              <w:jc w:val="center"/>
              <w:rPr>
                <w:sz w:val="24"/>
              </w:rPr>
            </w:pPr>
            <w:r>
              <w:rPr>
                <w:rFonts w:hint="eastAsia" w:ascii="SimHei" w:hAnsi="SimHei" w:eastAsia="黑体"/>
                <w:sz w:val="24"/>
              </w:rPr>
              <w:t>650≤得分＜750</w:t>
            </w:r>
          </w:p>
        </w:tc>
        <w:tc>
          <w:tcPr>
            <w:tcW w:w="1657" w:type="dxa"/>
            <w:noWrap w:val="0"/>
            <w:vAlign w:val="center"/>
          </w:tcPr>
          <w:p>
            <w:pPr>
              <w:jc w:val="center"/>
              <w:rPr>
                <w:sz w:val="24"/>
              </w:rPr>
            </w:pPr>
            <w:r>
              <w:rPr>
                <w:rFonts w:hint="eastAsia" w:ascii="SimHei" w:hAnsi="SimHei" w:eastAsia="黑体"/>
                <w:sz w:val="24"/>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noWrap w:val="0"/>
            <w:vAlign w:val="center"/>
          </w:tcPr>
          <w:p>
            <w:pPr>
              <w:jc w:val="center"/>
              <w:rPr>
                <w:sz w:val="24"/>
              </w:rPr>
            </w:pPr>
            <w:r>
              <w:rPr>
                <w:rFonts w:hint="eastAsia" w:ascii="SimHei" w:hAnsi="SimHei" w:eastAsia="黑体"/>
                <w:sz w:val="24"/>
              </w:rPr>
              <w:t>4</w:t>
            </w:r>
          </w:p>
        </w:tc>
        <w:tc>
          <w:tcPr>
            <w:tcW w:w="3446" w:type="dxa"/>
            <w:noWrap w:val="0"/>
            <w:vAlign w:val="center"/>
          </w:tcPr>
          <w:p>
            <w:pPr>
              <w:jc w:val="center"/>
              <w:rPr>
                <w:sz w:val="24"/>
              </w:rPr>
            </w:pPr>
            <w:r>
              <w:rPr>
                <w:rFonts w:hint="eastAsia" w:ascii="SimHei" w:hAnsi="SimHei" w:eastAsia="黑体"/>
                <w:sz w:val="24"/>
              </w:rPr>
              <w:t>550≤得分＜650</w:t>
            </w:r>
          </w:p>
        </w:tc>
        <w:tc>
          <w:tcPr>
            <w:tcW w:w="1657" w:type="dxa"/>
            <w:noWrap w:val="0"/>
            <w:vAlign w:val="center"/>
          </w:tcPr>
          <w:p>
            <w:pPr>
              <w:jc w:val="center"/>
              <w:rPr>
                <w:sz w:val="24"/>
              </w:rPr>
            </w:pPr>
            <w:r>
              <w:rPr>
                <w:rFonts w:hint="eastAsia" w:ascii="SimHei" w:hAnsi="SimHei" w:eastAsia="黑体"/>
                <w:sz w:val="24"/>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noWrap w:val="0"/>
            <w:vAlign w:val="center"/>
          </w:tcPr>
          <w:p>
            <w:pPr>
              <w:jc w:val="center"/>
              <w:rPr>
                <w:sz w:val="24"/>
              </w:rPr>
            </w:pPr>
            <w:r>
              <w:rPr>
                <w:rFonts w:hint="eastAsia" w:ascii="SimHei" w:hAnsi="SimHei" w:eastAsia="黑体"/>
                <w:sz w:val="24"/>
              </w:rPr>
              <w:t>5</w:t>
            </w:r>
          </w:p>
        </w:tc>
        <w:tc>
          <w:tcPr>
            <w:tcW w:w="3446" w:type="dxa"/>
            <w:noWrap w:val="0"/>
            <w:vAlign w:val="center"/>
          </w:tcPr>
          <w:p>
            <w:pPr>
              <w:jc w:val="center"/>
              <w:rPr>
                <w:sz w:val="24"/>
              </w:rPr>
            </w:pPr>
            <w:r>
              <w:rPr>
                <w:rFonts w:hint="eastAsia" w:ascii="SimHei" w:hAnsi="SimHei" w:eastAsia="黑体"/>
                <w:sz w:val="24"/>
              </w:rPr>
              <w:t>450≤得分＜550</w:t>
            </w:r>
          </w:p>
        </w:tc>
        <w:tc>
          <w:tcPr>
            <w:tcW w:w="1657" w:type="dxa"/>
            <w:noWrap w:val="0"/>
            <w:vAlign w:val="center"/>
          </w:tcPr>
          <w:p>
            <w:pPr>
              <w:jc w:val="center"/>
              <w:rPr>
                <w:sz w:val="24"/>
              </w:rPr>
            </w:pPr>
            <w:r>
              <w:rPr>
                <w:rFonts w:hint="eastAsia" w:ascii="SimHei" w:hAnsi="SimHei" w:eastAsia="黑体"/>
                <w:sz w:val="24"/>
              </w:rPr>
              <w:t>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noWrap w:val="0"/>
            <w:vAlign w:val="center"/>
          </w:tcPr>
          <w:p>
            <w:pPr>
              <w:jc w:val="center"/>
              <w:rPr>
                <w:sz w:val="24"/>
              </w:rPr>
            </w:pPr>
            <w:r>
              <w:rPr>
                <w:rFonts w:hint="eastAsia" w:ascii="SimHei" w:hAnsi="SimHei" w:eastAsia="黑体"/>
                <w:sz w:val="24"/>
              </w:rPr>
              <w:t>6</w:t>
            </w:r>
          </w:p>
        </w:tc>
        <w:tc>
          <w:tcPr>
            <w:tcW w:w="3446" w:type="dxa"/>
            <w:noWrap w:val="0"/>
            <w:vAlign w:val="center"/>
          </w:tcPr>
          <w:p>
            <w:pPr>
              <w:jc w:val="center"/>
              <w:rPr>
                <w:sz w:val="24"/>
              </w:rPr>
            </w:pPr>
            <w:r>
              <w:rPr>
                <w:rFonts w:hint="eastAsia" w:ascii="SimHei" w:hAnsi="SimHei" w:eastAsia="黑体"/>
                <w:sz w:val="24"/>
              </w:rPr>
              <w:t>350≤得分＜450</w:t>
            </w:r>
          </w:p>
        </w:tc>
        <w:tc>
          <w:tcPr>
            <w:tcW w:w="1657" w:type="dxa"/>
            <w:noWrap w:val="0"/>
            <w:vAlign w:val="center"/>
          </w:tcPr>
          <w:p>
            <w:pPr>
              <w:jc w:val="center"/>
              <w:rPr>
                <w:sz w:val="24"/>
              </w:rPr>
            </w:pPr>
            <w:r>
              <w:rPr>
                <w:rFonts w:hint="eastAsia" w:ascii="SimHei" w:hAnsi="SimHei" w:eastAsia="黑体"/>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noWrap w:val="0"/>
            <w:vAlign w:val="center"/>
          </w:tcPr>
          <w:p>
            <w:pPr>
              <w:jc w:val="center"/>
              <w:rPr>
                <w:sz w:val="24"/>
              </w:rPr>
            </w:pPr>
            <w:r>
              <w:rPr>
                <w:rFonts w:hint="eastAsia" w:ascii="SimHei" w:hAnsi="SimHei" w:eastAsia="黑体"/>
                <w:sz w:val="24"/>
              </w:rPr>
              <w:t>7</w:t>
            </w:r>
          </w:p>
        </w:tc>
        <w:tc>
          <w:tcPr>
            <w:tcW w:w="3446" w:type="dxa"/>
            <w:noWrap w:val="0"/>
            <w:vAlign w:val="center"/>
          </w:tcPr>
          <w:p>
            <w:pPr>
              <w:jc w:val="center"/>
              <w:rPr>
                <w:sz w:val="24"/>
              </w:rPr>
            </w:pPr>
            <w:r>
              <w:rPr>
                <w:rFonts w:hint="eastAsia" w:ascii="SimHei" w:hAnsi="SimHei" w:eastAsia="黑体"/>
                <w:sz w:val="24"/>
              </w:rPr>
              <w:t>250≤得分＜350</w:t>
            </w:r>
          </w:p>
        </w:tc>
        <w:tc>
          <w:tcPr>
            <w:tcW w:w="1657" w:type="dxa"/>
            <w:noWrap w:val="0"/>
            <w:vAlign w:val="center"/>
          </w:tcPr>
          <w:p>
            <w:pPr>
              <w:jc w:val="center"/>
              <w:rPr>
                <w:sz w:val="24"/>
              </w:rPr>
            </w:pPr>
            <w:r>
              <w:rPr>
                <w:rFonts w:hint="eastAsia" w:ascii="SimHei" w:hAnsi="SimHei" w:eastAsia="黑体"/>
                <w:sz w:val="24"/>
              </w:rPr>
              <w:t>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noWrap w:val="0"/>
            <w:vAlign w:val="center"/>
          </w:tcPr>
          <w:p>
            <w:pPr>
              <w:jc w:val="center"/>
              <w:rPr>
                <w:sz w:val="24"/>
              </w:rPr>
            </w:pPr>
            <w:r>
              <w:rPr>
                <w:rFonts w:hint="eastAsia" w:ascii="SimHei" w:hAnsi="SimHei" w:eastAsia="黑体"/>
                <w:sz w:val="24"/>
              </w:rPr>
              <w:t>8</w:t>
            </w:r>
          </w:p>
        </w:tc>
        <w:tc>
          <w:tcPr>
            <w:tcW w:w="3446" w:type="dxa"/>
            <w:noWrap w:val="0"/>
            <w:vAlign w:val="center"/>
          </w:tcPr>
          <w:p>
            <w:pPr>
              <w:jc w:val="center"/>
              <w:rPr>
                <w:sz w:val="24"/>
              </w:rPr>
            </w:pPr>
            <w:r>
              <w:rPr>
                <w:rFonts w:hint="eastAsia" w:ascii="SimHei" w:hAnsi="SimHei" w:eastAsia="黑体"/>
                <w:sz w:val="24"/>
              </w:rPr>
              <w:t>150≤得分＜250</w:t>
            </w:r>
          </w:p>
        </w:tc>
        <w:tc>
          <w:tcPr>
            <w:tcW w:w="1657" w:type="dxa"/>
            <w:noWrap w:val="0"/>
            <w:vAlign w:val="center"/>
          </w:tcPr>
          <w:p>
            <w:pPr>
              <w:jc w:val="center"/>
              <w:rPr>
                <w:sz w:val="24"/>
              </w:rPr>
            </w:pPr>
            <w:r>
              <w:rPr>
                <w:rFonts w:hint="eastAsia" w:ascii="SimHei" w:hAnsi="SimHei" w:eastAsia="黑体"/>
                <w:sz w:val="24"/>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noWrap w:val="0"/>
            <w:vAlign w:val="center"/>
          </w:tcPr>
          <w:p>
            <w:pPr>
              <w:jc w:val="center"/>
              <w:rPr>
                <w:sz w:val="24"/>
              </w:rPr>
            </w:pPr>
            <w:r>
              <w:rPr>
                <w:rFonts w:hint="eastAsia" w:ascii="SimHei" w:hAnsi="SimHei" w:eastAsia="黑体"/>
                <w:sz w:val="24"/>
              </w:rPr>
              <w:t>9</w:t>
            </w:r>
          </w:p>
        </w:tc>
        <w:tc>
          <w:tcPr>
            <w:tcW w:w="3446" w:type="dxa"/>
            <w:noWrap w:val="0"/>
            <w:vAlign w:val="center"/>
          </w:tcPr>
          <w:p>
            <w:pPr>
              <w:jc w:val="center"/>
              <w:rPr>
                <w:sz w:val="24"/>
              </w:rPr>
            </w:pPr>
            <w:r>
              <w:rPr>
                <w:rFonts w:hint="eastAsia" w:ascii="SimHei" w:hAnsi="SimHei" w:eastAsia="黑体"/>
                <w:sz w:val="24"/>
              </w:rPr>
              <w:t>得分＜150</w:t>
            </w:r>
          </w:p>
        </w:tc>
        <w:tc>
          <w:tcPr>
            <w:tcW w:w="1657" w:type="dxa"/>
            <w:noWrap w:val="0"/>
            <w:vAlign w:val="center"/>
          </w:tcPr>
          <w:p>
            <w:pPr>
              <w:jc w:val="center"/>
              <w:rPr>
                <w:rFonts w:hint="eastAsia"/>
                <w:sz w:val="24"/>
              </w:rPr>
            </w:pPr>
            <w:r>
              <w:rPr>
                <w:rFonts w:hint="eastAsia" w:ascii="SimHei" w:hAnsi="SimHei" w:eastAsia="黑体"/>
                <w:sz w:val="24"/>
              </w:rPr>
              <w:t>0.7</w:t>
            </w:r>
          </w:p>
        </w:tc>
      </w:tr>
    </w:tbl>
    <w:p>
      <w:pPr>
        <w:tabs>
          <w:tab w:val="left" w:pos="993"/>
        </w:tabs>
        <w:spacing w:line="360" w:lineRule="auto"/>
        <w:ind w:firstLine="480" w:firstLineChars="200"/>
        <w:rPr>
          <w:rFonts w:hint="eastAsia" w:ascii="楷体_GB2312" w:eastAsia="楷体_GB2312"/>
          <w:sz w:val="24"/>
        </w:rPr>
      </w:pPr>
      <w:r>
        <w:rPr>
          <w:rFonts w:hint="eastAsia" w:ascii="SimHei" w:eastAsia="黑体" w:hAnsi="SimHei"/>
          <w:sz w:val="24"/>
        </w:rPr>
        <w:t>注：企业级别最高得分为1000分。</w:t>
      </w:r>
    </w:p>
    <w:p>
      <w:pPr>
        <w:tabs>
          <w:tab w:val="left" w:pos="993"/>
        </w:tabs>
        <w:spacing w:line="360" w:lineRule="auto"/>
        <w:ind w:left="480"/>
        <w:rPr>
          <w:rFonts w:hint="eastAsia"/>
          <w:sz w:val="24"/>
        </w:rPr>
      </w:pPr>
      <w:r>
        <w:rPr>
          <w:rFonts w:hint="eastAsia" w:ascii="SimHei" w:hAnsi="SimHei" w:eastAsia="黑体"/>
          <w:sz w:val="24"/>
        </w:rPr>
        <w:t>二、企业级别确定指标及评分办法</w:t>
      </w:r>
    </w:p>
    <w:p>
      <w:pPr>
        <w:numPr>
          <w:ilvl w:val="0"/>
          <w:numId w:val="5"/>
        </w:numPr>
        <w:spacing w:line="360" w:lineRule="auto"/>
        <w:rPr>
          <w:rFonts w:hint="eastAsia"/>
          <w:sz w:val="24"/>
        </w:rPr>
      </w:pPr>
      <w:r>
        <w:rPr>
          <w:rFonts w:hint="eastAsia" w:ascii="SimHei" w:hAnsi="SimHei" w:eastAsia="黑体"/>
          <w:sz w:val="24"/>
        </w:rPr>
        <w:t>指标设置</w:t>
      </w:r>
    </w:p>
    <w:p>
      <w:pPr>
        <w:spacing w:line="360" w:lineRule="auto"/>
        <w:ind w:firstLine="540" w:firstLineChars="200"/>
        <w:rPr>
          <w:rFonts w:hint="eastAsia"/>
          <w:sz w:val="24"/>
        </w:rPr>
      </w:pPr>
      <w:r>
        <w:rPr>
          <w:rFonts w:hint="eastAsia" w:ascii="SimHei" w:hAnsi="SimHei" w:eastAsia="黑体"/>
          <w:color w:val="000000"/>
          <w:sz w:val="27"/>
          <w:szCs w:val="27"/>
        </w:rPr>
        <w:t>经营难度系数</w:t>
      </w:r>
      <w:r>
        <w:rPr>
          <w:rFonts w:hint="eastAsia" w:ascii="SimHei" w:hAnsi="SimHei" w:eastAsia="黑体"/>
          <w:sz w:val="24"/>
        </w:rPr>
        <w:t>确定采用</w:t>
      </w:r>
      <w:r>
        <w:rPr>
          <w:rFonts w:hint="eastAsia" w:ascii="SimHei" w:hAnsi="SimHei" w:eastAsia="黑体"/>
          <w:color w:val="000000"/>
          <w:sz w:val="27"/>
          <w:szCs w:val="27"/>
        </w:rPr>
        <w:t>企业净资产、资产总额、主营业务收入、利润总额、职工平均人数、离退休人员占职工人数的比重</w:t>
      </w:r>
      <w:r>
        <w:rPr>
          <w:rFonts w:hint="eastAsia" w:ascii="SimHei" w:hAnsi="SimHei" w:eastAsia="黑体"/>
          <w:sz w:val="24"/>
        </w:rPr>
        <w:t>等6项指标。各指标名称、权重及总分如下表：</w:t>
      </w:r>
    </w:p>
    <w:p>
      <w:pPr>
        <w:spacing w:line="360" w:lineRule="auto"/>
        <w:ind w:firstLine="480" w:firstLineChars="200"/>
        <w:jc w:val="center"/>
        <w:rPr>
          <w:rFonts w:hint="eastAsia"/>
          <w:sz w:val="24"/>
        </w:rPr>
      </w:pPr>
      <w:r>
        <w:rPr>
          <w:rFonts w:hint="eastAsia" w:ascii="SimHei" w:hAnsi="SimHei" w:eastAsia="黑体"/>
          <w:sz w:val="24"/>
        </w:rPr>
        <w:t>表2：评价指标权重一览表</w:t>
      </w:r>
    </w:p>
    <w:tbl>
      <w:tblPr>
        <w:tblStyle w:val="8"/>
        <w:tblW w:w="70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3600"/>
        <w:gridCol w:w="1228"/>
        <w:gridCol w:w="12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noWrap w:val="0"/>
            <w:vAlign w:val="center"/>
          </w:tcPr>
          <w:p>
            <w:pPr>
              <w:jc w:val="center"/>
              <w:rPr>
                <w:rFonts w:hint="eastAsia"/>
                <w:sz w:val="24"/>
              </w:rPr>
            </w:pPr>
            <w:r>
              <w:rPr>
                <w:rFonts w:hint="eastAsia" w:ascii="SimHei" w:hAnsi="SimHei" w:eastAsia="黑体"/>
                <w:sz w:val="24"/>
              </w:rPr>
              <w:t>序号</w:t>
            </w:r>
          </w:p>
        </w:tc>
        <w:tc>
          <w:tcPr>
            <w:tcW w:w="3600" w:type="dxa"/>
            <w:noWrap w:val="0"/>
            <w:vAlign w:val="center"/>
          </w:tcPr>
          <w:p>
            <w:pPr>
              <w:jc w:val="center"/>
              <w:rPr>
                <w:rFonts w:hint="eastAsia"/>
                <w:sz w:val="24"/>
              </w:rPr>
            </w:pPr>
            <w:r>
              <w:rPr>
                <w:rFonts w:hint="eastAsia" w:ascii="SimHei" w:hAnsi="SimHei" w:eastAsia="黑体"/>
                <w:sz w:val="24"/>
              </w:rPr>
              <w:t>指标名称</w:t>
            </w:r>
          </w:p>
        </w:tc>
        <w:tc>
          <w:tcPr>
            <w:tcW w:w="1228" w:type="dxa"/>
            <w:noWrap w:val="0"/>
            <w:vAlign w:val="center"/>
          </w:tcPr>
          <w:p>
            <w:pPr>
              <w:jc w:val="center"/>
              <w:rPr>
                <w:rFonts w:hint="eastAsia"/>
                <w:sz w:val="24"/>
              </w:rPr>
            </w:pPr>
            <w:r>
              <w:rPr>
                <w:rFonts w:hint="eastAsia" w:ascii="SimHei" w:hAnsi="SimHei" w:eastAsia="黑体"/>
                <w:sz w:val="24"/>
              </w:rPr>
              <w:t>权重</w:t>
            </w:r>
          </w:p>
        </w:tc>
        <w:tc>
          <w:tcPr>
            <w:tcW w:w="1229" w:type="dxa"/>
            <w:noWrap w:val="0"/>
            <w:vAlign w:val="center"/>
          </w:tcPr>
          <w:p>
            <w:pPr>
              <w:jc w:val="center"/>
              <w:rPr>
                <w:rFonts w:hint="eastAsia"/>
                <w:sz w:val="24"/>
              </w:rPr>
            </w:pPr>
            <w:r>
              <w:rPr>
                <w:rFonts w:hint="eastAsia" w:ascii="SimHei" w:hAnsi="SimHei" w:eastAsia="黑体"/>
                <w:sz w:val="24"/>
              </w:rPr>
              <w:t>单项总分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noWrap w:val="0"/>
            <w:vAlign w:val="center"/>
          </w:tcPr>
          <w:p>
            <w:pPr>
              <w:jc w:val="center"/>
              <w:rPr>
                <w:rFonts w:hint="eastAsia"/>
                <w:sz w:val="24"/>
              </w:rPr>
            </w:pPr>
            <w:r>
              <w:rPr>
                <w:rFonts w:hint="eastAsia" w:ascii="SimHei" w:hAnsi="SimHei" w:eastAsia="黑体"/>
                <w:sz w:val="24"/>
              </w:rPr>
              <w:t>1</w:t>
            </w:r>
          </w:p>
        </w:tc>
        <w:tc>
          <w:tcPr>
            <w:tcW w:w="3600" w:type="dxa"/>
            <w:noWrap w:val="0"/>
            <w:vAlign w:val="center"/>
          </w:tcPr>
          <w:p>
            <w:pPr>
              <w:jc w:val="center"/>
              <w:rPr>
                <w:rFonts w:hint="eastAsia"/>
                <w:sz w:val="24"/>
              </w:rPr>
            </w:pPr>
            <w:r>
              <w:rPr>
                <w:rFonts w:hint="eastAsia" w:ascii="SimHei" w:hAnsi="SimHei" w:eastAsia="黑体"/>
                <w:sz w:val="24"/>
              </w:rPr>
              <w:t>总资产</w:t>
            </w:r>
          </w:p>
        </w:tc>
        <w:tc>
          <w:tcPr>
            <w:tcW w:w="1228" w:type="dxa"/>
            <w:noWrap w:val="0"/>
            <w:vAlign w:val="center"/>
          </w:tcPr>
          <w:p>
            <w:pPr>
              <w:jc w:val="center"/>
              <w:rPr>
                <w:rFonts w:hint="eastAsia"/>
                <w:sz w:val="24"/>
              </w:rPr>
            </w:pPr>
            <w:r>
              <w:rPr>
                <w:rFonts w:hint="eastAsia" w:ascii="SimHei" w:hAnsi="SimHei" w:eastAsia="黑体"/>
                <w:sz w:val="24"/>
              </w:rPr>
              <w:t>0.15</w:t>
            </w:r>
          </w:p>
        </w:tc>
        <w:tc>
          <w:tcPr>
            <w:tcW w:w="1229" w:type="dxa"/>
            <w:noWrap w:val="0"/>
            <w:vAlign w:val="center"/>
          </w:tcPr>
          <w:p>
            <w:pPr>
              <w:jc w:val="center"/>
              <w:rPr>
                <w:rFonts w:hint="eastAsia"/>
                <w:sz w:val="24"/>
              </w:rPr>
            </w:pPr>
            <w:r>
              <w:rPr>
                <w:rFonts w:hint="eastAsia" w:ascii="SimHei" w:hAnsi="SimHei" w:eastAsia="黑体"/>
                <w:sz w:val="24"/>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noWrap w:val="0"/>
            <w:vAlign w:val="center"/>
          </w:tcPr>
          <w:p>
            <w:pPr>
              <w:jc w:val="center"/>
              <w:rPr>
                <w:rFonts w:hint="eastAsia"/>
                <w:sz w:val="24"/>
              </w:rPr>
            </w:pPr>
            <w:r>
              <w:rPr>
                <w:rFonts w:hint="eastAsia" w:ascii="SimHei" w:hAnsi="SimHei" w:eastAsia="黑体"/>
                <w:sz w:val="24"/>
              </w:rPr>
              <w:t>2</w:t>
            </w:r>
          </w:p>
        </w:tc>
        <w:tc>
          <w:tcPr>
            <w:tcW w:w="3600" w:type="dxa"/>
            <w:noWrap w:val="0"/>
            <w:vAlign w:val="center"/>
          </w:tcPr>
          <w:p>
            <w:pPr>
              <w:jc w:val="center"/>
              <w:rPr>
                <w:rFonts w:hint="eastAsia"/>
                <w:sz w:val="24"/>
              </w:rPr>
            </w:pPr>
            <w:r>
              <w:rPr>
                <w:rFonts w:hint="eastAsia" w:ascii="SimHei" w:hAnsi="SimHei" w:eastAsia="黑体"/>
                <w:sz w:val="24"/>
              </w:rPr>
              <w:t>净资产</w:t>
            </w:r>
          </w:p>
        </w:tc>
        <w:tc>
          <w:tcPr>
            <w:tcW w:w="1228" w:type="dxa"/>
            <w:noWrap w:val="0"/>
            <w:vAlign w:val="center"/>
          </w:tcPr>
          <w:p>
            <w:pPr>
              <w:jc w:val="center"/>
              <w:rPr>
                <w:rFonts w:hint="eastAsia"/>
                <w:sz w:val="24"/>
              </w:rPr>
            </w:pPr>
            <w:r>
              <w:rPr>
                <w:rFonts w:hint="eastAsia" w:ascii="SimHei" w:hAnsi="SimHei" w:eastAsia="黑体"/>
                <w:sz w:val="24"/>
              </w:rPr>
              <w:t>0.30</w:t>
            </w:r>
          </w:p>
        </w:tc>
        <w:tc>
          <w:tcPr>
            <w:tcW w:w="1229" w:type="dxa"/>
            <w:noWrap w:val="0"/>
            <w:vAlign w:val="center"/>
          </w:tcPr>
          <w:p>
            <w:pPr>
              <w:jc w:val="center"/>
              <w:rPr>
                <w:rFonts w:hint="eastAsia"/>
                <w:sz w:val="24"/>
              </w:rPr>
            </w:pPr>
            <w:r>
              <w:rPr>
                <w:rFonts w:hint="eastAsia" w:ascii="SimHei" w:hAnsi="SimHei" w:eastAsia="黑体"/>
                <w:sz w:val="24"/>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noWrap w:val="0"/>
            <w:vAlign w:val="center"/>
          </w:tcPr>
          <w:p>
            <w:pPr>
              <w:jc w:val="center"/>
              <w:rPr>
                <w:rFonts w:hint="eastAsia"/>
                <w:sz w:val="24"/>
              </w:rPr>
            </w:pPr>
            <w:r>
              <w:rPr>
                <w:rFonts w:hint="eastAsia" w:ascii="SimHei" w:hAnsi="SimHei" w:eastAsia="黑体"/>
                <w:sz w:val="24"/>
              </w:rPr>
              <w:t>3</w:t>
            </w:r>
          </w:p>
        </w:tc>
        <w:tc>
          <w:tcPr>
            <w:tcW w:w="3600" w:type="dxa"/>
            <w:noWrap w:val="0"/>
            <w:vAlign w:val="center"/>
          </w:tcPr>
          <w:p>
            <w:pPr>
              <w:jc w:val="center"/>
              <w:rPr>
                <w:rFonts w:hint="eastAsia"/>
                <w:sz w:val="24"/>
              </w:rPr>
            </w:pPr>
            <w:r>
              <w:rPr>
                <w:rFonts w:hint="eastAsia" w:ascii="SimHei" w:hAnsi="SimHei" w:eastAsia="黑体"/>
                <w:sz w:val="24"/>
              </w:rPr>
              <w:t>主营业务收入总额</w:t>
            </w:r>
          </w:p>
        </w:tc>
        <w:tc>
          <w:tcPr>
            <w:tcW w:w="1228" w:type="dxa"/>
            <w:noWrap w:val="0"/>
            <w:vAlign w:val="center"/>
          </w:tcPr>
          <w:p>
            <w:pPr>
              <w:jc w:val="center"/>
              <w:rPr>
                <w:rFonts w:hint="eastAsia"/>
                <w:sz w:val="24"/>
              </w:rPr>
            </w:pPr>
            <w:r>
              <w:rPr>
                <w:rFonts w:hint="eastAsia" w:ascii="SimHei" w:hAnsi="SimHei" w:eastAsia="黑体"/>
                <w:sz w:val="24"/>
              </w:rPr>
              <w:t>0.25</w:t>
            </w:r>
          </w:p>
        </w:tc>
        <w:tc>
          <w:tcPr>
            <w:tcW w:w="1229" w:type="dxa"/>
            <w:noWrap w:val="0"/>
            <w:vAlign w:val="center"/>
          </w:tcPr>
          <w:p>
            <w:pPr>
              <w:jc w:val="center"/>
              <w:rPr>
                <w:rFonts w:hint="eastAsia"/>
                <w:sz w:val="24"/>
              </w:rPr>
            </w:pPr>
            <w:r>
              <w:rPr>
                <w:rFonts w:hint="eastAsia" w:ascii="SimHei" w:hAnsi="SimHei" w:eastAsia="黑体"/>
                <w:sz w:val="24"/>
              </w:rPr>
              <w:t>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noWrap w:val="0"/>
            <w:vAlign w:val="center"/>
          </w:tcPr>
          <w:p>
            <w:pPr>
              <w:jc w:val="center"/>
              <w:rPr>
                <w:rFonts w:hint="eastAsia"/>
                <w:sz w:val="24"/>
              </w:rPr>
            </w:pPr>
            <w:r>
              <w:rPr>
                <w:rFonts w:hint="eastAsia" w:ascii="SimHei" w:hAnsi="SimHei" w:eastAsia="黑体"/>
                <w:sz w:val="24"/>
              </w:rPr>
              <w:t>4</w:t>
            </w:r>
          </w:p>
        </w:tc>
        <w:tc>
          <w:tcPr>
            <w:tcW w:w="3600" w:type="dxa"/>
            <w:noWrap w:val="0"/>
            <w:vAlign w:val="center"/>
          </w:tcPr>
          <w:p>
            <w:pPr>
              <w:jc w:val="center"/>
              <w:rPr>
                <w:rFonts w:hint="eastAsia"/>
                <w:sz w:val="24"/>
              </w:rPr>
            </w:pPr>
            <w:r>
              <w:rPr>
                <w:rFonts w:hint="eastAsia" w:ascii="SimHei" w:hAnsi="SimHei" w:eastAsia="黑体"/>
                <w:sz w:val="24"/>
              </w:rPr>
              <w:t>利润总额</w:t>
            </w:r>
          </w:p>
        </w:tc>
        <w:tc>
          <w:tcPr>
            <w:tcW w:w="1228" w:type="dxa"/>
            <w:noWrap w:val="0"/>
            <w:vAlign w:val="center"/>
          </w:tcPr>
          <w:p>
            <w:pPr>
              <w:jc w:val="center"/>
              <w:rPr>
                <w:rFonts w:hint="eastAsia"/>
                <w:sz w:val="24"/>
              </w:rPr>
            </w:pPr>
            <w:r>
              <w:rPr>
                <w:rFonts w:hint="eastAsia" w:ascii="SimHei" w:hAnsi="SimHei" w:eastAsia="黑体"/>
                <w:sz w:val="24"/>
              </w:rPr>
              <w:t>0.30</w:t>
            </w:r>
          </w:p>
        </w:tc>
        <w:tc>
          <w:tcPr>
            <w:tcW w:w="1229" w:type="dxa"/>
            <w:noWrap w:val="0"/>
            <w:vAlign w:val="center"/>
          </w:tcPr>
          <w:p>
            <w:pPr>
              <w:jc w:val="center"/>
              <w:rPr>
                <w:rFonts w:hint="eastAsia"/>
                <w:sz w:val="24"/>
              </w:rPr>
            </w:pPr>
            <w:r>
              <w:rPr>
                <w:rFonts w:hint="eastAsia" w:ascii="SimHei" w:hAnsi="SimHei" w:eastAsia="黑体"/>
                <w:sz w:val="24"/>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noWrap w:val="0"/>
            <w:vAlign w:val="center"/>
          </w:tcPr>
          <w:p>
            <w:pPr>
              <w:jc w:val="center"/>
              <w:rPr>
                <w:rFonts w:hint="eastAsia"/>
                <w:sz w:val="24"/>
              </w:rPr>
            </w:pPr>
            <w:r>
              <w:rPr>
                <w:rFonts w:hint="eastAsia" w:ascii="SimHei" w:hAnsi="SimHei" w:eastAsia="黑体"/>
                <w:sz w:val="24"/>
              </w:rPr>
              <w:t>5</w:t>
            </w:r>
          </w:p>
        </w:tc>
        <w:tc>
          <w:tcPr>
            <w:tcW w:w="3600" w:type="dxa"/>
            <w:noWrap w:val="0"/>
            <w:vAlign w:val="center"/>
          </w:tcPr>
          <w:p>
            <w:pPr>
              <w:jc w:val="center"/>
              <w:rPr>
                <w:rFonts w:hint="eastAsia"/>
                <w:sz w:val="24"/>
              </w:rPr>
            </w:pPr>
            <w:r>
              <w:rPr>
                <w:rFonts w:hint="eastAsia" w:ascii="SimHei" w:hAnsi="SimHei" w:eastAsia="黑体"/>
                <w:sz w:val="24"/>
              </w:rPr>
              <w:t>职工平均人数</w:t>
            </w:r>
          </w:p>
        </w:tc>
        <w:tc>
          <w:tcPr>
            <w:tcW w:w="1228" w:type="dxa"/>
            <w:noWrap w:val="0"/>
            <w:vAlign w:val="center"/>
          </w:tcPr>
          <w:p>
            <w:pPr>
              <w:jc w:val="center"/>
              <w:rPr>
                <w:rFonts w:hint="eastAsia"/>
                <w:sz w:val="24"/>
              </w:rPr>
            </w:pPr>
            <w:r>
              <w:rPr>
                <w:rFonts w:hint="eastAsia" w:ascii="SimHei" w:hAnsi="SimHei" w:eastAsia="黑体"/>
                <w:sz w:val="24"/>
              </w:rPr>
              <w:t>0.05</w:t>
            </w:r>
          </w:p>
        </w:tc>
        <w:tc>
          <w:tcPr>
            <w:tcW w:w="1229" w:type="dxa"/>
            <w:noWrap w:val="0"/>
            <w:vAlign w:val="center"/>
          </w:tcPr>
          <w:p>
            <w:pPr>
              <w:jc w:val="center"/>
              <w:rPr>
                <w:rFonts w:hint="eastAsia"/>
                <w:sz w:val="24"/>
              </w:rPr>
            </w:pPr>
            <w:r>
              <w:rPr>
                <w:rFonts w:hint="eastAsia" w:ascii="SimHei" w:hAnsi="SimHei" w:eastAsia="黑体"/>
                <w:sz w:val="24"/>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noWrap w:val="0"/>
            <w:vAlign w:val="center"/>
          </w:tcPr>
          <w:p>
            <w:pPr>
              <w:jc w:val="center"/>
              <w:rPr>
                <w:rFonts w:hint="eastAsia"/>
                <w:sz w:val="24"/>
              </w:rPr>
            </w:pPr>
            <w:r>
              <w:rPr>
                <w:rFonts w:hint="eastAsia" w:ascii="SimHei" w:hAnsi="SimHei" w:eastAsia="黑体"/>
                <w:sz w:val="24"/>
              </w:rPr>
              <w:t>6</w:t>
            </w:r>
          </w:p>
        </w:tc>
        <w:tc>
          <w:tcPr>
            <w:tcW w:w="3600" w:type="dxa"/>
            <w:noWrap w:val="0"/>
            <w:vAlign w:val="center"/>
          </w:tcPr>
          <w:p>
            <w:pPr>
              <w:jc w:val="center"/>
              <w:rPr>
                <w:rFonts w:hint="eastAsia"/>
                <w:sz w:val="24"/>
              </w:rPr>
            </w:pPr>
            <w:r>
              <w:rPr>
                <w:rFonts w:hint="eastAsia" w:ascii="SimHei" w:hAnsi="SimHei" w:eastAsia="黑体"/>
                <w:color w:val="000000"/>
                <w:sz w:val="27"/>
                <w:szCs w:val="27"/>
              </w:rPr>
              <w:t>离退休人员占职工人数比重</w:t>
            </w:r>
          </w:p>
        </w:tc>
        <w:tc>
          <w:tcPr>
            <w:tcW w:w="1228" w:type="dxa"/>
            <w:noWrap w:val="0"/>
            <w:vAlign w:val="center"/>
          </w:tcPr>
          <w:p>
            <w:pPr>
              <w:jc w:val="center"/>
              <w:rPr>
                <w:rFonts w:hint="eastAsia"/>
                <w:sz w:val="24"/>
              </w:rPr>
            </w:pPr>
            <w:r>
              <w:rPr>
                <w:rFonts w:hint="eastAsia" w:ascii="SimHei" w:hAnsi="SimHei" w:eastAsia="黑体"/>
                <w:sz w:val="24"/>
              </w:rPr>
              <w:t>0.05</w:t>
            </w:r>
          </w:p>
        </w:tc>
        <w:tc>
          <w:tcPr>
            <w:tcW w:w="1229" w:type="dxa"/>
            <w:noWrap w:val="0"/>
            <w:vAlign w:val="center"/>
          </w:tcPr>
          <w:p>
            <w:pPr>
              <w:jc w:val="center"/>
              <w:rPr>
                <w:rFonts w:hint="eastAsia"/>
                <w:sz w:val="24"/>
              </w:rPr>
            </w:pPr>
            <w:r>
              <w:rPr>
                <w:rFonts w:hint="eastAsia" w:ascii="SimHei" w:hAnsi="SimHei" w:eastAsia="黑体"/>
                <w:sz w:val="24"/>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39" w:type="dxa"/>
            <w:gridSpan w:val="2"/>
            <w:noWrap w:val="0"/>
            <w:vAlign w:val="center"/>
          </w:tcPr>
          <w:p>
            <w:pPr>
              <w:jc w:val="center"/>
              <w:rPr>
                <w:rFonts w:hint="eastAsia"/>
                <w:sz w:val="24"/>
              </w:rPr>
            </w:pPr>
            <w:r>
              <w:rPr>
                <w:rFonts w:hint="eastAsia" w:ascii="SimHei" w:hAnsi="SimHei" w:eastAsia="黑体"/>
                <w:sz w:val="24"/>
              </w:rPr>
              <w:t>合计</w:t>
            </w:r>
          </w:p>
        </w:tc>
        <w:tc>
          <w:tcPr>
            <w:tcW w:w="1228" w:type="dxa"/>
            <w:noWrap w:val="0"/>
            <w:vAlign w:val="center"/>
          </w:tcPr>
          <w:p>
            <w:pPr>
              <w:jc w:val="center"/>
              <w:rPr>
                <w:rFonts w:hint="eastAsia"/>
                <w:sz w:val="24"/>
              </w:rPr>
            </w:pPr>
            <w:r>
              <w:rPr>
                <w:rFonts w:hint="eastAsia" w:ascii="SimHei" w:hAnsi="SimHei" w:eastAsia="黑体"/>
                <w:sz w:val="24"/>
              </w:rPr>
              <w:t>1.00</w:t>
            </w:r>
          </w:p>
        </w:tc>
        <w:tc>
          <w:tcPr>
            <w:tcW w:w="1229" w:type="dxa"/>
            <w:noWrap w:val="0"/>
            <w:vAlign w:val="center"/>
          </w:tcPr>
          <w:p>
            <w:pPr>
              <w:jc w:val="center"/>
              <w:rPr>
                <w:rFonts w:hint="eastAsia"/>
                <w:sz w:val="24"/>
              </w:rPr>
            </w:pPr>
            <w:r>
              <w:rPr>
                <w:rFonts w:hint="eastAsia" w:ascii="SimHei" w:hAnsi="SimHei" w:eastAsia="黑体"/>
                <w:sz w:val="24"/>
              </w:rPr>
              <w:t>1000</w:t>
            </w:r>
          </w:p>
        </w:tc>
      </w:tr>
    </w:tbl>
    <w:p>
      <w:pPr>
        <w:numPr>
          <w:ilvl w:val="0"/>
          <w:numId w:val="5"/>
        </w:numPr>
        <w:spacing w:line="360" w:lineRule="auto"/>
        <w:rPr>
          <w:rFonts w:hint="eastAsia"/>
          <w:sz w:val="24"/>
        </w:rPr>
      </w:pPr>
      <w:r>
        <w:rPr>
          <w:rFonts w:hint="eastAsia" w:ascii="SimHei" w:hAnsi="SimHei" w:eastAsia="黑体"/>
          <w:sz w:val="24"/>
        </w:rPr>
        <w:t>指标说明</w:t>
      </w:r>
    </w:p>
    <w:p>
      <w:pPr>
        <w:spacing w:line="360" w:lineRule="auto"/>
        <w:ind w:firstLine="480" w:firstLineChars="200"/>
        <w:rPr>
          <w:rFonts w:hint="eastAsia"/>
          <w:sz w:val="24"/>
        </w:rPr>
      </w:pPr>
      <w:r>
        <w:rPr>
          <w:rFonts w:hint="eastAsia" w:ascii="SimHei" w:hAnsi="SimHei" w:eastAsia="黑体"/>
          <w:sz w:val="24"/>
        </w:rPr>
        <w:t>总资产：上年资产负债表中的期末资产总额</w:t>
      </w:r>
    </w:p>
    <w:p>
      <w:pPr>
        <w:spacing w:line="360" w:lineRule="auto"/>
        <w:ind w:firstLine="480" w:firstLineChars="200"/>
        <w:rPr>
          <w:rFonts w:hint="eastAsia"/>
          <w:sz w:val="24"/>
        </w:rPr>
      </w:pPr>
      <w:r>
        <w:rPr>
          <w:rFonts w:hint="eastAsia" w:ascii="SimHei" w:hAnsi="SimHei" w:eastAsia="黑体"/>
          <w:sz w:val="24"/>
        </w:rPr>
        <w:t>净资产：上年资产负债表中期末净资产额</w:t>
      </w:r>
    </w:p>
    <w:p>
      <w:pPr>
        <w:spacing w:line="360" w:lineRule="auto"/>
        <w:ind w:firstLine="480" w:firstLineChars="200"/>
        <w:rPr>
          <w:rFonts w:hint="eastAsia"/>
          <w:sz w:val="24"/>
        </w:rPr>
      </w:pPr>
      <w:r>
        <w:rPr>
          <w:rFonts w:hint="eastAsia" w:ascii="SimHei" w:hAnsi="SimHei" w:eastAsia="黑体"/>
          <w:sz w:val="24"/>
        </w:rPr>
        <w:t>主营业务收入总额：上年损益表中的主营业务收入总额</w:t>
      </w:r>
    </w:p>
    <w:p>
      <w:pPr>
        <w:spacing w:line="360" w:lineRule="auto"/>
        <w:ind w:firstLine="480" w:firstLineChars="200"/>
        <w:rPr>
          <w:rFonts w:hint="eastAsia"/>
          <w:sz w:val="24"/>
        </w:rPr>
      </w:pPr>
      <w:r>
        <w:rPr>
          <w:rFonts w:hint="eastAsia" w:ascii="SimHei" w:hAnsi="SimHei" w:eastAsia="黑体"/>
          <w:sz w:val="24"/>
        </w:rPr>
        <w:t>利润总额：上年损益表中的税前利润总额。</w:t>
      </w:r>
    </w:p>
    <w:p>
      <w:pPr>
        <w:spacing w:line="360" w:lineRule="auto"/>
        <w:ind w:firstLine="480" w:firstLineChars="200"/>
        <w:rPr>
          <w:rFonts w:hint="eastAsia"/>
          <w:sz w:val="24"/>
        </w:rPr>
      </w:pPr>
      <w:r>
        <w:rPr>
          <w:rFonts w:hint="eastAsia" w:ascii="SimHei" w:hAnsi="SimHei" w:eastAsia="黑体"/>
          <w:sz w:val="24"/>
        </w:rPr>
        <w:t>职工平均人数：上年平均在册职工人数，对于在上一年中离开公司或新进入公司者，按月折算。</w:t>
      </w:r>
    </w:p>
    <w:p>
      <w:pPr>
        <w:spacing w:line="360" w:lineRule="auto"/>
        <w:ind w:firstLine="480" w:firstLineChars="200"/>
        <w:rPr>
          <w:rFonts w:hint="eastAsia"/>
          <w:sz w:val="24"/>
        </w:rPr>
      </w:pPr>
      <w:r>
        <w:rPr>
          <w:rFonts w:hint="eastAsia" w:ascii="SimHei" w:hAnsi="SimHei" w:eastAsia="黑体"/>
          <w:sz w:val="24"/>
        </w:rPr>
        <w:t>离退休人员人数：上年平均离退休人员人数，对于在上一年中新增或减少离退休人员，按月折算。</w:t>
      </w:r>
    </w:p>
    <w:p>
      <w:pPr>
        <w:numPr>
          <w:ilvl w:val="0"/>
          <w:numId w:val="5"/>
        </w:numPr>
        <w:spacing w:line="360" w:lineRule="auto"/>
        <w:rPr>
          <w:rFonts w:hint="eastAsia"/>
          <w:sz w:val="24"/>
        </w:rPr>
      </w:pPr>
      <w:r>
        <w:rPr>
          <w:rFonts w:hint="eastAsia" w:ascii="SimHei" w:hAnsi="SimHei" w:eastAsia="黑体"/>
          <w:sz w:val="24"/>
        </w:rPr>
        <w:t>计分办法</w:t>
      </w:r>
    </w:p>
    <w:p>
      <w:pPr>
        <w:numPr>
          <w:ilvl w:val="0"/>
          <w:numId w:val="6"/>
        </w:numPr>
        <w:spacing w:line="360" w:lineRule="auto"/>
        <w:rPr>
          <w:rFonts w:hint="eastAsia"/>
          <w:sz w:val="24"/>
        </w:rPr>
      </w:pPr>
      <w:r>
        <w:rPr>
          <w:rFonts w:hint="eastAsia" w:ascii="SimHei" w:hAnsi="SimHei" w:eastAsia="黑体"/>
          <w:sz w:val="24"/>
        </w:rPr>
        <w:t>企业各项指标得分</w:t>
      </w:r>
    </w:p>
    <w:p>
      <w:pPr>
        <w:spacing w:line="360" w:lineRule="auto"/>
        <w:ind w:firstLine="480" w:firstLineChars="200"/>
        <w:rPr>
          <w:rFonts w:hint="eastAsia"/>
          <w:sz w:val="24"/>
        </w:rPr>
      </w:pPr>
      <w:r>
        <w:rPr>
          <w:rFonts w:hint="eastAsia" w:ascii="SimHei" w:hAnsi="SimHei" w:eastAsia="黑体"/>
          <w:sz w:val="24"/>
        </w:rPr>
        <w:t>位于山东省国资委考核范围内的所有企业的平均值（见下面说明①）以下的指标计分公式：</w:t>
      </w:r>
    </w:p>
    <w:p>
      <w:pPr>
        <w:spacing w:line="360" w:lineRule="auto"/>
        <w:ind w:firstLine="480" w:firstLineChars="200"/>
        <w:rPr>
          <w:rFonts w:hint="eastAsia"/>
          <w:sz w:val="24"/>
        </w:rPr>
      </w:pPr>
      <w:r>
        <w:rPr>
          <w:rFonts w:hint="eastAsia" w:ascii="SimHei" w:hAnsi="SimHei" w:eastAsia="黑体"/>
          <w:sz w:val="24"/>
        </w:rPr>
        <w:t>企业某项指标得分＝（某项指标值／该项指标平均值）×0.6×权重×1000</w:t>
      </w:r>
    </w:p>
    <w:p>
      <w:pPr>
        <w:spacing w:line="360" w:lineRule="auto"/>
        <w:ind w:firstLine="480" w:firstLineChars="200"/>
        <w:rPr>
          <w:rFonts w:hint="eastAsia"/>
          <w:sz w:val="24"/>
        </w:rPr>
      </w:pPr>
      <w:r>
        <w:rPr>
          <w:rFonts w:hint="eastAsia" w:ascii="SimHei" w:hAnsi="SimHei" w:eastAsia="黑体"/>
          <w:sz w:val="24"/>
        </w:rPr>
        <w:t>位于省国资委考核范围内的企业的平均值及其以上的指标计分公式：</w:t>
      </w:r>
    </w:p>
    <w:p>
      <w:pPr>
        <w:spacing w:line="360" w:lineRule="auto"/>
        <w:ind w:firstLine="480" w:firstLineChars="200"/>
        <w:rPr>
          <w:rFonts w:hint="eastAsia"/>
          <w:sz w:val="24"/>
        </w:rPr>
      </w:pPr>
      <w:r>
        <w:rPr>
          <w:rFonts w:hint="eastAsia" w:ascii="SimHei" w:hAnsi="SimHei" w:eastAsia="黑体"/>
          <w:sz w:val="24"/>
        </w:rPr>
        <w:t>企业某项指标得分＝{[（某项指标</w:t>
      </w:r>
      <w:r>
        <w:rPr>
          <w:rFonts w:hint="eastAsia" w:ascii="SimHei" w:hAnsi="SimHei" w:eastAsia="黑体"/>
          <w:sz w:val="24"/>
        </w:rPr>
        <w:t>值－</w:t>
      </w:r>
      <w:r>
        <w:rPr>
          <w:rFonts w:hint="eastAsia" w:ascii="SimHei" w:hAnsi="SimHei" w:eastAsia="黑体"/>
          <w:sz w:val="24"/>
        </w:rPr>
        <w:t>平均值）／（某项指标最大</w:t>
      </w:r>
      <w:r>
        <w:rPr>
          <w:rFonts w:hint="eastAsia" w:ascii="SimHei" w:hAnsi="SimHei" w:eastAsia="黑体"/>
          <w:sz w:val="24"/>
        </w:rPr>
        <w:t>值－</w:t>
      </w:r>
      <w:r>
        <w:rPr>
          <w:rFonts w:hint="eastAsia" w:ascii="SimHei" w:hAnsi="SimHei" w:eastAsia="黑体"/>
          <w:sz w:val="24"/>
        </w:rPr>
        <w:t>平均值）] ×0.</w:t>
      </w:r>
      <w:r>
        <w:rPr>
          <w:rFonts w:hint="eastAsia" w:ascii="SimHei" w:hAnsi="SimHei" w:eastAsia="黑体"/>
          <w:sz w:val="24"/>
        </w:rPr>
        <w:t>4＋</w:t>
      </w:r>
      <w:r>
        <w:rPr>
          <w:rFonts w:hint="eastAsia" w:ascii="SimHei" w:hAnsi="SimHei" w:eastAsia="黑体"/>
          <w:sz w:val="24"/>
        </w:rPr>
        <w:t>0.6</w:t>
      </w:r>
      <w:r>
        <w:rPr>
          <w:rFonts w:hint="eastAsia" w:ascii="SimHei" w:hAnsi="SimHei" w:eastAsia="黑体"/>
          <w:sz w:val="24"/>
        </w:rPr>
        <w:t>}</w:t>
      </w:r>
      <w:r>
        <w:rPr>
          <w:rFonts w:hint="eastAsia" w:ascii="SimHei" w:hAnsi="SimHei" w:eastAsia="黑体"/>
          <w:sz w:val="24"/>
        </w:rPr>
        <w:t>×权重×1000</w:t>
      </w:r>
    </w:p>
    <w:p>
      <w:pPr>
        <w:numPr>
          <w:ilvl w:val="0"/>
          <w:numId w:val="6"/>
        </w:numPr>
        <w:spacing w:line="360" w:lineRule="auto"/>
        <w:rPr>
          <w:rFonts w:hint="eastAsia"/>
          <w:sz w:val="24"/>
        </w:rPr>
      </w:pPr>
      <w:r>
        <w:rPr>
          <w:rFonts w:hint="eastAsia" w:ascii="SimHei" w:hAnsi="SimHei" w:eastAsia="黑体"/>
          <w:sz w:val="24"/>
        </w:rPr>
        <w:t>企业得分</w:t>
      </w:r>
    </w:p>
    <w:p>
      <w:pPr>
        <w:spacing w:line="360" w:lineRule="auto"/>
        <w:ind w:left="480"/>
        <w:rPr>
          <w:rFonts w:hint="eastAsia"/>
          <w:sz w:val="24"/>
        </w:rPr>
      </w:pPr>
      <w:r>
        <w:rPr>
          <w:rFonts w:hint="eastAsia" w:ascii="SimHei" w:hAnsi="SimHei" w:eastAsia="黑体"/>
          <w:sz w:val="24"/>
        </w:rPr>
        <w:t>企业得分＝∑企业某项指标得分</w:t>
      </w:r>
    </w:p>
    <w:p>
      <w:pPr>
        <w:spacing w:line="360" w:lineRule="auto"/>
        <w:ind w:left="480"/>
        <w:rPr>
          <w:rFonts w:hint="eastAsia"/>
          <w:sz w:val="24"/>
        </w:rPr>
      </w:pPr>
      <w:r>
        <w:rPr>
          <w:rFonts w:hint="eastAsia" w:ascii="SimHei" w:hAnsi="SimHei" w:eastAsia="黑体"/>
          <w:sz w:val="24"/>
        </w:rPr>
        <w:t>说明：</w:t>
      </w:r>
    </w:p>
    <w:p>
      <w:pPr>
        <w:numPr>
          <w:ilvl w:val="0"/>
          <w:numId w:val="7"/>
        </w:numPr>
        <w:spacing w:line="360" w:lineRule="auto"/>
        <w:rPr>
          <w:rFonts w:hint="eastAsia"/>
          <w:sz w:val="24"/>
        </w:rPr>
      </w:pPr>
      <w:r>
        <w:rPr>
          <w:rFonts w:hint="eastAsia" w:ascii="SimHei" w:hAnsi="SimHei" w:eastAsia="黑体"/>
          <w:sz w:val="24"/>
        </w:rPr>
        <w:t>该项指标平均值指山东省国资委考核范围内企业该项指标的平均值。</w:t>
      </w:r>
    </w:p>
    <w:p>
      <w:pPr>
        <w:numPr>
          <w:ilvl w:val="0"/>
          <w:numId w:val="7"/>
        </w:numPr>
        <w:spacing w:line="360" w:lineRule="auto"/>
        <w:rPr>
          <w:rFonts w:hint="eastAsia"/>
          <w:sz w:val="24"/>
        </w:rPr>
      </w:pPr>
      <w:r>
        <w:rPr>
          <w:rFonts w:hint="eastAsia" w:ascii="SimHei" w:hAnsi="SimHei" w:eastAsia="黑体"/>
          <w:sz w:val="24"/>
        </w:rPr>
        <w:t>企业某项指标为负值时，该项得分为0分。</w:t>
      </w:r>
      <w:bookmarkEnd w:id="19"/>
      <w:bookmarkEnd w:id="20"/>
      <w:bookmarkEnd w:id="21"/>
    </w:p>
    <w:sectPr>
      <w:headerReference r:id="rId3" w:type="default"/>
      <w:footerReference r:id="rId4" w:type="default"/>
      <w:pgSz w:w="11906" w:h="16838"/>
      <w:pgMar w:top="1440" w:right="1644" w:bottom="1440" w:left="164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Style w:val="10"/>
      </w:rPr>
      <w:fldChar w:fldCharType="begin"/>
    </w:r>
    <w:r>
      <w:rPr>
        <w:rStyle w:val="10"/>
      </w:rPr>
      <w:instrText xml:space="preserve"> PAGE </w:instrText>
    </w:r>
    <w:r>
      <w:rPr>
        <w:rStyle w:val="10"/>
      </w:rPr>
      <w:fldChar w:fldCharType="separate"/>
    </w:r>
    <w:r>
      <w:rPr>
        <w:rStyle w:val="10"/>
      </w:rPr>
      <w:t>20</w:t>
    </w:r>
    <w:r>
      <w:rPr>
        <w:rStyle w:val="1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C4195F"/>
    <w:multiLevelType w:val="multilevel"/>
    <w:tmpl w:val="19C4195F"/>
    <w:lvl w:ilvl="0" w:tentative="0">
      <w:start w:val="1"/>
      <w:numFmt w:val="japaneseCounting"/>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1F6F1742"/>
    <w:multiLevelType w:val="multilevel"/>
    <w:tmpl w:val="1F6F1742"/>
    <w:lvl w:ilvl="0" w:tentative="0">
      <w:start w:val="1"/>
      <w:numFmt w:val="decimal"/>
      <w:lvlText w:val="%1、"/>
      <w:lvlJc w:val="left"/>
      <w:pPr>
        <w:tabs>
          <w:tab w:val="left" w:pos="851"/>
        </w:tabs>
        <w:ind w:left="851" w:hanging="426"/>
      </w:pPr>
      <w:rPr>
        <w:rFonts w:hint="eastAsia"/>
      </w:rPr>
    </w:lvl>
    <w:lvl w:ilvl="1" w:tentative="0">
      <w:start w:val="1"/>
      <w:numFmt w:val="lowerLetter"/>
      <w:lvlText w:val="%2)"/>
      <w:lvlJc w:val="left"/>
      <w:pPr>
        <w:tabs>
          <w:tab w:val="left" w:pos="1265"/>
        </w:tabs>
        <w:ind w:left="1265" w:hanging="420"/>
      </w:p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2">
    <w:nsid w:val="2998634C"/>
    <w:multiLevelType w:val="multilevel"/>
    <w:tmpl w:val="2998634C"/>
    <w:lvl w:ilvl="0" w:tentative="0">
      <w:start w:val="1"/>
      <w:numFmt w:val="japaneseCounting"/>
      <w:lvlText w:val="（%1）"/>
      <w:lvlJc w:val="left"/>
      <w:pPr>
        <w:tabs>
          <w:tab w:val="left" w:pos="1350"/>
        </w:tabs>
        <w:ind w:left="1350" w:hanging="81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3">
    <w:nsid w:val="392B5E8A"/>
    <w:multiLevelType w:val="multilevel"/>
    <w:tmpl w:val="392B5E8A"/>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5E105B09"/>
    <w:multiLevelType w:val="multilevel"/>
    <w:tmpl w:val="5E105B09"/>
    <w:lvl w:ilvl="0" w:tentative="0">
      <w:start w:val="1"/>
      <w:numFmt w:val="decimalEnclosedCircle"/>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69331D77"/>
    <w:multiLevelType w:val="multilevel"/>
    <w:tmpl w:val="69331D77"/>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788C6142"/>
    <w:multiLevelType w:val="multilevel"/>
    <w:tmpl w:val="788C6142"/>
    <w:lvl w:ilvl="0" w:tentative="0">
      <w:start w:val="1"/>
      <w:numFmt w:val="chineseCountingThousand"/>
      <w:lvlText w:val="第%1条 "/>
      <w:lvlJc w:val="left"/>
      <w:pPr>
        <w:tabs>
          <w:tab w:val="left" w:pos="1287"/>
        </w:tabs>
        <w:ind w:left="0" w:firstLine="567"/>
      </w:pPr>
      <w:rPr>
        <w:rFonts w:hint="eastAsia"/>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1"/>
  </w:num>
  <w:num w:numId="3">
    <w:abstractNumId w:val="2"/>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487D3D"/>
    <w:rsid w:val="00054636"/>
    <w:rsid w:val="005B3290"/>
    <w:rsid w:val="009331F3"/>
    <w:rsid w:val="009D441D"/>
    <w:rsid w:val="00B90D6F"/>
    <w:rsid w:val="00C723A7"/>
    <w:rsid w:val="3F4B079B"/>
    <w:rsid w:val="66487D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keepNext/>
      <w:keepLines/>
      <w:spacing w:before="0" w:after="312" w:afterLines="100"/>
    </w:pPr>
    <w:rPr>
      <w:rFonts w:ascii="Times New Roman" w:hAnsi="Times New Roman"/>
      <w:bCs w:val="0"/>
      <w:kern w:val="44"/>
      <w:sz w:val="28"/>
      <w:szCs w:val="44"/>
    </w:rPr>
  </w:style>
  <w:style w:type="character" w:default="1" w:styleId="9">
    <w:name w:val="Default Paragraph Font"/>
    <w:semiHidden/>
    <w:qFormat/>
    <w:uiPriority w:val="0"/>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0"/>
    <w:pPr>
      <w:spacing w:before="240" w:after="60"/>
      <w:jc w:val="center"/>
      <w:outlineLvl w:val="0"/>
    </w:pPr>
    <w:rPr>
      <w:rFonts w:ascii="Arial" w:hAnsi="Arial" w:cs="Arial"/>
      <w:b/>
      <w:bCs/>
      <w:sz w:val="32"/>
      <w:szCs w:val="32"/>
    </w:rPr>
  </w:style>
  <w:style w:type="paragraph" w:styleId="4">
    <w:name w:val="footer"/>
    <w:basedOn w:val="1"/>
    <w:semiHidden/>
    <w:uiPriority w:val="0"/>
    <w:pPr>
      <w:tabs>
        <w:tab w:val="center" w:pos="4153"/>
        <w:tab w:val="right" w:pos="8306"/>
      </w:tabs>
      <w:snapToGrid w:val="0"/>
      <w:jc w:val="left"/>
    </w:pPr>
    <w:rPr>
      <w:sz w:val="18"/>
      <w:szCs w:val="18"/>
    </w:rPr>
  </w:style>
  <w:style w:type="paragraph" w:styleId="5">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qFormat/>
    <w:uiPriority w:val="0"/>
    <w:pPr>
      <w:spacing w:line="360" w:lineRule="auto"/>
    </w:pPr>
    <w:rPr>
      <w:szCs w:val="20"/>
    </w:rPr>
  </w:style>
  <w:style w:type="paragraph" w:styleId="7">
    <w:name w:val="Normal (Web)"/>
    <w:basedOn w:val="1"/>
    <w:semiHidden/>
    <w:qFormat/>
    <w:uiPriority w:val="0"/>
    <w:pPr>
      <w:widowControl/>
      <w:spacing w:before="100" w:beforeAutospacing="1" w:after="100" w:afterAutospacing="1"/>
      <w:jc w:val="left"/>
    </w:pPr>
    <w:rPr>
      <w:rFonts w:ascii="宋体" w:hAnsi="宋体"/>
      <w:kern w:val="0"/>
      <w:sz w:val="24"/>
    </w:rPr>
  </w:style>
  <w:style w:type="character" w:styleId="10">
    <w:name w:val="page number"/>
    <w:basedOn w:val="9"/>
    <w:semiHidden/>
    <w:qFormat/>
    <w:uiPriority w:val="0"/>
  </w:style>
  <w:style w:type="character" w:styleId="11">
    <w:name w:val="Hyperlink"/>
    <w:semiHidden/>
    <w:qFormat/>
    <w:uiPriority w:val="0"/>
    <w:rPr>
      <w:color w:val="0000FF"/>
      <w:u w:val="single"/>
    </w:rPr>
  </w:style>
  <w:style w:type="paragraph" w:customStyle="1" w:styleId="12">
    <w:name w:val="b1"/>
    <w:basedOn w:val="1"/>
    <w:qFormat/>
    <w:uiPriority w:val="0"/>
    <w:pPr>
      <w:jc w:val="center"/>
    </w:pPr>
    <w:rPr>
      <w:rFonts w:ascii="宋体" w:hAnsi="宋体"/>
      <w:b/>
      <w:color w:val="00000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5\AppData\Roaming\kingsoft\office6\templates\download\0f2d4045-62cc-4732-b5f2-d6eefcce2759\&#39640;&#31649;&#24180;&#34218;&#21046;&#31649;&#29702;&#26041;&#26696;.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高管年薪制管理方案.doc.docx</Template>
  <Pages>20</Pages>
  <Words>6782</Words>
  <Characters>7032</Characters>
  <Lines>58</Lines>
  <Paragraphs>16</Paragraphs>
  <TotalTime>0</TotalTime>
  <ScaleCrop>false</ScaleCrop>
  <LinksUpToDate>false</LinksUpToDate>
  <CharactersWithSpaces>7067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2022-07-26T07:01:00Z</dcterms:created>
  <dc:creator>宰回吻椿牟</dc:creator>
  <cp:lastModifiedBy>宰回吻椿牟</cp:lastModifiedBy>
  <dcterms:modified xsi:type="dcterms:W3CDTF">2022-07-26T07:01:41Z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KSOTemplateUUID">
    <vt:lpwstr>v1.0_mb_CsxIHKAmgkWc1eg/qqPzDA==</vt:lpwstr>
  </property>
  <property fmtid="{D5CDD505-2E9C-101B-9397-08002B2CF9AE}" pid="4" name="ICV">
    <vt:lpwstr>B1D9572AB264450FAB22CF118E7A4798</vt:lpwstr>
  </property>
</Properties>
</file>