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Arial"/>
          <w:color w:val="000000"/>
          <w:sz w:val="24"/>
        </w:rPr>
      </w:pPr>
      <w:r>
        <w:rPr>
          <w:rFonts w:ascii="SimHei" w:hAnsi="SimHei" w:cs="宋体" w:eastAsia="黑体"/>
          <w:color w:val="000000"/>
          <w:sz w:val="36"/>
        </w:rPr>
        <w:t>增值税合理避税要点与方法</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通过税制改革，增值税已经成为国税的第一大税，也是我国财政收入的主要来源。根据增值税的优惠政策和法律条文，增值税的避税要点主要有以下几个方面。</w:t>
      </w:r>
    </w:p>
    <w:p>
      <w:pPr>
        <w:pStyle w:val="Normal"/>
        <w:widowControl/>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根据增值税条例规定的基本税率和低税率的差别，利用基本税率的项目与低税率项目混合，以低税率来避税</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增值税条例规定仅有</w:t>
      </w:r>
      <w:r>
        <w:rPr>
          <w:rFonts w:eastAsia="黑体" w:cs="Arial" w:ascii="SimHei" w:hAnsi="SimHei"/>
          <w:color w:val="000000"/>
          <w:kern w:val="0"/>
          <w:sz w:val="24"/>
          <w:szCs w:val="21"/>
        </w:rPr>
        <w:t>5</w:t>
      </w:r>
      <w:r>
        <w:rPr>
          <w:rFonts w:ascii="SimHei" w:hAnsi="SimHei" w:cs="Arial" w:eastAsia="黑体"/>
          <w:color w:val="000000"/>
          <w:kern w:val="0"/>
          <w:sz w:val="24"/>
          <w:szCs w:val="21"/>
        </w:rPr>
        <w:t>类货物可以享受低档税率，而避税者则是千方百计地将其他货物混入这</w:t>
      </w:r>
      <w:r>
        <w:rPr>
          <w:rFonts w:eastAsia="黑体" w:cs="Arial" w:ascii="SimHei" w:hAnsi="SimHei"/>
          <w:color w:val="000000"/>
          <w:kern w:val="0"/>
          <w:sz w:val="24"/>
          <w:szCs w:val="21"/>
        </w:rPr>
        <w:t>5</w:t>
      </w:r>
      <w:r>
        <w:rPr>
          <w:rFonts w:ascii="SimHei" w:hAnsi="SimHei" w:cs="Arial" w:eastAsia="黑体"/>
          <w:color w:val="000000"/>
          <w:kern w:val="0"/>
          <w:sz w:val="24"/>
          <w:szCs w:val="21"/>
        </w:rPr>
        <w:t>类之内。其所应用的手段一方面在于根据税收法规对这</w:t>
      </w:r>
      <w:r>
        <w:rPr>
          <w:rFonts w:eastAsia="黑体" w:cs="Arial" w:ascii="SimHei" w:hAnsi="SimHei"/>
          <w:color w:val="000000"/>
          <w:kern w:val="0"/>
          <w:sz w:val="24"/>
          <w:szCs w:val="21"/>
        </w:rPr>
        <w:t>5</w:t>
      </w:r>
      <w:r>
        <w:rPr>
          <w:rFonts w:ascii="SimHei" w:hAnsi="SimHei" w:cs="Arial" w:eastAsia="黑体"/>
          <w:color w:val="000000"/>
          <w:kern w:val="0"/>
          <w:sz w:val="24"/>
          <w:szCs w:val="21"/>
        </w:rPr>
        <w:t>类货物的界定上的缺陷或疏忽，例如这</w:t>
      </w:r>
      <w:r>
        <w:rPr>
          <w:rFonts w:eastAsia="黑体" w:cs="Arial" w:ascii="SimHei" w:hAnsi="SimHei"/>
          <w:color w:val="000000"/>
          <w:kern w:val="0"/>
          <w:sz w:val="24"/>
          <w:szCs w:val="21"/>
        </w:rPr>
        <w:t>5</w:t>
      </w:r>
      <w:r>
        <w:rPr>
          <w:rFonts w:ascii="SimHei" w:hAnsi="SimHei" w:cs="Arial" w:eastAsia="黑体"/>
          <w:color w:val="000000"/>
          <w:kern w:val="0"/>
          <w:sz w:val="24"/>
          <w:szCs w:val="21"/>
        </w:rPr>
        <w:t>类货物中有农机和农用物品这一类，规定适用</w:t>
      </w:r>
      <w:r>
        <w:rPr>
          <w:rFonts w:eastAsia="黑体" w:cs="Arial" w:ascii="SimHei" w:hAnsi="SimHei"/>
          <w:color w:val="000000"/>
          <w:kern w:val="0"/>
          <w:sz w:val="24"/>
          <w:szCs w:val="21"/>
        </w:rPr>
        <w:t>13%</w:t>
      </w:r>
      <w:r>
        <w:rPr>
          <w:rFonts w:ascii="SimHei" w:hAnsi="SimHei" w:cs="Arial" w:eastAsia="黑体"/>
          <w:color w:val="000000"/>
          <w:kern w:val="0"/>
          <w:sz w:val="24"/>
          <w:szCs w:val="21"/>
        </w:rPr>
        <w:t>税率的农机是指农机整机，而农机零部件则不属于“农机”的征收范围，而一些生产农机的企业也许既生产农机整机也销售农机零部件，而且可以把一些小农机装配成功能效用更大的农机，在实际生活中往往很难区分哪些是销售整机的收入，哪些是销售部件的收入，而且是否因为一些小农机可以装配成更大的农机而认为这些小农机是属于</w:t>
      </w:r>
      <w:r>
        <w:rPr>
          <w:rFonts w:eastAsia="黑体" w:cs="Arial" w:ascii="SimHei" w:hAnsi="SimHei"/>
          <w:color w:val="000000"/>
          <w:kern w:val="0"/>
          <w:sz w:val="24"/>
          <w:szCs w:val="21"/>
        </w:rPr>
        <w:t>17%</w:t>
      </w:r>
      <w:r>
        <w:rPr>
          <w:rFonts w:ascii="SimHei" w:hAnsi="SimHei" w:cs="Arial" w:eastAsia="黑体"/>
          <w:color w:val="000000"/>
          <w:kern w:val="0"/>
          <w:sz w:val="24"/>
          <w:szCs w:val="21"/>
        </w:rPr>
        <w:t>税率的“零部件”，恐怕这都很难界定。所以企业就往往利用这些法规规定上的模糊概念来逃避较高的税收。这就要求税务主管部门在法规的界定上应该准确严密，从而防止避税。另一方面，企业利用税率差异避税的手段还在于人为地混合高、低税商品，与前一种手段相比，这种手段就显得更加赤裸和恶劣。例如，法规明文规定农用汽车、机动渔船不属于“农机”的范畴，但一些企业就偏偏通过各种虚假手段将它们混入“农机”，按</w:t>
      </w:r>
      <w:r>
        <w:rPr>
          <w:rFonts w:eastAsia="黑体" w:cs="Arial" w:ascii="SimHei" w:hAnsi="SimHei"/>
          <w:color w:val="000000"/>
          <w:kern w:val="0"/>
          <w:sz w:val="24"/>
          <w:szCs w:val="21"/>
        </w:rPr>
        <w:t>13%</w:t>
      </w:r>
      <w:r>
        <w:rPr>
          <w:rFonts w:ascii="SimHei" w:hAnsi="SimHei" w:cs="Arial" w:eastAsia="黑体"/>
          <w:color w:val="000000"/>
          <w:kern w:val="0"/>
          <w:sz w:val="24"/>
          <w:szCs w:val="21"/>
        </w:rPr>
        <w:t>税率纳税。对于这类避税的反避税，税务机关就应该着重在查证上下功夫了。</w:t>
      </w:r>
    </w:p>
    <w:p>
      <w:pPr>
        <w:pStyle w:val="Normal"/>
        <w:widowControl/>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通过挂靠几种免征增值税项目来达到避税的目的</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新增值税条例规定了几类免征增值税项目，于是一些企业就以各种方式挂靠在这几个项目名下，利用免税项目，进行有效的避税活动。</w:t>
      </w:r>
    </w:p>
    <w:p>
      <w:pPr>
        <w:pStyle w:val="Normal"/>
        <w:widowControl/>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利用采购农产品享有</w:t>
      </w:r>
      <w:r>
        <w:rPr>
          <w:rFonts w:eastAsia="黑体" w:cs="Arial" w:ascii="SimHei" w:hAnsi="SimHei"/>
          <w:color w:val="000000"/>
          <w:kern w:val="0"/>
          <w:sz w:val="24"/>
          <w:szCs w:val="21"/>
        </w:rPr>
        <w:t>10%</w:t>
      </w:r>
      <w:r>
        <w:rPr>
          <w:rFonts w:ascii="SimHei" w:hAnsi="SimHei" w:cs="Arial" w:eastAsia="黑体"/>
          <w:color w:val="000000"/>
          <w:kern w:val="0"/>
          <w:sz w:val="24"/>
          <w:szCs w:val="21"/>
        </w:rPr>
        <w:t>的扣除条款来避税</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这方面，往往避税额比较大，特别是直接从农民手里收购的农产品，因为这部分商品与农民有关。由于我国长期以来商品经济不发达，农产品商品化程度低，导致农产品买卖的结算制度、付款制度以及票证管理极不健全，这给企业避税带来很多机会。如企业可扩大购人农产品的收购额，从而扩大了扣除税额，甚至虚减利润，影响所得税的征收。</w:t>
      </w:r>
    </w:p>
    <w:p>
      <w:pPr>
        <w:pStyle w:val="Normal"/>
        <w:widowControl/>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利用一般纳税人和小规模纳税人的区别来避税</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由于一般纳税人和小规模纳税人税款计算是不同的，而且在这两种计算方法中也许一种对纳税人来说特别有利，于是就有可能将一般纳税人故意降格为小规模纳税人，或者有条件成为一般纳税人的故意不作一般纳税人认定以便于避税。当然也有可能本不符合一般纳税人条件的企业通过各种手段以便被认定为一般纳税人，从而达到少纳税款的经济目的。</w:t>
      </w:r>
    </w:p>
    <w:p>
      <w:pPr>
        <w:pStyle w:val="Normal"/>
        <w:widowControl/>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利用增值税发票避税</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由于新增值税按增值税专用发票所注明的增值税款来扣除进项税额，所以从某种意义上说，增值税票几乎已取得了与人民币同样的效能。企业为了尽可能地增加进项税额，就在专用发票上打主意。比如有两项交易，一项可以开专用发票但价格较高，但另一则不能开具专用发票但价格很便宜。企业在权衡收益以后，也许就更乐意选择前者，因为可扣的进项税额远大于价格的差异。为扩大进项税额，有的纳税人甚至不惜利用假发票或涂改发票来达到逃税目的。增值税专用发票的使用对于税务机关的征管工作也是一个严峻的考验。</w:t>
      </w:r>
    </w:p>
    <w:p>
      <w:pPr>
        <w:pStyle w:val="Normal"/>
        <w:widowControl/>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6.</w:t>
      </w:r>
      <w:r>
        <w:rPr>
          <w:rFonts w:ascii="SimHei" w:hAnsi="SimHei" w:cs="Arial" w:eastAsia="黑体"/>
          <w:color w:val="000000"/>
          <w:kern w:val="0"/>
          <w:sz w:val="24"/>
          <w:szCs w:val="21"/>
        </w:rPr>
        <w:t>利用不同货物销售价格进行避税</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由于增值税的销项税额与销售额有关，纳税人为使其销项税额尽可能小，就有可能人为地压低销售价格，与购买方串通一气以达到少纳税的目的；同时压低的这一部分价格则有可能从购买方以其他方式获得一部分补偿，而购买方也获得一部分利益，双方利益均沾。这种避税方式在关联企业间更为常见。</w:t>
      </w:r>
    </w:p>
    <w:p>
      <w:pPr>
        <w:pStyle w:val="Normal"/>
        <w:widowControl/>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7.</w:t>
      </w:r>
      <w:r>
        <w:rPr>
          <w:rFonts w:ascii="SimHei" w:hAnsi="SimHei" w:cs="Arial" w:eastAsia="黑体"/>
          <w:color w:val="000000"/>
          <w:kern w:val="0"/>
          <w:sz w:val="24"/>
          <w:szCs w:val="21"/>
        </w:rPr>
        <w:t>通过委托加工费避税</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这也需要双方联合起来，人为扩大委托加工费，以增加进项税额，从而达到避税目的。</w:t>
      </w:r>
    </w:p>
    <w:p>
      <w:pPr>
        <w:pStyle w:val="Normal"/>
        <w:widowControl/>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8.</w:t>
      </w:r>
      <w:r>
        <w:rPr>
          <w:rFonts w:ascii="SimHei" w:hAnsi="SimHei" w:cs="Arial" w:eastAsia="黑体"/>
          <w:color w:val="000000"/>
          <w:kern w:val="0"/>
          <w:sz w:val="24"/>
          <w:szCs w:val="21"/>
        </w:rPr>
        <w:t>利用不正当的进口价格避税</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这与第六条有某些相似之处，所不同的则是纳税人通过与国外联结，压低进口货物价格，从而减少进口货物的计税依据，直接减少应纳税款。</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与此种方式及第六种方式相同的技巧还有在修理修配业务中采取不同收费来达到避税目的。</w:t>
      </w:r>
    </w:p>
    <w:p>
      <w:pPr>
        <w:pStyle w:val="Normal"/>
        <w:widowControl/>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9.</w:t>
      </w:r>
      <w:r>
        <w:rPr>
          <w:rFonts w:ascii="SimHei" w:hAnsi="SimHei" w:cs="Arial" w:eastAsia="黑体"/>
          <w:color w:val="000000"/>
          <w:kern w:val="0"/>
          <w:sz w:val="24"/>
          <w:szCs w:val="21"/>
        </w:rPr>
        <w:t>利用混合销售机会避税</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纳税人可能利用混合销售机会把高税的项目按低税业务统计来避税，或者利用混合销售把应纳增值税的项目变为纳营业税的项目，以从中获得优厚税收利益。</w:t>
      </w:r>
    </w:p>
    <w:p>
      <w:pPr>
        <w:pStyle w:val="Normal"/>
        <w:widowControl/>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10.</w:t>
      </w:r>
      <w:r>
        <w:rPr>
          <w:rFonts w:ascii="SimHei" w:hAnsi="SimHei" w:cs="Arial" w:eastAsia="黑体"/>
          <w:color w:val="000000"/>
          <w:kern w:val="0"/>
          <w:sz w:val="24"/>
          <w:szCs w:val="21"/>
        </w:rPr>
        <w:t>利用对自用于连续生产的产品免税这一规定来避税纳税人因此可能会尽可能使用自产的产品作原料以代替外购原料。</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以上是增值税合理避税的一些提纲挚领的要点，当然，除此以外可能还有其他一些作法和可以被避税利用的机会，但作为税务机关应该切实抓住各种可能被纳税人利用的机会，加强对应的防范措施。</w:t>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宋体">
    <w:charset w:val="86"/>
    <w:family w:val="auto"/>
    <w:pitch w:val="default"/>
  </w:font>
  <w:font w:name="Cambria">
    <w:charset w:val="00" w:characterSet="windows-1252"/>
    <w:family w:val="roman"/>
    <w:pitch w:val="default"/>
  </w:font>
  <w:font w:name="楷体">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paragraph" w:styleId="Heading2">
    <w:name w:val="Heading 2"/>
    <w:basedOn w:val="Normal"/>
    <w:next w:val="TextBody"/>
    <w:qFormat/>
    <w:pPr>
      <w:widowControl/>
      <w:numPr>
        <w:ilvl w:val="1"/>
        <w:numId w:val="1"/>
      </w:numPr>
      <w:spacing w:before="280" w:after="280"/>
      <w:jc w:val="start"/>
      <w:outlineLvl w:val="1"/>
    </w:pPr>
    <w:rPr>
      <w:rFonts w:ascii="宋体" w:hAnsi="宋体" w:cs="宋体"/>
      <w:b/>
      <w:bCs/>
      <w:kern w:val="0"/>
      <w:sz w:val="36"/>
      <w:szCs w:val="36"/>
    </w:rPr>
  </w:style>
  <w:style w:type="character" w:styleId="Style13">
    <w:name w:val="默认段落字体"/>
    <w:qFormat/>
    <w:rPr/>
  </w:style>
  <w:style w:type="character" w:styleId="StrongEmphasis">
    <w:name w:val="Strong Emphasis"/>
    <w:qFormat/>
    <w:rPr>
      <w:b/>
      <w:bCs/>
    </w:rPr>
  </w:style>
  <w:style w:type="character" w:styleId="Char">
    <w:name w:val="页眉 Char"/>
    <w:qFormat/>
    <w:rPr>
      <w:sz w:val="18"/>
      <w:szCs w:val="18"/>
    </w:rPr>
  </w:style>
  <w:style w:type="character" w:styleId="InternetLink">
    <w:name w:val="Hyperlink"/>
    <w:rPr>
      <w:strike w:val="false"/>
      <w:dstrike w:val="false"/>
      <w:color w:val="000000"/>
      <w:u w:val="none"/>
    </w:rPr>
  </w:style>
  <w:style w:type="character" w:styleId="PageNumber">
    <w:name w:val="Page Number"/>
    <w:basedOn w:val="Style13"/>
    <w:rPr/>
  </w:style>
  <w:style w:type="character" w:styleId="Char1">
    <w:name w:val="页脚 Char"/>
    <w:qFormat/>
    <w:rPr>
      <w:sz w:val="18"/>
      <w:szCs w:val="18"/>
    </w:rPr>
  </w:style>
  <w:style w:type="character" w:styleId="2Char">
    <w:name w:val="标题 2 Char"/>
    <w:qFormat/>
    <w:rPr>
      <w:rFonts w:ascii="宋体" w:hAnsi="宋体" w:cs="宋体"/>
      <w:b/>
      <w:bCs/>
      <w:sz w:val="36"/>
      <w:szCs w:val="36"/>
    </w:rPr>
  </w:style>
  <w:style w:type="character" w:styleId="Char2">
    <w:name w:val="标题 Char"/>
    <w:basedOn w:val="Style13"/>
    <w:qFormat/>
    <w:rPr>
      <w:rFonts w:ascii="Cambria" w:hAnsi="Cambria" w:cs="Cambria"/>
      <w:b/>
      <w:bCs/>
      <w:sz w:val="32"/>
      <w:szCs w:val="32"/>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普通(网站)"/>
    <w:basedOn w:val="Normal"/>
    <w:qFormat/>
    <w:pPr>
      <w:widowControl/>
      <w:spacing w:before="280" w:after="280"/>
      <w:jc w:val="start"/>
    </w:pPr>
    <w:rPr>
      <w:rFonts w:ascii="宋体" w:hAnsi="宋体" w:cs="宋体"/>
      <w:kern w:val="0"/>
      <w:sz w:val="24"/>
      <w:szCs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kern w:val="0"/>
      <w:sz w:val="18"/>
      <w:szCs w:val="18"/>
    </w:rPr>
  </w:style>
  <w:style w:type="paragraph" w:styleId="Footer">
    <w:name w:val="Footer"/>
    <w:basedOn w:val="Normal"/>
    <w:pPr>
      <w:tabs>
        <w:tab w:val="clear" w:pos="420"/>
        <w:tab w:val="center" w:pos="4153" w:leader="none"/>
        <w:tab w:val="right" w:pos="8306" w:leader="none"/>
      </w:tabs>
      <w:snapToGrid w:val="false"/>
      <w:jc w:val="start"/>
    </w:pPr>
    <w:rPr>
      <w:kern w:val="0"/>
      <w:sz w:val="18"/>
      <w:szCs w:val="18"/>
    </w:rPr>
  </w:style>
  <w:style w:type="paragraph" w:styleId="Textinfo">
    <w:name w:val="text_info"/>
    <w:basedOn w:val="Normal"/>
    <w:qFormat/>
    <w:pPr>
      <w:widowControl/>
      <w:pBdr>
        <w:bottom w:val="single" w:sz="6" w:space="0" w:color="E4E3E3"/>
      </w:pBdr>
      <w:spacing w:lineRule="atLeast" w:line="360" w:before="280" w:after="280"/>
      <w:jc w:val="center"/>
    </w:pPr>
    <w:rPr>
      <w:rFonts w:ascii="宋体" w:hAnsi="宋体" w:eastAsia="宋体" w:cs="宋体"/>
      <w:color w:val="4E4E4E"/>
      <w:kern w:val="0"/>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2019-04-08T18:01:00Z</dcterms:created>
  <dc:creator>qq</dc:creator>
  <dc:description/>
  <dc:language>en-US</dc:language>
  <cp:lastModifiedBy>Administrator</cp:lastModifiedBy>
  <dcterms:modified xsi:type="dcterms:W3CDTF">2019-10-16T16:32:18Z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