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keepNext w:val="false"/>
        <w:keepLines w:val="false"/>
        <w:pageBreakBefore w:val="false"/>
        <w:widowControl w:val="false"/>
        <w:kinsoku w:val="true"/>
        <w:overflowPunct w:val="true"/>
        <w:autoSpaceDE w:val="true"/>
        <w:bidi w:val="0"/>
        <w:snapToGrid w:val="true"/>
        <w:spacing w:lineRule="auto" w:line="360" w:before="313" w:after="312"/>
        <w:textAlignment w:val="baseline"/>
        <w:rPr>
          <w:rFonts w:ascii="楷体" w:hAnsi="楷体" w:eastAsia="楷体" w:cs="宋体"/>
          <w:bCs w:val="false"/>
          <w:color w:val="000000"/>
          <w:kern w:val="2"/>
          <w:sz w:val="24"/>
        </w:rPr>
      </w:pPr>
      <w:r>
        <w:rPr>
          <w:rFonts w:ascii="SimHei" w:hAnsi="SimHei" w:cs="宋体" w:eastAsia="黑体"/>
          <w:color w:val="000000"/>
          <w:sz w:val="36"/>
        </w:rPr>
        <w:t>年终奖也可合理避税为员工做一套节税规划</w:t>
      </w:r>
    </w:p>
    <w:p>
      <w:pPr>
        <w:pStyle w:val="Normal"/>
        <w:widowContro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辞旧迎新，新的一年总会带给人们新的气象，但再也没有比年底发奖金更令人兴奋的事情了。年终奖金拿到手，除了喜悦，更多的是对自己劳动价值的肯定。在这个渴望财富的世界上，合理规划是我们要做的第一步。年终奖金也不例外。如果你真的不知道该如何好好利用它，那就快点看过来。本期，我们特别邀请了《财富岛航》的优秀理财师逄锦冰先生，一起来看看他的高见。</w:t>
      </w:r>
    </w:p>
    <w:p>
      <w:pPr>
        <w:pStyle w:val="Heading1"/>
        <w:keepNext w:val="true"/>
        <w:keepLines/>
        <w:widowControl w:val="false"/>
        <w:spacing w:lineRule="auto" w:line="360" w:before="0" w:after="0"/>
        <w:ind w:firstLine="424"/>
        <w:jc w:val="both"/>
        <w:rPr>
          <w:rFonts w:ascii="楷体" w:hAnsi="楷体" w:eastAsia="楷体" w:cs="楷体"/>
          <w:color w:val="000000"/>
          <w:kern w:val="0"/>
          <w:sz w:val="24"/>
          <w:szCs w:val="21"/>
        </w:rPr>
      </w:pPr>
      <w:r>
        <w:rPr>
          <w:rFonts w:ascii="SimHei" w:hAnsi="SimHei" w:cs="Times New Roman" w:eastAsia="黑体"/>
          <w:color w:val="000000"/>
          <w:kern w:val="2"/>
          <w:sz w:val="28"/>
          <w:szCs w:val="21"/>
        </w:rPr>
        <w:t>先投保再还债发了奖金先要缓解压力</w:t>
      </w:r>
    </w:p>
    <w:p>
      <w:pPr>
        <w:pStyle w:val="Normal"/>
        <w:widowContro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结合自己一年的收支状况、家庭状况、已有保单进行一个分析，如果有保障需求，亦应及时调整，奖金就是保费的最好来源。时间上，奖金都会在年底固定发放，恰好与每年底缴纳保费时间契合。另外利用年底奖金购买</w:t>
      </w:r>
      <w:r>
        <w:rPr>
          <w:rFonts w:ascii="SimHei" w:hAnsi="SimHei" w:cs="宋体" w:eastAsia="黑体"/>
          <w:color w:val="000000"/>
          <w:kern w:val="0"/>
          <w:sz w:val="24"/>
          <w:szCs w:val="21"/>
        </w:rPr>
        <w:t>保险</w:t>
      </w:r>
      <w:r>
        <w:rPr>
          <w:rFonts w:ascii="SimHei" w:hAnsi="SimHei" w:cs="宋体" w:eastAsia="黑体"/>
          <w:color w:val="000000"/>
          <w:kern w:val="0"/>
          <w:sz w:val="24"/>
          <w:szCs w:val="21"/>
        </w:rPr>
        <w:t>还有两个重要的好处：首先是便于记忆，尤其是对于整天忙于工作的人们，没有详细的记住保单缴费日期很容易造成保单效用中止，统一于年底购买则会避免这种情况；除此之外这还可以养成自己在年底进行保单检视的好习惯，而充足合理的保障规划也恰恰应该每年检视。</w:t>
      </w:r>
    </w:p>
    <w:p>
      <w:pPr>
        <w:pStyle w:val="Normal"/>
        <w:widowContro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奖金还有一个非常重要的作用，即是利用奖金一次性金额较多的资金来进行债务和信用管理，现在的工薪阶层和大部分中产阶层在这方面有两个细节：信用卡和房贷，由于信用卡和房贷均有着较高的借款成本</w:t>
      </w:r>
      <w:r>
        <w:rPr>
          <w:rFonts w:eastAsia="黑体" w:cs="宋体" w:ascii="SimHei" w:hAnsi="SimHei"/>
          <w:color w:val="000000"/>
          <w:kern w:val="0"/>
          <w:sz w:val="24"/>
          <w:szCs w:val="21"/>
        </w:rPr>
        <w:t>(</w:t>
      </w:r>
      <w:r>
        <w:rPr>
          <w:rFonts w:ascii="SimHei" w:hAnsi="SimHei" w:cs="宋体" w:eastAsia="黑体"/>
          <w:color w:val="000000"/>
          <w:kern w:val="0"/>
          <w:sz w:val="24"/>
          <w:szCs w:val="21"/>
        </w:rPr>
        <w:t>尤其是信用卡取现</w:t>
      </w:r>
      <w:r>
        <w:rPr>
          <w:rFonts w:eastAsia="黑体" w:cs="宋体" w:ascii="SimHei" w:hAnsi="SimHei"/>
          <w:color w:val="000000"/>
          <w:kern w:val="0"/>
          <w:sz w:val="24"/>
          <w:szCs w:val="21"/>
        </w:rPr>
        <w:t>)</w:t>
      </w:r>
      <w:r>
        <w:rPr>
          <w:rFonts w:ascii="SimHei" w:hAnsi="SimHei" w:cs="宋体" w:eastAsia="黑体"/>
          <w:color w:val="000000"/>
          <w:kern w:val="0"/>
          <w:sz w:val="24"/>
          <w:szCs w:val="21"/>
        </w:rPr>
        <w:t>，因此，在综合考量的基础上，利用奖金一次性的还款应该是明智的选择，对于信用卡来说，很多朋友拥有多张信用卡，也就是说每个月都要记清楚好几个“最后还款日”。</w:t>
      </w:r>
    </w:p>
    <w:p>
      <w:pPr>
        <w:pStyle w:val="Normal"/>
        <w:widowContro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对于房贷，虽然银行往往会设定门槛，也就是说提前还款可能也面临一定的违约成本，但从一般量化分析的角度看，提前还款，违约成本的金额往往会小于提前还款节省出来的利息，也就是说综合来看提前还款还是可以节省一笔支出的，同时利用奖金提前换房贷还会产生一系列长期效应，也就是说，提前还了一笔钱，会让接下来新的一年中每个月的房贷额变少，这无疑可以减轻新的一年里每月的还款压力。</w:t>
      </w:r>
    </w:p>
    <w:p>
      <w:pPr>
        <w:pStyle w:val="Heading1"/>
        <w:keepNext w:val="true"/>
        <w:keepLines/>
        <w:widowControl w:val="false"/>
        <w:spacing w:lineRule="auto" w:line="360" w:before="0" w:after="0"/>
        <w:ind w:firstLine="424"/>
        <w:jc w:val="both"/>
        <w:rPr>
          <w:rFonts w:ascii="楷体" w:hAnsi="楷体" w:eastAsia="楷体" w:cs="楷体"/>
          <w:color w:val="000000"/>
          <w:kern w:val="0"/>
          <w:sz w:val="24"/>
          <w:szCs w:val="21"/>
        </w:rPr>
      </w:pPr>
      <w:r>
        <w:rPr>
          <w:rFonts w:ascii="SimHei" w:hAnsi="SimHei" w:cs="Times New Roman" w:eastAsia="黑体"/>
          <w:color w:val="000000"/>
          <w:kern w:val="2"/>
          <w:sz w:val="28"/>
          <w:szCs w:val="21"/>
        </w:rPr>
        <w:t>利用奖金合理避税为员工做一套节税规划</w:t>
      </w:r>
    </w:p>
    <w:p>
      <w:pPr>
        <w:pStyle w:val="Normal"/>
        <w:widowContro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奖金规划中最重要的一点是税务规划，即如何界定奖金和平时工资的各自多少，以最佳的比例将收入分化为每个月定期发放的工资和年底一次性发放的奖金，以便在整体收入上最大可能的减少税赋支出。</w:t>
      </w:r>
    </w:p>
    <w:p>
      <w:pPr>
        <w:pStyle w:val="Normal"/>
        <w:widowControl/>
        <w:spacing w:lineRule="auto" w:line="360"/>
        <w:ind w:firstLine="480"/>
        <w:rPr>
          <w:rFonts w:ascii="楷体" w:hAnsi="楷体" w:eastAsia="楷体" w:cs="宋体"/>
          <w:color w:val="000000"/>
          <w:kern w:val="0"/>
          <w:sz w:val="24"/>
          <w:szCs w:val="21"/>
        </w:rPr>
      </w:pPr>
      <w:r>
        <w:rPr>
          <w:rFonts w:ascii="SimHei" w:hAnsi="SimHei" w:cs="宋体" w:eastAsia="黑体"/>
          <w:color w:val="000000"/>
          <w:kern w:val="0"/>
          <w:sz w:val="24"/>
          <w:szCs w:val="21"/>
        </w:rPr>
        <w:t>作为企业主而言，最聪明的员工福利方案是找到一个企业本身、企业主、员工三方都皆大欢喜的方法，找到一个最少税赋的方式也是应该的。以员工福利方案作出的节税规划因人而异，但是从概况上看，有几点是必须引起我们足够重视的：非常详细的划分奖金和月工资的比例、一定程度上以实物代替奖金</w:t>
      </w:r>
      <w:r>
        <w:rPr>
          <w:rFonts w:eastAsia="黑体" w:cs="宋体" w:ascii="SimHei" w:hAnsi="SimHei"/>
          <w:color w:val="000000"/>
          <w:kern w:val="0"/>
          <w:sz w:val="24"/>
          <w:szCs w:val="21"/>
        </w:rPr>
        <w:t>(</w:t>
      </w:r>
      <w:r>
        <w:rPr>
          <w:rFonts w:ascii="SimHei" w:hAnsi="SimHei" w:cs="宋体" w:eastAsia="黑体"/>
          <w:color w:val="000000"/>
          <w:kern w:val="0"/>
          <w:sz w:val="24"/>
          <w:szCs w:val="21"/>
        </w:rPr>
        <w:t>可以记成本价，当然这要建立在和员工充分沟通的基础上</w:t>
      </w:r>
      <w:r>
        <w:rPr>
          <w:rFonts w:eastAsia="黑体" w:cs="宋体" w:ascii="SimHei" w:hAnsi="SimHei"/>
          <w:color w:val="000000"/>
          <w:kern w:val="0"/>
          <w:sz w:val="24"/>
          <w:szCs w:val="21"/>
        </w:rPr>
        <w:t>)</w:t>
      </w:r>
      <w:r>
        <w:rPr>
          <w:rFonts w:ascii="SimHei" w:hAnsi="SimHei" w:cs="宋体" w:eastAsia="黑体"/>
          <w:color w:val="000000"/>
          <w:kern w:val="0"/>
          <w:sz w:val="24"/>
          <w:szCs w:val="21"/>
        </w:rPr>
        <w:t>，在一定程度上，将奖金转化为更有税收优势的金融年金产品。</w:t>
      </w:r>
    </w:p>
    <w:p>
      <w:pPr>
        <w:pStyle w:val="Normal"/>
        <w:widowControl/>
        <w:spacing w:lineRule="auto" w:line="360"/>
        <w:ind w:firstLine="480"/>
        <w:rPr>
          <w:rFonts w:ascii="楷体" w:hAnsi="楷体" w:eastAsia="楷体" w:cs="楷体"/>
          <w:color w:val="000000"/>
          <w:sz w:val="24"/>
          <w:szCs w:val="21"/>
        </w:rPr>
      </w:pPr>
      <w:r>
        <w:rPr>
          <w:rFonts w:ascii="SimHei" w:hAnsi="SimHei" w:cs="宋体" w:eastAsia="黑体"/>
          <w:color w:val="000000"/>
          <w:kern w:val="0"/>
          <w:sz w:val="24"/>
          <w:szCs w:val="21"/>
        </w:rPr>
        <w:t>如果真的要做一份详尽合理的节税规划，必须建立在精确数据分析的基础上，同时企业会计也必须提供精准的财务数据，虽然节税规划可能面临很多风险，比如包括法律风险、操作风险、通胀风险、流动性风险、机会成本风险等等，但我们还是认为只要我们的规划建立在合理合法并和员工充分沟通的基础上，以员工福利为依托的节税方案还是非常有价值的，尤其对于员工规模相对较大的企业，奖金发放得越多，越有必要做详细的节税规划</w:t>
      </w:r>
      <w:r>
        <w:rPr>
          <w:rFonts w:ascii="SimHei" w:hAnsi="SimHei" w:cs="宋体" w:eastAsia="黑体"/>
          <w:color w:val="000000"/>
          <w:kern w:val="0"/>
          <w:sz w:val="24"/>
          <w:szCs w:val="21"/>
        </w:rPr>
        <w:t>。</w:t>
      </w:r>
    </w:p>
    <w:sectPr>
      <w:footerReference w:type="default" r:id="rId2"/>
      <w:type w:val="nextPage"/>
      <w:pgSz w:w="11906" w:h="16838"/>
      <w:pgMar w:left="1474" w:right="1474" w:header="0" w:top="850" w:footer="624" w:bottom="85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Cambria">
    <w:charset w:val="00" w:characterSet="windows-1252"/>
    <w:family w:val="roman"/>
    <w:pitch w:val="default"/>
  </w:font>
  <w:font w:name="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rPr>
    </w:pPr>
    <w:r>
      <w:rPr>
        <w:sz w:val="18"/>
      </w:rPr>
    </w:r>
    <w:r>
      <mc:AlternateContent>
        <mc:Choice Requires="wps">
          <w:drawing>
            <wp:anchor behindDoc="1" distT="0" distB="0" distL="114935" distR="114935" simplePos="0" locked="0" layoutInCell="0" allowOverlap="1" relativeHeight="4">
              <wp:simplePos x="0" y="0"/>
              <wp:positionH relativeFrom="margin">
                <wp:align>center</wp:align>
              </wp:positionH>
              <wp:positionV relativeFrom="paragraph">
                <wp:posOffset>635</wp:posOffset>
              </wp:positionV>
              <wp:extent cx="59055" cy="127635"/>
              <wp:effectExtent l="0" t="0" r="0" b="0"/>
              <wp:wrapNone/>
              <wp:docPr id="1" name="Frame1"/>
              <a:graphic xmlns:a="http://schemas.openxmlformats.org/drawingml/2006/main">
                <a:graphicData uri="http://schemas.microsoft.com/office/word/2010/wordprocessingShape">
                  <wps:wsp>
                    <wps:cNvSpPr txBox="1"/>
                    <wps:spPr>
                      <a:xfrm>
                        <a:off x="0" y="0"/>
                        <a:ext cx="59055" cy="127635"/>
                      </a:xfrm>
                      <a:prstGeom prst="rect"/>
                      <a:solidFill>
                        <a:srgbClr val="FFFFFF">
                          <a:alpha val="0"/>
                        </a:srgbClr>
                      </a:solidFill>
                    </wps:spPr>
                    <wps:txbx>
                      <w:txbxContent>
                        <w:p>
                          <w:pPr>
                            <w:pStyle w:val="Footer"/>
                            <w:rPr>
                              <w:lang w:eastAsia="zh-CN"/>
                            </w:rPr>
                          </w:pPr>
                          <w:r>
                            <w:rPr>
                              <w:lang w:eastAsia="zh-CN"/>
                            </w:rPr>
                            <w:fldChar w:fldCharType="begin"/>
                          </w:r>
                          <w:r>
                            <w:rPr>
                              <w:lang w:eastAsia="zh-CN"/>
                            </w:rPr>
                            <w:instrText> PAGE </w:instrText>
                          </w:r>
                          <w:r>
                            <w:rPr>
                              <w:lang w:eastAsia="zh-CN"/>
                            </w:rPr>
                            <w:fldChar w:fldCharType="separate"/>
                          </w:r>
                          <w:r>
                            <w:rPr>
                              <w:lang w:eastAsia="zh-CN"/>
                            </w:rPr>
                            <w:t>3</w:t>
                          </w:r>
                          <w:r>
                            <w:rPr>
                              <w:lang w:eastAsia="zh-CN"/>
                            </w:rPr>
                            <w:fldChar w:fldCharType="end"/>
                          </w:r>
                        </w:p>
                      </w:txbxContent>
                    </wps:txbx>
                    <wps:bodyPr anchor="t" lIns="635" tIns="635" rIns="635" bIns="635">
                      <a:spAutoFit/>
                    </wps:bodyPr>
                  </wps:wsp>
                </a:graphicData>
              </a:graphic>
            </wp:anchor>
          </w:drawing>
        </mc:Choice>
        <mc:Fallback>
          <w:pict>
            <v:rect fillcolor="#FFFFFF" style="position:absolute;rotation:0;width:4.65pt;height:10.05pt;mso-wrap-distance-left:9.05pt;mso-wrap-distance-right:9.05pt;mso-wrap-distance-top:0pt;mso-wrap-distance-bottom:0pt;margin-top:0pt;mso-position-vertical-relative:text;margin-left:221.65pt;mso-position-horizontal:center;mso-position-horizontal-relative:margin">
              <v:fill opacity="0f"/>
              <v:textbox inset="0.000694444444444444in,0.000694444444444444in,0.000694444444444444in,0.000694444444444444in">
                <w:txbxContent>
                  <w:p>
                    <w:pPr>
                      <w:pStyle w:val="Footer"/>
                      <w:rPr>
                        <w:lang w:eastAsia="zh-CN"/>
                      </w:rPr>
                    </w:pPr>
                    <w:r>
                      <w:rPr>
                        <w:lang w:eastAsia="zh-CN"/>
                      </w:rPr>
                      <w:fldChar w:fldCharType="begin"/>
                    </w:r>
                    <w:r>
                      <w:rPr>
                        <w:lang w:eastAsia="zh-CN"/>
                      </w:rPr>
                      <w:instrText> PAGE </w:instrText>
                    </w:r>
                    <w:r>
                      <w:rPr>
                        <w:lang w:eastAsia="zh-CN"/>
                      </w:rPr>
                      <w:fldChar w:fldCharType="separate"/>
                    </w:r>
                    <w:r>
                      <w:rPr>
                        <w:lang w:eastAsia="zh-CN"/>
                      </w:rPr>
                      <w:t>3</w:t>
                    </w:r>
                    <w:r>
                      <w:rPr>
                        <w:lang w:eastAsia="zh-CN"/>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TextBody"/>
    <w:qFormat/>
    <w:pPr>
      <w:widowControl/>
      <w:numPr>
        <w:ilvl w:val="0"/>
        <w:numId w:val="1"/>
      </w:numPr>
      <w:spacing w:before="280" w:after="280"/>
      <w:jc w:val="start"/>
      <w:outlineLvl w:val="0"/>
    </w:pPr>
    <w:rPr>
      <w:rFonts w:ascii="宋体" w:hAnsi="宋体" w:cs="宋体"/>
      <w:b/>
      <w:bCs/>
      <w:kern w:val="2"/>
      <w:sz w:val="48"/>
      <w:szCs w:val="48"/>
    </w:rPr>
  </w:style>
  <w:style w:type="character" w:styleId="Style13">
    <w:name w:val="默认段落字体"/>
    <w:qFormat/>
    <w:rPr/>
  </w:style>
  <w:style w:type="character" w:styleId="Char">
    <w:name w:val="页眉 Char"/>
    <w:basedOn w:val="Style13"/>
    <w:qFormat/>
    <w:rPr>
      <w:kern w:val="2"/>
      <w:sz w:val="18"/>
      <w:szCs w:val="18"/>
    </w:rPr>
  </w:style>
  <w:style w:type="character" w:styleId="InternetLink">
    <w:name w:val="Hyperlink"/>
    <w:basedOn w:val="Style13"/>
    <w:rPr>
      <w:color w:val="0000FF"/>
      <w:u w:val="single"/>
    </w:rPr>
  </w:style>
  <w:style w:type="character" w:styleId="PageNumber">
    <w:name w:val="Page Number"/>
    <w:basedOn w:val="Style13"/>
    <w:rPr/>
  </w:style>
  <w:style w:type="character" w:styleId="Where">
    <w:name w:val="where"/>
    <w:basedOn w:val="Style13"/>
    <w:qFormat/>
    <w:rPr/>
  </w:style>
  <w:style w:type="character" w:styleId="Char1">
    <w:name w:val="标题 Char"/>
    <w:basedOn w:val="Style13"/>
    <w:qFormat/>
    <w:rPr>
      <w:rFonts w:ascii="Cambria" w:hAnsi="Cambria" w:cs="Cambria"/>
      <w:b/>
      <w:bCs/>
      <w:sz w:val="32"/>
      <w:szCs w:val="32"/>
    </w:rPr>
  </w:style>
  <w:style w:type="character" w:styleId="Small">
    <w:name w:val="small"/>
    <w:basedOn w:val="Style13"/>
    <w:qFormat/>
    <w:rPr/>
  </w:style>
  <w:style w:type="character" w:styleId="Big">
    <w:name w:val="big"/>
    <w:basedOn w:val="Style13"/>
    <w:qFormat/>
    <w:rPr/>
  </w:style>
  <w:style w:type="character" w:styleId="Char2">
    <w:name w:val="页脚 Char"/>
    <w:basedOn w:val="Style13"/>
    <w:qFormat/>
    <w:rPr>
      <w:kern w:val="2"/>
      <w:sz w:val="18"/>
      <w:szCs w:val="18"/>
    </w:rPr>
  </w:style>
  <w:style w:type="paragraph" w:styleId="Heading">
    <w:name w:val="Heading"/>
    <w:basedOn w:val="Normal"/>
    <w:next w:val="Normal"/>
    <w:qFormat/>
    <w:pPr>
      <w:spacing w:lineRule="atLeast" w:line="312" w:before="240" w:after="60"/>
      <w:jc w:val="center"/>
      <w:textAlignment w:val="baseline"/>
      <w:outlineLvl w:val="0"/>
    </w:pPr>
    <w:rPr>
      <w:rFonts w:ascii="Cambria" w:hAnsi="Cambria" w:cs="Cambria"/>
      <w:b/>
      <w:bCs/>
      <w:kern w:val="0"/>
      <w:sz w:val="32"/>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4">
    <w:name w:val="普通(网站)"/>
    <w:basedOn w:val="Normal"/>
    <w:qFormat/>
    <w:pPr>
      <w:widowControl/>
      <w:spacing w:before="280" w:after="280"/>
      <w:jc w:val="start"/>
    </w:pPr>
    <w:rPr>
      <w:rFonts w:ascii="宋体" w:hAnsi="宋体" w:cs="宋体"/>
      <w:kern w:val="0"/>
      <w:sz w:val="24"/>
    </w:rPr>
  </w:style>
  <w:style w:type="paragraph" w:styleId="Header">
    <w:name w:val="Header"/>
    <w:basedOn w:val="Normal"/>
    <w:pPr>
      <w:tabs>
        <w:tab w:val="clear" w:pos="420"/>
        <w:tab w:val="center" w:pos="4153" w:leader="none"/>
        <w:tab w:val="right" w:pos="8306" w:leader="none"/>
      </w:tabs>
      <w:snapToGrid w:val="false"/>
      <w:jc w:val="center"/>
    </w:pPr>
    <w:rPr>
      <w:sz w:val="18"/>
      <w:szCs w:val="18"/>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2019-04-08T18:01:00Z</dcterms:created>
  <dc:creator>微软用户</dc:creator>
  <dc:description/>
  <dc:language>en-US</dc:language>
  <cp:lastModifiedBy>Administrator</cp:lastModifiedBy>
  <dcterms:modified xsi:type="dcterms:W3CDTF">2019-10-16T16:30:59Z</dcterms:modified>
  <cp:revision>3</cp:revision>
  <dc:subject/>
  <dc:title>年终奖也可合理避税 为员工做一套节税规划</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