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61" w:after="360"/>
        <w:textAlignment w:val="baseline"/>
        <w:rPr>
          <w:rFonts w:ascii="楷体" w:hAnsi="楷体" w:eastAsia="楷体" w:cs="宋体"/>
          <w:bCs w:val="false"/>
          <w:color w:val="000000"/>
          <w:sz w:val="24"/>
        </w:rPr>
      </w:pPr>
      <w:r>
        <w:rPr>
          <w:rFonts w:ascii="SimHei" w:hAnsi="SimHei" w:cs="宋体" w:eastAsia="黑体"/>
          <w:color w:val="000000"/>
          <w:sz w:val="36"/>
        </w:rPr>
        <w:t>合理避税的各种技巧</w:t>
      </w:r>
    </w:p>
    <w:p>
      <w:pPr>
        <w:pStyle w:val="Normal"/>
        <w:shd w:fill="FFFFFF" w:val="clear"/>
        <w:snapToGrid w:val="true"/>
        <w:spacing w:lineRule="auto" w:line="360" w:before="0" w:after="0"/>
        <w:ind w:firstLine="480"/>
        <w:jc w:val="both"/>
        <w:rPr>
          <w:rFonts w:ascii="楷体" w:hAnsi="楷体" w:eastAsia="楷体" w:cs="宋体"/>
          <w:color w:val="000000"/>
          <w:sz w:val="24"/>
          <w:szCs w:val="21"/>
        </w:rPr>
      </w:pPr>
      <w:r>
        <w:rPr>
          <w:rFonts w:ascii="SimHei" w:hAnsi="SimHei" w:cs="宋体" w:eastAsia="黑体"/>
          <w:color w:val="000000"/>
          <w:sz w:val="24"/>
          <w:szCs w:val="21"/>
        </w:rPr>
        <w:t>避税是指企业为了实现利润最大化和税负最低化，研究各国税收法律之间的差异，某集团内部财务节税计划，以规避纳税。</w:t>
      </w:r>
    </w:p>
    <w:p>
      <w:pPr>
        <w:pStyle w:val="Normal"/>
        <w:shd w:fill="FFFFFF" w:val="clear"/>
        <w:snapToGrid w:val="true"/>
        <w:spacing w:lineRule="auto" w:line="360" w:before="0" w:after="0"/>
        <w:ind w:firstLine="480"/>
        <w:jc w:val="both"/>
        <w:rPr>
          <w:rFonts w:ascii="楷体" w:hAnsi="楷体" w:eastAsia="楷体" w:cs="宋体"/>
          <w:color w:val="000000"/>
          <w:sz w:val="24"/>
          <w:szCs w:val="21"/>
        </w:rPr>
      </w:pPr>
      <w:r>
        <w:rPr>
          <w:rFonts w:ascii="SimHei" w:hAnsi="SimHei" w:cs="宋体" w:eastAsia="黑体"/>
          <w:color w:val="000000"/>
          <w:sz w:val="24"/>
          <w:szCs w:val="21"/>
        </w:rPr>
        <w:t>外资企业都各有避税秘方，虽然说避税违反了税收立法意图，有悖于政府的税收政策导向，但避税并不违法，法律上存在合理避税之说。正因如此，很多外资企业采取各种招术，以达合理避税的目的。</w:t>
      </w:r>
    </w:p>
    <w:p>
      <w:pPr>
        <w:pStyle w:val="Heading1"/>
        <w:spacing w:lineRule="auto" w:line="360" w:before="0" w:after="0"/>
        <w:ind w:firstLine="424"/>
        <w:rPr>
          <w:rFonts w:ascii="楷体" w:hAnsi="楷体" w:eastAsia="楷体" w:cs="宋体"/>
          <w:color w:val="000000"/>
          <w:sz w:val="24"/>
          <w:szCs w:val="21"/>
        </w:rPr>
      </w:pPr>
      <w:r>
        <w:rPr>
          <w:rFonts w:ascii="SimHei" w:hAnsi="SimHei" w:cs="宋体" w:eastAsia="黑体"/>
          <w:color w:val="000000"/>
          <w:sz w:val="28"/>
          <w:szCs w:val="21"/>
        </w:rPr>
        <w:t>转让定价</w:t>
      </w:r>
    </w:p>
    <w:p>
      <w:pPr>
        <w:pStyle w:val="Normal"/>
        <w:shd w:fill="FFFFFF" w:val="clear"/>
        <w:snapToGrid w:val="true"/>
        <w:spacing w:lineRule="auto" w:line="360" w:before="0" w:after="0"/>
        <w:ind w:firstLine="480"/>
        <w:jc w:val="both"/>
        <w:rPr>
          <w:rFonts w:ascii="楷体" w:hAnsi="楷体" w:eastAsia="楷体" w:cs="宋体"/>
          <w:color w:val="000000"/>
          <w:sz w:val="24"/>
          <w:szCs w:val="21"/>
        </w:rPr>
      </w:pPr>
      <w:r>
        <w:rPr>
          <w:rFonts w:ascii="SimHei" w:hAnsi="SimHei" w:cs="宋体" w:eastAsia="黑体"/>
          <w:color w:val="000000"/>
          <w:sz w:val="24"/>
          <w:szCs w:val="21"/>
        </w:rPr>
        <w:t>一家总部设在国外分部设在国内的加工制造企业，总部有意提高原材料成本价格，增大负债，在售价不变的情况下，使收益减低，甚至出现亏损，在亏损后，还会增加投资，常年如此，税务部门拿这种做法也无可奈何。这种做法被审计人员叫做“转移定价”。这家企业“长亏不倒”的做法在很多外企中也很盛行。</w:t>
      </w:r>
    </w:p>
    <w:p>
      <w:pPr>
        <w:pStyle w:val="Normal"/>
        <w:shd w:fill="FFFFFF" w:val="clear"/>
        <w:snapToGrid w:val="true"/>
        <w:spacing w:lineRule="auto" w:line="360" w:before="0" w:after="0"/>
        <w:ind w:firstLine="480"/>
        <w:jc w:val="both"/>
        <w:rPr>
          <w:rFonts w:ascii="楷体" w:hAnsi="楷体" w:eastAsia="楷体" w:cs="宋体"/>
          <w:color w:val="000000"/>
          <w:sz w:val="24"/>
          <w:szCs w:val="21"/>
        </w:rPr>
      </w:pPr>
      <w:r>
        <w:rPr>
          <w:rFonts w:ascii="SimHei" w:hAnsi="SimHei" w:cs="宋体" w:eastAsia="黑体"/>
          <w:color w:val="000000"/>
          <w:sz w:val="24"/>
          <w:szCs w:val="21"/>
        </w:rPr>
        <w:t>转让定价是现代企业特别是跨国公司进行国际避税所借用的重要手段。在现代经济生活中，许多避税活动，不论是国内避税还是国际避税，都与转让定价有关。它们往往通过从高税国向低税国或避税地以较低的内部转让定价销售商品和分配费用，或者从低税国或避税地向高税国以较高的内部转让定价销售商品和分配费用，使国际关联企业的整体税收负担减轻。</w:t>
      </w:r>
    </w:p>
    <w:p>
      <w:pPr>
        <w:pStyle w:val="Normal"/>
        <w:shd w:fill="FFFFFF" w:val="clear"/>
        <w:snapToGrid w:val="true"/>
        <w:spacing w:lineRule="auto" w:line="360" w:before="0" w:after="0"/>
        <w:ind w:firstLine="480"/>
        <w:jc w:val="both"/>
        <w:rPr>
          <w:rFonts w:ascii="楷体" w:hAnsi="楷体" w:eastAsia="楷体" w:cs="宋体"/>
          <w:color w:val="000000"/>
          <w:sz w:val="24"/>
          <w:szCs w:val="21"/>
        </w:rPr>
      </w:pPr>
      <w:r>
        <w:rPr>
          <w:rFonts w:ascii="SimHei" w:hAnsi="SimHei" w:cs="宋体" w:eastAsia="黑体"/>
          <w:color w:val="000000"/>
          <w:sz w:val="24"/>
          <w:szCs w:val="21"/>
        </w:rPr>
        <w:t>贷款高利率利用专有技术等无形资产作价高于国际市场价格，或隐藏在设备价款中的一种手法。外商利用人们不了解设备和技术的真实价格，从中抬高设备价格和技术转让价格，将企业利润向境外转移。它们在抬高设备价款的同时，把技术转让价款隐藏在设备价款中，以躲避特许权使用费收入应纳的预提税。</w:t>
      </w:r>
    </w:p>
    <w:p>
      <w:pPr>
        <w:pStyle w:val="Heading1"/>
        <w:spacing w:lineRule="auto" w:line="360" w:before="0" w:after="0"/>
        <w:ind w:firstLine="424"/>
        <w:rPr>
          <w:rFonts w:ascii="楷体" w:hAnsi="楷体" w:eastAsia="楷体" w:cs="宋体"/>
          <w:color w:val="000000"/>
          <w:sz w:val="24"/>
          <w:szCs w:val="21"/>
        </w:rPr>
      </w:pPr>
      <w:r>
        <w:rPr>
          <w:rFonts w:ascii="SimHei" w:hAnsi="SimHei" w:cs="宋体" w:eastAsia="黑体"/>
          <w:color w:val="000000"/>
          <w:sz w:val="28"/>
          <w:szCs w:val="21"/>
        </w:rPr>
        <w:t>劳务收费标准“高进低出”</w:t>
      </w:r>
    </w:p>
    <w:p>
      <w:pPr>
        <w:pStyle w:val="Normal"/>
        <w:shd w:fill="FFFFFF" w:val="clear"/>
        <w:snapToGrid w:val="true"/>
        <w:spacing w:lineRule="auto" w:line="360" w:before="0" w:after="0"/>
        <w:ind w:firstLine="480"/>
        <w:jc w:val="both"/>
        <w:rPr>
          <w:rFonts w:ascii="楷体" w:hAnsi="楷体" w:eastAsia="楷体" w:cs="宋体"/>
          <w:color w:val="000000"/>
          <w:sz w:val="24"/>
          <w:szCs w:val="21"/>
        </w:rPr>
      </w:pPr>
      <w:r>
        <w:rPr>
          <w:rFonts w:ascii="SimHei" w:hAnsi="SimHei" w:cs="宋体" w:eastAsia="黑体"/>
          <w:color w:val="000000"/>
          <w:sz w:val="24"/>
          <w:szCs w:val="21"/>
        </w:rPr>
        <w:t>关联企业之间相互提供服务或劳务，通常是境外公司收费高，境内公司收费低甚至不收费。有的还虚列境外公司费用。</w:t>
      </w:r>
    </w:p>
    <w:p>
      <w:pPr>
        <w:pStyle w:val="Normal"/>
        <w:shd w:fill="FFFFFF" w:val="clear"/>
        <w:snapToGrid w:val="true"/>
        <w:spacing w:lineRule="auto" w:line="360" w:before="0" w:after="0"/>
        <w:ind w:firstLine="480"/>
        <w:jc w:val="both"/>
        <w:rPr>
          <w:rFonts w:ascii="楷体" w:hAnsi="楷体" w:eastAsia="楷体" w:cs="宋体"/>
          <w:color w:val="000000"/>
          <w:sz w:val="24"/>
          <w:szCs w:val="21"/>
        </w:rPr>
      </w:pPr>
      <w:r>
        <w:rPr>
          <w:rFonts w:ascii="SimHei" w:hAnsi="SimHei" w:cs="宋体" w:eastAsia="黑体"/>
          <w:color w:val="000000"/>
          <w:sz w:val="24"/>
          <w:szCs w:val="21"/>
        </w:rPr>
        <w:t>资产评估提高折旧张小姐曾遇到过一家香港公司，每年都要对其房地产进行价值评估，其在华子公司因为要与香港母公司进行合并报表，所以也要同时评估其在华房产。这也是外资一种避税的有效方法。如房地产评估增值，每年计提的折旧也会相应的增加，纳税自然也会相应减少。</w:t>
      </w:r>
    </w:p>
    <w:p>
      <w:pPr>
        <w:pStyle w:val="Heading1"/>
        <w:spacing w:lineRule="auto" w:line="360" w:before="0" w:after="0"/>
        <w:ind w:firstLine="424"/>
        <w:rPr>
          <w:rFonts w:ascii="楷体" w:hAnsi="楷体" w:eastAsia="楷体" w:cs="宋体"/>
          <w:color w:val="000000"/>
          <w:sz w:val="24"/>
          <w:szCs w:val="21"/>
        </w:rPr>
      </w:pPr>
      <w:r>
        <w:rPr>
          <w:rFonts w:ascii="SimHei" w:hAnsi="SimHei" w:cs="宋体" w:eastAsia="黑体"/>
          <w:color w:val="000000"/>
          <w:sz w:val="28"/>
          <w:szCs w:val="21"/>
        </w:rPr>
        <w:t>国际避税地建公司</w:t>
      </w:r>
    </w:p>
    <w:p>
      <w:pPr>
        <w:pStyle w:val="Normal"/>
        <w:shd w:fill="FFFFFF" w:val="clear"/>
        <w:snapToGrid w:val="true"/>
        <w:spacing w:lineRule="auto" w:line="360" w:before="0" w:after="0"/>
        <w:ind w:firstLine="480"/>
        <w:jc w:val="both"/>
        <w:rPr>
          <w:rFonts w:ascii="楷体" w:hAnsi="楷体" w:eastAsia="楷体" w:cs="宋体"/>
          <w:color w:val="000000"/>
          <w:sz w:val="24"/>
          <w:szCs w:val="21"/>
        </w:rPr>
      </w:pPr>
      <w:r>
        <w:rPr>
          <w:rFonts w:ascii="SimHei" w:hAnsi="SimHei" w:cs="宋体" w:eastAsia="黑体"/>
          <w:color w:val="000000"/>
          <w:sz w:val="24"/>
          <w:szCs w:val="21"/>
        </w:rPr>
        <w:t>在避税港注册也是一种办法。他们那里曾经也采用过相同的办法。在国际避税地建立公司，然后通过避税地的公司与其他地方的公司进行商业、财务运作，把利润转移到避税地，靠避税地的免税收或低税收减少税负。在长三角地区，一些外资企业的投资方来自英属维尔京群岛等地方，而实际在岛上，它们可能只有一间办公室。</w:t>
      </w:r>
    </w:p>
    <w:p>
      <w:pPr>
        <w:pStyle w:val="Normal"/>
        <w:shd w:fill="FFFFFF" w:val="clear"/>
        <w:snapToGrid w:val="true"/>
        <w:spacing w:lineRule="auto" w:line="360" w:before="0" w:after="0"/>
        <w:ind w:firstLine="480"/>
        <w:jc w:val="both"/>
        <w:rPr>
          <w:rFonts w:ascii="楷体" w:hAnsi="楷体" w:eastAsia="楷体" w:cs="宋体"/>
          <w:color w:val="000000"/>
          <w:sz w:val="24"/>
          <w:szCs w:val="21"/>
        </w:rPr>
      </w:pPr>
      <w:r>
        <w:rPr>
          <w:rFonts w:ascii="SimHei" w:hAnsi="SimHei" w:cs="宋体" w:eastAsia="黑体"/>
          <w:color w:val="000000"/>
          <w:sz w:val="24"/>
          <w:szCs w:val="21"/>
        </w:rPr>
        <w:t>运用避税港进行避税是跨国纳税人减轻税负增加收入的手段之一，而维持税收制度在筹措国家财政资金方面的有效性，又是各国税务当局面临的重要任务之一。在跨国纳税人不断运用避税港的情况下，国家的税收权益不断遭到损害，税收收入受到影响，税收的公平原则也相应遭到破坏。因此，许多国家尤其是发达国家特别注意如何防止跨国投资经营者运用避税港从事避税活动。</w:t>
      </w:r>
    </w:p>
    <w:p>
      <w:pPr>
        <w:pStyle w:val="Heading1"/>
        <w:spacing w:lineRule="auto" w:line="360" w:before="0" w:after="0"/>
        <w:ind w:firstLine="424"/>
        <w:rPr>
          <w:rFonts w:ascii="楷体" w:hAnsi="楷体" w:eastAsia="楷体" w:cs="宋体"/>
          <w:color w:val="000000"/>
          <w:sz w:val="24"/>
          <w:szCs w:val="21"/>
        </w:rPr>
      </w:pPr>
      <w:r>
        <w:rPr>
          <w:rFonts w:ascii="SimHei" w:hAnsi="SimHei" w:cs="宋体" w:eastAsia="黑体"/>
          <w:color w:val="000000"/>
          <w:sz w:val="28"/>
          <w:szCs w:val="21"/>
        </w:rPr>
        <w:t>其他方法层出不穷</w:t>
      </w:r>
    </w:p>
    <w:p>
      <w:pPr>
        <w:pStyle w:val="Normal"/>
        <w:shd w:fill="FFFFFF" w:val="clear"/>
        <w:snapToGrid w:val="true"/>
        <w:spacing w:lineRule="auto" w:line="360" w:before="0" w:after="0"/>
        <w:ind w:firstLine="480"/>
        <w:jc w:val="both"/>
        <w:rPr>
          <w:rFonts w:ascii="楷体" w:hAnsi="楷体" w:eastAsia="楷体" w:cs="宋体"/>
          <w:color w:val="000000"/>
          <w:sz w:val="24"/>
          <w:szCs w:val="21"/>
        </w:rPr>
      </w:pPr>
      <w:r>
        <w:rPr>
          <w:rFonts w:ascii="SimHei" w:hAnsi="SimHei" w:cs="宋体" w:eastAsia="黑体"/>
          <w:color w:val="000000"/>
          <w:sz w:val="24"/>
          <w:szCs w:val="21"/>
        </w:rPr>
        <w:t>外企避税另一主要手段是利用关联交易，高进低出。这种手段占到避税金额的</w:t>
      </w:r>
      <w:r>
        <w:rPr>
          <w:rFonts w:eastAsia="黑体" w:cs="宋体" w:ascii="SimHei" w:hAnsi="SimHei"/>
          <w:color w:val="000000"/>
          <w:sz w:val="24"/>
          <w:szCs w:val="21"/>
        </w:rPr>
        <w:t>60%</w:t>
      </w:r>
      <w:r>
        <w:rPr>
          <w:rFonts w:ascii="SimHei" w:hAnsi="SimHei" w:cs="宋体" w:eastAsia="黑体"/>
          <w:color w:val="000000"/>
          <w:sz w:val="24"/>
          <w:szCs w:val="21"/>
        </w:rPr>
        <w:t>以上。另外，目前外商投资中国的资金中，</w:t>
      </w:r>
      <w:r>
        <w:rPr>
          <w:rFonts w:eastAsia="黑体" w:cs="宋体" w:ascii="SimHei" w:hAnsi="SimHei"/>
          <w:color w:val="000000"/>
          <w:sz w:val="24"/>
          <w:szCs w:val="21"/>
        </w:rPr>
        <w:t>60%</w:t>
      </w:r>
      <w:r>
        <w:rPr>
          <w:rFonts w:ascii="SimHei" w:hAnsi="SimHei" w:cs="宋体" w:eastAsia="黑体"/>
          <w:color w:val="000000"/>
          <w:sz w:val="24"/>
          <w:szCs w:val="21"/>
        </w:rPr>
        <w:t>以上是借贷资金，即便是一些实力雄厚的国际公司也向境内外银行借大量资金，利用税前列支利息，达到少交或免交企业所得税的目的。</w:t>
      </w:r>
    </w:p>
    <w:p>
      <w:pPr>
        <w:pStyle w:val="Normal"/>
        <w:shd w:fill="FFFFFF" w:val="clear"/>
        <w:snapToGrid w:val="true"/>
        <w:spacing w:lineRule="auto" w:line="360" w:before="0" w:after="0"/>
        <w:ind w:firstLine="480"/>
        <w:jc w:val="both"/>
        <w:rPr>
          <w:rFonts w:ascii="楷体" w:hAnsi="楷体" w:eastAsia="楷体" w:cs="宋体"/>
          <w:color w:val="000000"/>
          <w:sz w:val="24"/>
          <w:szCs w:val="21"/>
        </w:rPr>
      </w:pPr>
      <w:r>
        <w:rPr>
          <w:rFonts w:ascii="SimHei" w:hAnsi="SimHei" w:cs="宋体" w:eastAsia="黑体"/>
          <w:color w:val="000000"/>
          <w:sz w:val="24"/>
          <w:szCs w:val="21"/>
        </w:rPr>
        <w:t>反避税涉及到社会经济生活的各个部门。税收制度不够完备，地区间、部门间的不协调，是避税形成的客观原因。专家指出，应从税法和征管两方面完善和加强现有税收体制。首先，现行的涉外的税法规定外商投资企业享受着和内资企业不同的税收政策，这种税收设置，为合法避税行为提供了一个很大空间。只有内外资企业所得税合并，才能够进一步完善税法和严格征管，在反避税上从根本上打下一个非常好的基础，否则，现在两套税制，随意性很大。</w:t>
      </w:r>
    </w:p>
    <w:p>
      <w:pPr>
        <w:pStyle w:val="Normal"/>
        <w:shd w:fill="FFFFFF" w:val="clear"/>
        <w:snapToGrid w:val="true"/>
        <w:spacing w:lineRule="auto" w:line="360" w:before="0" w:after="0"/>
        <w:ind w:firstLine="480"/>
        <w:jc w:val="both"/>
        <w:rPr>
          <w:rFonts w:ascii="楷体" w:hAnsi="楷体" w:eastAsia="楷体" w:cs="楷体"/>
          <w:color w:val="000000"/>
          <w:sz w:val="24"/>
          <w:szCs w:val="21"/>
        </w:rPr>
      </w:pPr>
      <w:r>
        <w:rPr>
          <w:rFonts w:ascii="SimHei" w:hAnsi="SimHei" w:cs="宋体" w:eastAsia="黑体"/>
          <w:color w:val="000000"/>
          <w:sz w:val="24"/>
          <w:szCs w:val="21"/>
        </w:rPr>
        <w:t>其次是征管方面。在征管手段上要跟上计算机的信息控制，另外也涉及到出口退税和骗税问题，要求海关、外贸部门和税务机关三方面能够迅速信息相通，这些方面和国际上都还存在差距，需要进一步改进。</w:t>
      </w:r>
    </w:p>
    <w:sectPr>
      <w:footerReference w:type="default" r:id="rId2"/>
      <w:type w:val="nextPage"/>
      <w:pgSz w:w="11906" w:h="16838"/>
      <w:pgMar w:left="1474" w:right="1474" w:header="0" w:top="850" w:footer="397" w:bottom="850"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default"/>
  </w:font>
  <w:font w:name="Cambria">
    <w:charset w:val="00" w:characterSet="windows-1252"/>
    <w:family w:val="roman"/>
    <w:pitch w:val="default"/>
  </w:font>
  <w:font w:name="宋体">
    <w:charset w:val="86"/>
    <w:family w:val="auto"/>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rPr>
        <w:sz w:val="18"/>
      </w:rPr>
    </w:pPr>
    <w:r>
      <w:rPr>
        <w:sz w:val="18"/>
      </w:rPr>
    </w:r>
    <w:r>
      <mc:AlternateContent>
        <mc:Choice Requires="wps">
          <w:drawing>
            <wp:anchor behindDoc="1" distT="0" distB="0" distL="114935" distR="114935" simplePos="0" locked="0" layoutInCell="0" allowOverlap="1" relativeHeight="3">
              <wp:simplePos x="0" y="0"/>
              <wp:positionH relativeFrom="margin">
                <wp:align>center</wp:align>
              </wp:positionH>
              <wp:positionV relativeFrom="paragraph">
                <wp:posOffset>635</wp:posOffset>
              </wp:positionV>
              <wp:extent cx="74930" cy="134620"/>
              <wp:effectExtent l="0" t="0" r="0" b="0"/>
              <wp:wrapNone/>
              <wp:docPr id="1" name="Frame1"/>
              <a:graphic xmlns:a="http://schemas.openxmlformats.org/drawingml/2006/main">
                <a:graphicData uri="http://schemas.microsoft.com/office/word/2010/wordprocessingShape">
                  <wps:wsp>
                    <wps:cNvSpPr txBox="1"/>
                    <wps:spPr>
                      <a:xfrm>
                        <a:off x="0" y="0"/>
                        <a:ext cx="74930" cy="134620"/>
                      </a:xfrm>
                      <a:prstGeom prst="rect"/>
                      <a:solidFill>
                        <a:srgbClr val="FFFFFF">
                          <a:alpha val="0"/>
                        </a:srgbClr>
                      </a:solidFill>
                    </wps:spPr>
                    <wps:txbx>
                      <w:txbxContent>
                        <w:p>
                          <w:pPr>
                            <w:pStyle w:val="Footer"/>
                            <w:spacing w:before="0" w:after="200"/>
                            <w:rPr>
                              <w:lang w:eastAsia="zh-CN"/>
                            </w:rPr>
                          </w:pPr>
                          <w:r>
                            <w:rPr>
                              <w:lang w:eastAsia="zh-CN"/>
                            </w:rPr>
                            <w:fldChar w:fldCharType="begin"/>
                          </w:r>
                          <w:r>
                            <w:rPr>
                              <w:lang w:eastAsia="zh-CN"/>
                            </w:rPr>
                            <w:instrText> PAGE </w:instrText>
                          </w:r>
                          <w:r>
                            <w:rPr>
                              <w:lang w:eastAsia="zh-CN"/>
                            </w:rPr>
                            <w:fldChar w:fldCharType="separate"/>
                          </w:r>
                          <w:r>
                            <w:rPr>
                              <w:lang w:eastAsia="zh-CN"/>
                            </w:rPr>
                            <w:t>2</w:t>
                          </w:r>
                          <w:r>
                            <w:rPr>
                              <w:lang w:eastAsia="zh-CN"/>
                            </w:rPr>
                            <w:fldChar w:fldCharType="end"/>
                          </w:r>
                        </w:p>
                      </w:txbxContent>
                    </wps:txbx>
                    <wps:bodyPr anchor="t" lIns="635" tIns="635" rIns="635" bIns="635">
                      <a:spAutoFit/>
                    </wps:bodyPr>
                  </wps:wsp>
                </a:graphicData>
              </a:graphic>
            </wp:anchor>
          </w:drawing>
        </mc:Choice>
        <mc:Fallback>
          <w:pict>
            <v:rect fillcolor="#FFFFFF" style="position:absolute;rotation:0;width:5.9pt;height:10.6pt;mso-wrap-distance-left:9.05pt;mso-wrap-distance-right:9.05pt;mso-wrap-distance-top:0pt;mso-wrap-distance-bottom:0pt;margin-top:0pt;mso-position-vertical-relative:text;margin-left:221pt;mso-position-horizontal:center;mso-position-horizontal-relative:margin">
              <v:fill opacity="0f"/>
              <v:textbox inset="0.000694444444444444in,0.000694444444444444in,0.000694444444444444in,0.000694444444444444in">
                <w:txbxContent>
                  <w:p>
                    <w:pPr>
                      <w:pStyle w:val="Footer"/>
                      <w:spacing w:before="0" w:after="200"/>
                      <w:rPr>
                        <w:lang w:eastAsia="zh-CN"/>
                      </w:rPr>
                    </w:pPr>
                    <w:r>
                      <w:rPr>
                        <w:lang w:eastAsia="zh-CN"/>
                      </w:rPr>
                      <w:fldChar w:fldCharType="begin"/>
                    </w:r>
                    <w:r>
                      <w:rPr>
                        <w:lang w:eastAsia="zh-CN"/>
                      </w:rPr>
                      <w:instrText> PAGE </w:instrText>
                    </w:r>
                    <w:r>
                      <w:rPr>
                        <w:lang w:eastAsia="zh-CN"/>
                      </w:rPr>
                      <w:fldChar w:fldCharType="separate"/>
                    </w:r>
                    <w:r>
                      <w:rPr>
                        <w:lang w:eastAsia="zh-CN"/>
                      </w:rPr>
                      <w:t>2</w:t>
                    </w:r>
                    <w:r>
                      <w:rPr>
                        <w:lang w:eastAsia="zh-CN"/>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noLeading/>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snapToGrid w:val="false"/>
      <w:spacing w:before="0" w:after="200"/>
    </w:pPr>
    <w:rPr>
      <w:rFonts w:ascii="Tahoma" w:hAnsi="Tahoma" w:eastAsia="微软雅黑" w:cs="Tahoma"/>
      <w:color w:val="auto"/>
      <w:sz w:val="22"/>
      <w:szCs w:val="22"/>
      <w:lang w:val="en-US" w:eastAsia="zh-CN" w:bidi="ar-SA"/>
    </w:rPr>
  </w:style>
  <w:style w:type="paragraph" w:styleId="Heading1">
    <w:name w:val="Heading 1"/>
    <w:basedOn w:val="Normal"/>
    <w:next w:val="Normal"/>
    <w:qFormat/>
    <w:pPr>
      <w:keepNext w:val="true"/>
      <w:keepLines/>
      <w:widowControl w:val="false"/>
      <w:numPr>
        <w:ilvl w:val="0"/>
        <w:numId w:val="1"/>
      </w:numPr>
      <w:snapToGrid w:val="true"/>
      <w:spacing w:lineRule="auto" w:line="576" w:before="340" w:after="330"/>
      <w:jc w:val="both"/>
      <w:outlineLvl w:val="0"/>
    </w:pPr>
    <w:rPr>
      <w:rFonts w:ascii="Times New Roman" w:hAnsi="Times New Roman" w:eastAsia="宋体" w:cs="Times New Roman"/>
      <w:b/>
      <w:bCs/>
      <w:kern w:val="2"/>
      <w:sz w:val="44"/>
      <w:szCs w:val="44"/>
    </w:rPr>
  </w:style>
  <w:style w:type="character" w:styleId="Style13">
    <w:name w:val="默认段落字体"/>
    <w:qFormat/>
    <w:rPr/>
  </w:style>
  <w:style w:type="character" w:styleId="PageNumber">
    <w:name w:val="Page Number"/>
    <w:basedOn w:val="Style13"/>
    <w:rPr/>
  </w:style>
  <w:style w:type="character" w:styleId="Appleconvertedspace">
    <w:name w:val="apple-converted-space"/>
    <w:basedOn w:val="Style13"/>
    <w:qFormat/>
    <w:rPr/>
  </w:style>
  <w:style w:type="character" w:styleId="Char">
    <w:name w:val="标题 Char"/>
    <w:basedOn w:val="Style13"/>
    <w:qFormat/>
    <w:rPr>
      <w:rFonts w:ascii="Cambria" w:hAnsi="Cambria" w:eastAsia="宋体" w:cs="Cambria"/>
      <w:b/>
      <w:bCs/>
      <w:sz w:val="32"/>
      <w:szCs w:val="32"/>
    </w:rPr>
  </w:style>
  <w:style w:type="character" w:styleId="Char1">
    <w:name w:val="页眉 Char"/>
    <w:basedOn w:val="Style13"/>
    <w:qFormat/>
    <w:rPr>
      <w:rFonts w:ascii="Tahoma" w:hAnsi="Tahoma" w:cs="Tahoma"/>
      <w:sz w:val="18"/>
      <w:szCs w:val="18"/>
    </w:rPr>
  </w:style>
  <w:style w:type="character" w:styleId="Char2">
    <w:name w:val="页脚 Char"/>
    <w:basedOn w:val="Style13"/>
    <w:qFormat/>
    <w:rPr>
      <w:rFonts w:ascii="Tahoma" w:hAnsi="Tahoma" w:cs="Tahoma"/>
      <w:sz w:val="18"/>
      <w:szCs w:val="18"/>
    </w:rPr>
  </w:style>
  <w:style w:type="character" w:styleId="1Char">
    <w:name w:val="标题 1 Char"/>
    <w:basedOn w:val="Style13"/>
    <w:qFormat/>
    <w:rPr>
      <w:rFonts w:ascii="Times New Roman" w:hAnsi="Times New Roman" w:eastAsia="宋体" w:cs="Times New Roman"/>
      <w:b/>
      <w:bCs/>
      <w:kern w:val="2"/>
      <w:sz w:val="44"/>
      <w:szCs w:val="44"/>
    </w:rPr>
  </w:style>
  <w:style w:type="paragraph" w:styleId="Heading">
    <w:name w:val="Heading"/>
    <w:basedOn w:val="Normal"/>
    <w:next w:val="Normal"/>
    <w:qFormat/>
    <w:pPr>
      <w:widowControl w:val="false"/>
      <w:snapToGrid w:val="true"/>
      <w:spacing w:lineRule="atLeast" w:line="312" w:before="240" w:after="60"/>
      <w:jc w:val="center"/>
      <w:textAlignment w:val="baseline"/>
      <w:outlineLvl w:val="0"/>
    </w:pPr>
    <w:rPr>
      <w:rFonts w:ascii="Cambria" w:hAnsi="Cambria" w:eastAsia="宋体" w:cs="Cambria"/>
      <w:b/>
      <w:bCs/>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153" w:leader="none"/>
        <w:tab w:val="right" w:pos="8306" w:leader="none"/>
      </w:tabs>
    </w:pPr>
    <w:rPr>
      <w:sz w:val="18"/>
      <w:szCs w:val="18"/>
    </w:rPr>
  </w:style>
  <w:style w:type="paragraph" w:styleId="Style14">
    <w:name w:val="普通(网站)"/>
    <w:basedOn w:val="Normal"/>
    <w:qFormat/>
    <w:pPr>
      <w:snapToGrid w:val="true"/>
      <w:spacing w:before="280" w:after="280"/>
    </w:pPr>
    <w:rPr>
      <w:rFonts w:ascii="宋体" w:hAnsi="宋体" w:eastAsia="宋体" w:cs="宋体"/>
      <w:sz w:val="24"/>
      <w:szCs w:val="24"/>
    </w:rPr>
  </w:style>
  <w:style w:type="paragraph" w:styleId="Header">
    <w:name w:val="Header"/>
    <w:basedOn w:val="Normal"/>
    <w:pPr>
      <w:tabs>
        <w:tab w:val="clear" w:pos="720"/>
        <w:tab w:val="center" w:pos="4153" w:leader="none"/>
        <w:tab w:val="right" w:pos="8306" w:leader="none"/>
      </w:tabs>
      <w:jc w:val="center"/>
    </w:pPr>
    <w:rPr>
      <w:sz w:val="18"/>
      <w:szCs w:val="18"/>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2019-04-08T18:01:00Z</dcterms:created>
  <dc:creator>Administrator</dc:creator>
  <dc:description/>
  <dc:language>en-US</dc:language>
  <cp:lastModifiedBy>Administrator</cp:lastModifiedBy>
  <dcterms:modified xsi:type="dcterms:W3CDTF">2019-10-16T16:28:59Z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