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61" w:after="360"/>
        <w:textAlignment w:val="baseline"/>
        <w:rPr>
          <w:rFonts w:ascii="楷体" w:hAnsi="楷体" w:eastAsia="楷体" w:cs="楷体"/>
          <w:bCs w:val="false"/>
          <w:color w:val="000000"/>
          <w:lang w:eastAsia="zh-CN"/>
        </w:rPr>
      </w:pPr>
      <w:r>
        <w:rPr>
          <w:rFonts w:ascii="SimHei" w:hAnsi="SimHei" w:cs="宋体" w:eastAsia="黑体"/>
          <w:color w:val="000000"/>
          <w:sz w:val="36"/>
        </w:rPr>
        <w:t>企业三大合理避税技巧</w:t>
      </w:r>
    </w:p>
    <w:p>
      <w:pPr>
        <w:pStyle w:val="Normal"/>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越来越多的人开始自己的创业行程，越来越多的创业企业面临纳税这个难题。对中小企业，特别是创业者来说，就算是曾经听说过诸多的节税筹划，却根本无从得知自己该进哪个门，该走哪条道。甚至于哪部分行为属于节税筹划，哪部分行为属于违法的偷漏税行为都分不大清楚。</w:t>
      </w:r>
    </w:p>
    <w:p>
      <w:pPr>
        <w:pStyle w:val="Normal"/>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其实，纳税与节税筹划本身并非是很难的事情，有时候就像是一层窗户纸，捅破了它，就看得很清楚了。当然，要捅开这层窗户纸，先要搞明白一个概念，即什幺是节税筹划？</w:t>
      </w:r>
      <w:r>
        <w:rPr>
          <w:rFonts w:eastAsia="黑体" w:cs="楷体" w:ascii="SimHei" w:hAnsi="SimHei"/>
          <w:color w:val="000000"/>
          <w:szCs w:val="21"/>
          <w:lang w:eastAsia="zh-CN"/>
        </w:rPr>
        <w:br/>
      </w:r>
      <w:r>
        <w:rPr>
          <w:rFonts w:eastAsia="黑体" w:cs="楷体" w:ascii="SimHei" w:hAnsi="SimHei"/>
          <w:color w:val="000000"/>
          <w:szCs w:val="21"/>
          <w:lang w:eastAsia="zh-CN"/>
        </w:rPr>
        <w:t xml:space="preserve">    </w:t>
      </w:r>
      <w:r>
        <w:rPr>
          <w:rFonts w:ascii="SimHei" w:hAnsi="SimHei" w:cs="楷体" w:eastAsia="黑体"/>
          <w:color w:val="000000"/>
          <w:szCs w:val="21"/>
          <w:lang w:eastAsia="zh-CN"/>
        </w:rPr>
        <w:t>节税筹划是纳税筹划的一种形式，它是指纳税人依据税法规定的优惠政策，采取合法的手段，最大限度地采用优惠条款，以达到减轻税收负担的合法经济行为。</w:t>
      </w:r>
    </w:p>
    <w:p>
      <w:pPr>
        <w:pStyle w:val="Heading1"/>
        <w:keepNext w:val="true"/>
        <w:keepLines/>
        <w:widowControl w:val="false"/>
        <w:spacing w:lineRule="auto" w:line="360" w:before="0" w:after="0"/>
        <w:ind w:firstLine="424"/>
        <w:jc w:val="both"/>
        <w:rPr>
          <w:rFonts w:ascii="楷体" w:hAnsi="楷体" w:eastAsia="楷体" w:cs="楷体"/>
          <w:color w:val="000000"/>
          <w:szCs w:val="21"/>
        </w:rPr>
      </w:pPr>
      <w:r>
        <w:rPr>
          <w:rFonts w:ascii="SimHei" w:hAnsi="SimHei" w:eastAsia="黑体"/>
          <w:color w:val="000000"/>
          <w:kern w:val="2"/>
          <w:sz w:val="28"/>
          <w:szCs w:val="21"/>
        </w:rPr>
        <w:t>筹资方案避税法</w:t>
      </w:r>
    </w:p>
    <w:p>
      <w:pPr>
        <w:pStyle w:val="Normal"/>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筹资方案避税法是指利用一定的筹资技术使企业达到最大获利水平和税负减少的方法。筹资方案避税主要包括筹资渠道的选择及还本付息方法的选择两部分内容。</w:t>
      </w:r>
    </w:p>
    <w:p>
      <w:pPr>
        <w:pStyle w:val="Normal"/>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一般来说，企业筹资渠道有：</w:t>
      </w:r>
      <w:r>
        <w:rPr>
          <w:rFonts w:eastAsia="黑体" w:cs="楷体" w:ascii="SimHei" w:hAnsi="SimHei"/>
          <w:color w:val="000000"/>
          <w:szCs w:val="21"/>
          <w:lang w:eastAsia="zh-CN"/>
        </w:rPr>
        <w:t>1</w:t>
      </w:r>
      <w:r>
        <w:rPr>
          <w:rFonts w:ascii="SimHei" w:hAnsi="SimHei" w:cs="楷体" w:eastAsia="黑体"/>
          <w:color w:val="000000"/>
          <w:szCs w:val="21"/>
          <w:lang w:eastAsia="zh-CN"/>
        </w:rPr>
        <w:t>、财政资金；</w:t>
      </w:r>
      <w:r>
        <w:rPr>
          <w:rFonts w:eastAsia="黑体" w:cs="楷体" w:ascii="SimHei" w:hAnsi="SimHei"/>
          <w:color w:val="000000"/>
          <w:szCs w:val="21"/>
          <w:lang w:eastAsia="zh-CN"/>
        </w:rPr>
        <w:t>2</w:t>
      </w:r>
      <w:r>
        <w:rPr>
          <w:rFonts w:ascii="SimHei" w:hAnsi="SimHei" w:cs="楷体" w:eastAsia="黑体"/>
          <w:color w:val="000000"/>
          <w:szCs w:val="21"/>
          <w:lang w:eastAsia="zh-CN"/>
        </w:rPr>
        <w:t>、金融机构信贷资金；</w:t>
      </w:r>
      <w:r>
        <w:rPr>
          <w:rFonts w:eastAsia="黑体" w:cs="楷体" w:ascii="SimHei" w:hAnsi="SimHei"/>
          <w:color w:val="000000"/>
          <w:szCs w:val="21"/>
          <w:lang w:eastAsia="zh-CN"/>
        </w:rPr>
        <w:t>3</w:t>
      </w:r>
      <w:r>
        <w:rPr>
          <w:rFonts w:ascii="SimHei" w:hAnsi="SimHei" w:cs="楷体" w:eastAsia="黑体"/>
          <w:color w:val="000000"/>
          <w:szCs w:val="21"/>
          <w:lang w:eastAsia="zh-CN"/>
        </w:rPr>
        <w:t>、企业自我积累；</w:t>
      </w:r>
      <w:r>
        <w:rPr>
          <w:rFonts w:eastAsia="黑体" w:cs="楷体" w:ascii="SimHei" w:hAnsi="SimHei"/>
          <w:color w:val="000000"/>
          <w:szCs w:val="21"/>
          <w:lang w:eastAsia="zh-CN"/>
        </w:rPr>
        <w:t>4</w:t>
      </w:r>
      <w:r>
        <w:rPr>
          <w:rFonts w:ascii="SimHei" w:hAnsi="SimHei" w:cs="楷体" w:eastAsia="黑体"/>
          <w:color w:val="000000"/>
          <w:szCs w:val="21"/>
          <w:lang w:eastAsia="zh-CN"/>
        </w:rPr>
        <w:t>、企业间拆借；</w:t>
      </w:r>
      <w:r>
        <w:rPr>
          <w:rFonts w:eastAsia="黑体" w:cs="楷体" w:ascii="SimHei" w:hAnsi="SimHei"/>
          <w:color w:val="000000"/>
          <w:szCs w:val="21"/>
          <w:lang w:eastAsia="zh-CN"/>
        </w:rPr>
        <w:t>5</w:t>
      </w:r>
      <w:r>
        <w:rPr>
          <w:rFonts w:ascii="SimHei" w:hAnsi="SimHei" w:cs="楷体" w:eastAsia="黑体"/>
          <w:color w:val="000000"/>
          <w:szCs w:val="21"/>
          <w:lang w:eastAsia="zh-CN"/>
        </w:rPr>
        <w:t>、企业内部集资；</w:t>
      </w:r>
      <w:r>
        <w:rPr>
          <w:rFonts w:eastAsia="黑体" w:cs="楷体" w:ascii="SimHei" w:hAnsi="SimHei"/>
          <w:color w:val="000000"/>
          <w:szCs w:val="21"/>
          <w:lang w:eastAsia="zh-CN"/>
        </w:rPr>
        <w:t>6</w:t>
      </w:r>
      <w:r>
        <w:rPr>
          <w:rFonts w:ascii="SimHei" w:hAnsi="SimHei" w:cs="楷体" w:eastAsia="黑体"/>
          <w:color w:val="000000"/>
          <w:szCs w:val="21"/>
          <w:lang w:eastAsia="zh-CN"/>
        </w:rPr>
        <w:t>、发行债券和股票；</w:t>
      </w:r>
      <w:r>
        <w:rPr>
          <w:rFonts w:eastAsia="黑体" w:cs="楷体" w:ascii="SimHei" w:hAnsi="SimHei"/>
          <w:color w:val="000000"/>
          <w:szCs w:val="21"/>
          <w:lang w:eastAsia="zh-CN"/>
        </w:rPr>
        <w:t>7</w:t>
      </w:r>
      <w:r>
        <w:rPr>
          <w:rFonts w:ascii="SimHei" w:hAnsi="SimHei" w:cs="楷体" w:eastAsia="黑体"/>
          <w:color w:val="000000"/>
          <w:szCs w:val="21"/>
          <w:lang w:eastAsia="zh-CN"/>
        </w:rPr>
        <w:t>、商业信用、租赁等等形式。从纳税角度看，这些筹资渠道产生的税收后果有很大的差异，对某些筹资渠道的利用可有效地帮助企业减轻税负，获得税收上的好处。</w:t>
      </w:r>
    </w:p>
    <w:p>
      <w:pPr>
        <w:pStyle w:val="Normal"/>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企业内部集资和企业之间拆借方式效果最好，金融机构贷款次之，自我积累效果最差。其原因在于内部集资和企业之间的拆借涉及到的人员和机构较多，容易使纳税利润规模分散而降低，出现</w:t>
      </w:r>
      <w:r>
        <w:rPr>
          <w:rFonts w:ascii="SimHei" w:hAnsi="SimHei" w:cs="楷体" w:eastAsia="黑体"/>
          <w:color w:val="000000"/>
          <w:szCs w:val="21"/>
          <w:lang w:eastAsia="zh-CN"/>
        </w:rPr>
        <w:t>“</w:t>
      </w:r>
      <w:r>
        <w:rPr>
          <w:rFonts w:ascii="SimHei" w:hAnsi="SimHei" w:cs="楷体" w:eastAsia="黑体"/>
          <w:color w:val="000000"/>
          <w:szCs w:val="21"/>
          <w:lang w:eastAsia="zh-CN"/>
        </w:rPr>
        <w:t>削山头</w:t>
      </w:r>
      <w:r>
        <w:rPr>
          <w:rFonts w:ascii="SimHei" w:hAnsi="SimHei" w:cs="楷体" w:eastAsia="黑体"/>
          <w:color w:val="000000"/>
          <w:szCs w:val="21"/>
          <w:lang w:eastAsia="zh-CN"/>
        </w:rPr>
        <w:t>”</w:t>
      </w:r>
      <w:r>
        <w:rPr>
          <w:rFonts w:ascii="SimHei" w:hAnsi="SimHei" w:cs="楷体" w:eastAsia="黑体"/>
          <w:color w:val="000000"/>
          <w:szCs w:val="21"/>
          <w:lang w:eastAsia="zh-CN"/>
        </w:rPr>
        <w:t>现象。同样，金融机构贷款亦可实现部分避税和较轻度避税：一方面，企业归还利息后，企业利润有所降低；另一方面在企业的投资产生收益后，出资机构实际上也要承担一定的税收，从而使企业实际税负相对降低。所以说，利用贷款从事生产经营活动是减轻税负合理避开部分税款的一个途径。企业自我积累资金由于资金所有者和占用者为一体，税收难以分摊和抵销，避税效果最差。</w:t>
      </w:r>
      <w:r>
        <w:rPr>
          <w:rFonts w:eastAsia="黑体" w:cs="楷体" w:ascii="SimHei" w:hAnsi="SimHei"/>
          <w:color w:val="000000"/>
          <w:szCs w:val="21"/>
          <w:lang w:eastAsia="zh-CN"/>
        </w:rPr>
        <w:br/>
      </w:r>
      <w:r>
        <w:rPr>
          <w:rFonts w:eastAsia="黑体" w:cs="楷体" w:ascii="SimHei" w:hAnsi="SimHei"/>
          <w:color w:val="000000"/>
          <w:szCs w:val="21"/>
          <w:lang w:eastAsia="zh-CN"/>
        </w:rPr>
        <w:t xml:space="preserve">    </w:t>
      </w:r>
      <w:r>
        <w:rPr>
          <w:rFonts w:ascii="SimHei" w:hAnsi="SimHei" w:cs="楷体" w:eastAsia="黑体"/>
          <w:color w:val="000000"/>
          <w:szCs w:val="21"/>
          <w:lang w:eastAsia="zh-CN"/>
        </w:rPr>
        <w:t>而贷款、拆借、集资等形式都涉及到还本付息的问题，因而就涉及到如何计算成本和如何将各有关费用摊入成本的问题。利用利息摊入成本的方法的不同和资金往来双方的关系及所处经济活动地位的不同，往往是实现有效避税的关键所在。</w:t>
      </w:r>
    </w:p>
    <w:p>
      <w:pPr>
        <w:pStyle w:val="Normal"/>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金融机构贷款计算利息的方法和利率比较稳定、幅度较小，实行避税的选择余地不大。而企业与经济组织的资金拆借在利息计算和资金回收期限方面均有较大弹性和回收余地，从而为避税提供了有利条件。其方法主要是：提高利息支付，减少企业利润，抵销所得税额；同时，再用某种形式将获得的高额利息返还给企业或以更方便的形式为企业提供担保等服务，从而达到避税目的。</w:t>
      </w:r>
    </w:p>
    <w:p>
      <w:pPr>
        <w:pStyle w:val="Heading1"/>
        <w:keepNext w:val="true"/>
        <w:keepLines/>
        <w:widowControl w:val="false"/>
        <w:spacing w:lineRule="auto" w:line="360" w:before="0" w:after="0"/>
        <w:ind w:firstLine="424"/>
        <w:jc w:val="both"/>
        <w:rPr>
          <w:rFonts w:ascii="楷体" w:hAnsi="楷体" w:eastAsia="楷体" w:cs="楷体"/>
          <w:bCs w:val="false"/>
          <w:color w:val="000000"/>
          <w:szCs w:val="21"/>
        </w:rPr>
      </w:pPr>
      <w:r>
        <w:rPr>
          <w:rFonts w:ascii="SimHei" w:hAnsi="SimHei" w:eastAsia="黑体"/>
          <w:color w:val="000000"/>
          <w:kern w:val="2"/>
          <w:sz w:val="28"/>
          <w:szCs w:val="21"/>
        </w:rPr>
        <w:t>投资方案避税法</w:t>
      </w:r>
    </w:p>
    <w:p>
      <w:pPr>
        <w:pStyle w:val="Normal"/>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投资方案避税法是指纳税人利用税法中对投资规定的有关减免税优惠，通过投资方案的选择，以达到减轻其税收负担的目的。</w:t>
      </w:r>
    </w:p>
    <w:p>
      <w:pPr>
        <w:pStyle w:val="Normal"/>
        <w:numPr>
          <w:ilvl w:val="0"/>
          <w:numId w:val="4"/>
        </w:numPr>
        <w:tabs>
          <w:tab w:val="clear" w:pos="480"/>
          <w:tab w:val="left" w:pos="993" w:leader="none"/>
        </w:tabs>
        <w:spacing w:lineRule="auto" w:line="360"/>
        <w:ind w:start="0" w:firstLine="480"/>
        <w:jc w:val="both"/>
        <w:rPr>
          <w:rFonts w:ascii="楷体" w:hAnsi="楷体" w:eastAsia="楷体" w:cs="楷体"/>
          <w:color w:val="000000"/>
          <w:szCs w:val="21"/>
          <w:lang w:eastAsia="zh-CN"/>
        </w:rPr>
      </w:pPr>
      <w:r>
        <w:rPr>
          <w:rFonts w:ascii="SimHei" w:hAnsi="SimHei" w:cs="楷体" w:eastAsia="黑体"/>
          <w:bCs/>
          <w:color w:val="000000"/>
          <w:szCs w:val="21"/>
          <w:lang w:eastAsia="zh-CN"/>
        </w:rPr>
        <w:t>投资企业类型选择法</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投资企业类型选择法是指投资者依据税法对不同类型企业的税收优惠规定，通过对企业类型的选择，以达到减轻税收负担的目的的方法。我国企业按投资来源分类，可分为内资企业和外资企业，对内、外资企业分别实行不同的税收政策；同一类型的企业内部组织形式不同，税收政策也不尽相同。因此，对不同类型的企业来说，其承担的税负也不相同。投资者在投资决策之前，对企业类型的选择是必须考虑的问题之一。</w:t>
      </w:r>
    </w:p>
    <w:p>
      <w:pPr>
        <w:pStyle w:val="Normal"/>
        <w:numPr>
          <w:ilvl w:val="0"/>
          <w:numId w:val="5"/>
        </w:numPr>
        <w:tabs>
          <w:tab w:val="clear" w:pos="480"/>
          <w:tab w:val="left" w:pos="993" w:leader="none"/>
        </w:tabs>
        <w:spacing w:lineRule="auto" w:line="360"/>
        <w:ind w:start="0"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内、外资企业适用税种的比较</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所谓内资企业是指以国有资产、集体资产、国内个人资产投资创办的企业。包括国有企业、集体企业、私营企业、联营企业和股份企业等五类。</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所谓外资企业是指经</w:t>
      </w:r>
      <w:r>
        <w:rPr>
          <w:rFonts w:eastAsia="黑体" w:cs="楷体" w:ascii="SimHei" w:hAnsi="SimHei"/>
          <w:color w:val="000000"/>
          <w:szCs w:val="21"/>
          <w:lang w:eastAsia="zh-CN"/>
        </w:rPr>
        <w:t>zgzf</w:t>
      </w:r>
      <w:r>
        <w:rPr>
          <w:rFonts w:ascii="SimHei" w:hAnsi="SimHei" w:cs="楷体" w:eastAsia="黑体"/>
          <w:color w:val="000000"/>
          <w:szCs w:val="21"/>
          <w:lang w:eastAsia="zh-CN"/>
        </w:rPr>
        <w:t>批准在中国境内设立的、有外国资本参与的经济实体。包括中外合资经营企业、中外合作经营企业、外商独资企业等三类。</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我国目前对内、外资企业征收的税收主要有流转税、所得税和其它各税三大部分。</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内、外资企业税收存在很大区别：内资企业的减低优惠税率幅度较小，为</w:t>
      </w:r>
      <w:r>
        <w:rPr>
          <w:rFonts w:eastAsia="黑体" w:cs="楷体" w:ascii="SimHei" w:hAnsi="SimHei"/>
          <w:color w:val="000000"/>
          <w:szCs w:val="21"/>
          <w:lang w:eastAsia="zh-CN"/>
        </w:rPr>
        <w:t>18%</w:t>
      </w:r>
      <w:r>
        <w:rPr>
          <w:rFonts w:ascii="SimHei" w:hAnsi="SimHei" w:cs="楷体" w:eastAsia="黑体"/>
          <w:color w:val="000000"/>
          <w:szCs w:val="21"/>
          <w:lang w:eastAsia="zh-CN"/>
        </w:rPr>
        <w:t>、</w:t>
      </w:r>
      <w:r>
        <w:rPr>
          <w:rFonts w:eastAsia="黑体" w:cs="楷体" w:ascii="SimHei" w:hAnsi="SimHei"/>
          <w:color w:val="000000"/>
          <w:szCs w:val="21"/>
          <w:lang w:eastAsia="zh-CN"/>
        </w:rPr>
        <w:t>27%</w:t>
      </w:r>
      <w:r>
        <w:rPr>
          <w:rFonts w:ascii="SimHei" w:hAnsi="SimHei" w:cs="楷体" w:eastAsia="黑体"/>
          <w:color w:val="000000"/>
          <w:szCs w:val="21"/>
          <w:lang w:eastAsia="zh-CN"/>
        </w:rPr>
        <w:t>两档，这主要是照顾投资规模较孝盈利水平较低的小型企业；而外商投资企业的减低优惠税率幅度较大，分别为</w:t>
      </w:r>
      <w:r>
        <w:rPr>
          <w:rFonts w:eastAsia="黑体" w:cs="楷体" w:ascii="SimHei" w:hAnsi="SimHei"/>
          <w:color w:val="000000"/>
          <w:szCs w:val="21"/>
          <w:lang w:eastAsia="zh-CN"/>
        </w:rPr>
        <w:t>15%</w:t>
      </w:r>
      <w:r>
        <w:rPr>
          <w:rFonts w:ascii="SimHei" w:hAnsi="SimHei" w:cs="楷体" w:eastAsia="黑体"/>
          <w:color w:val="000000"/>
          <w:szCs w:val="21"/>
          <w:lang w:eastAsia="zh-CN"/>
        </w:rPr>
        <w:t>、</w:t>
      </w:r>
      <w:r>
        <w:rPr>
          <w:rFonts w:eastAsia="黑体" w:cs="楷体" w:ascii="SimHei" w:hAnsi="SimHei"/>
          <w:color w:val="000000"/>
          <w:szCs w:val="21"/>
          <w:lang w:eastAsia="zh-CN"/>
        </w:rPr>
        <w:t>24%</w:t>
      </w:r>
      <w:r>
        <w:rPr>
          <w:rFonts w:ascii="SimHei" w:hAnsi="SimHei" w:cs="楷体" w:eastAsia="黑体"/>
          <w:color w:val="000000"/>
          <w:szCs w:val="21"/>
          <w:lang w:eastAsia="zh-CN"/>
        </w:rPr>
        <w:t>两档，主要是体现地区性和产业性的政策倾斜。内资企业的减免税优惠政策适用范围较窄，主要是对第三产业企业，利用</w:t>
      </w:r>
      <w:r>
        <w:rPr>
          <w:rFonts w:ascii="SimHei" w:hAnsi="SimHei" w:cs="楷体" w:eastAsia="黑体"/>
          <w:color w:val="000000"/>
          <w:szCs w:val="21"/>
          <w:lang w:eastAsia="zh-CN"/>
        </w:rPr>
        <w:t>“</w:t>
      </w:r>
      <w:r>
        <w:rPr>
          <w:rFonts w:ascii="SimHei" w:hAnsi="SimHei" w:cs="楷体" w:eastAsia="黑体"/>
          <w:color w:val="000000"/>
          <w:szCs w:val="21"/>
          <w:lang w:eastAsia="zh-CN"/>
        </w:rPr>
        <w:t>三废</w:t>
      </w:r>
      <w:r>
        <w:rPr>
          <w:rFonts w:ascii="SimHei" w:hAnsi="SimHei" w:cs="楷体" w:eastAsia="黑体"/>
          <w:color w:val="000000"/>
          <w:szCs w:val="21"/>
          <w:lang w:eastAsia="zh-CN"/>
        </w:rPr>
        <w:t>”</w:t>
      </w:r>
      <w:r>
        <w:rPr>
          <w:rFonts w:ascii="SimHei" w:hAnsi="SimHei" w:cs="楷体" w:eastAsia="黑体"/>
          <w:color w:val="000000"/>
          <w:szCs w:val="21"/>
          <w:lang w:eastAsia="zh-CN"/>
        </w:rPr>
        <w:t>企业以及劳动就业服务企业、校办工厂、福利生产企业等；外商投资企业的减免税优惠适用范围较宽，主要是对生产性企业、产品出口企业、先进技术企业以及从事能源、交通、港口、码头建设的企业等等。内资企业的减免税期限较短，一般为</w:t>
      </w:r>
      <w:r>
        <w:rPr>
          <w:rFonts w:eastAsia="黑体" w:cs="楷体" w:ascii="SimHei" w:hAnsi="SimHei"/>
          <w:color w:val="000000"/>
          <w:szCs w:val="21"/>
          <w:lang w:eastAsia="zh-CN"/>
        </w:rPr>
        <w:t>l—3</w:t>
      </w:r>
      <w:r>
        <w:rPr>
          <w:rFonts w:ascii="SimHei" w:hAnsi="SimHei" w:cs="楷体" w:eastAsia="黑体"/>
          <w:color w:val="000000"/>
          <w:szCs w:val="21"/>
          <w:lang w:eastAsia="zh-CN"/>
        </w:rPr>
        <w:t>年；外商投资企业的减免税期限一般都在</w:t>
      </w:r>
      <w:r>
        <w:rPr>
          <w:rFonts w:eastAsia="黑体" w:cs="楷体" w:ascii="SimHei" w:hAnsi="SimHei"/>
          <w:color w:val="000000"/>
          <w:szCs w:val="21"/>
          <w:lang w:eastAsia="zh-CN"/>
        </w:rPr>
        <w:t>5</w:t>
      </w:r>
      <w:r>
        <w:rPr>
          <w:rFonts w:ascii="SimHei" w:hAnsi="SimHei" w:cs="楷体" w:eastAsia="黑体"/>
          <w:color w:val="000000"/>
          <w:szCs w:val="21"/>
          <w:lang w:eastAsia="zh-CN"/>
        </w:rPr>
        <w:t>年或</w:t>
      </w:r>
      <w:r>
        <w:rPr>
          <w:rFonts w:eastAsia="黑体" w:cs="楷体" w:ascii="SimHei" w:hAnsi="SimHei"/>
          <w:color w:val="000000"/>
          <w:szCs w:val="21"/>
          <w:lang w:eastAsia="zh-CN"/>
        </w:rPr>
        <w:t>5</w:t>
      </w:r>
      <w:r>
        <w:rPr>
          <w:rFonts w:ascii="SimHei" w:hAnsi="SimHei" w:cs="楷体" w:eastAsia="黑体"/>
          <w:color w:val="000000"/>
          <w:szCs w:val="21"/>
          <w:lang w:eastAsia="zh-CN"/>
        </w:rPr>
        <w:t>年以上。另外，适用其它各税的税种数不同：内资企业适用</w:t>
      </w:r>
      <w:r>
        <w:rPr>
          <w:rFonts w:eastAsia="黑体" w:cs="楷体" w:ascii="SimHei" w:hAnsi="SimHei"/>
          <w:color w:val="000000"/>
          <w:szCs w:val="21"/>
          <w:lang w:eastAsia="zh-CN"/>
        </w:rPr>
        <w:t>10</w:t>
      </w:r>
      <w:r>
        <w:rPr>
          <w:rFonts w:ascii="SimHei" w:hAnsi="SimHei" w:cs="楷体" w:eastAsia="黑体"/>
          <w:color w:val="000000"/>
          <w:szCs w:val="21"/>
          <w:lang w:eastAsia="zh-CN"/>
        </w:rPr>
        <w:t>个税种；而外商投资企业则适用</w:t>
      </w:r>
      <w:r>
        <w:rPr>
          <w:rFonts w:eastAsia="黑体" w:cs="楷体" w:ascii="SimHei" w:hAnsi="SimHei"/>
          <w:color w:val="000000"/>
          <w:szCs w:val="21"/>
          <w:lang w:eastAsia="zh-CN"/>
        </w:rPr>
        <w:t>6</w:t>
      </w:r>
      <w:r>
        <w:rPr>
          <w:rFonts w:ascii="SimHei" w:hAnsi="SimHei" w:cs="楷体" w:eastAsia="黑体"/>
          <w:color w:val="000000"/>
          <w:szCs w:val="21"/>
          <w:lang w:eastAsia="zh-CN"/>
        </w:rPr>
        <w:t>个税种。</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eastAsia="黑体" w:cs="楷体" w:ascii="SimHei" w:hAnsi="SimHei"/>
          <w:color w:val="000000"/>
          <w:szCs w:val="21"/>
          <w:lang w:eastAsia="zh-CN"/>
        </w:rPr>
        <w:t xml:space="preserve"> </w:t>
      </w:r>
      <w:r>
        <w:rPr>
          <w:rFonts w:eastAsia="黑体" w:cs="楷体" w:ascii="SimHei" w:hAnsi="SimHei"/>
          <w:color w:val="000000"/>
          <w:szCs w:val="21"/>
          <w:lang w:eastAsia="zh-CN"/>
        </w:rPr>
        <w:t>(</w:t>
      </w:r>
      <w:r>
        <w:rPr>
          <w:rFonts w:ascii="SimHei" w:hAnsi="SimHei" w:cs="楷体" w:eastAsia="黑体"/>
          <w:color w:val="000000"/>
          <w:szCs w:val="21"/>
          <w:lang w:eastAsia="zh-CN"/>
        </w:rPr>
        <w:t>二</w:t>
      </w:r>
      <w:r>
        <w:rPr>
          <w:rFonts w:eastAsia="黑体" w:cs="楷体" w:ascii="SimHei" w:hAnsi="SimHei"/>
          <w:color w:val="000000"/>
          <w:szCs w:val="21"/>
          <w:lang w:eastAsia="zh-CN"/>
        </w:rPr>
        <w:t>)</w:t>
      </w:r>
      <w:r>
        <w:rPr>
          <w:rFonts w:ascii="SimHei" w:hAnsi="SimHei" w:cs="楷体" w:eastAsia="黑体"/>
          <w:color w:val="000000"/>
          <w:szCs w:val="21"/>
          <w:lang w:eastAsia="zh-CN"/>
        </w:rPr>
        <w:t>内资企业之间的税负比较</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内资企业统一按国家有关税法规定缴纳各项税收，税收负担基本上趋于公平，但仍可以通过特殊的企业组织形式的选择以达到避税目的。</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eastAsia="黑体" w:cs="楷体" w:ascii="SimHei" w:hAnsi="SimHei"/>
          <w:color w:val="000000"/>
          <w:szCs w:val="21"/>
          <w:lang w:eastAsia="zh-CN"/>
        </w:rPr>
        <w:t>1</w:t>
      </w:r>
      <w:r>
        <w:rPr>
          <w:rFonts w:ascii="SimHei" w:hAnsi="SimHei" w:cs="楷体" w:eastAsia="黑体"/>
          <w:color w:val="000000"/>
          <w:szCs w:val="21"/>
          <w:lang w:eastAsia="zh-CN"/>
        </w:rPr>
        <w:t>、横向联合避税法。即为了获取税收上的好处，以横向联合为名组成联合经济组织。这种作法在税收上有几个益处：</w:t>
      </w:r>
      <w:r>
        <w:rPr>
          <w:rFonts w:eastAsia="黑体" w:cs="楷体" w:ascii="SimHei" w:hAnsi="SimHei"/>
          <w:color w:val="000000"/>
          <w:szCs w:val="21"/>
          <w:lang w:eastAsia="zh-CN"/>
        </w:rPr>
        <w:t>(1)</w:t>
      </w:r>
      <w:r>
        <w:rPr>
          <w:rFonts w:ascii="SimHei" w:hAnsi="SimHei" w:cs="楷体" w:eastAsia="黑体"/>
          <w:color w:val="000000"/>
          <w:szCs w:val="21"/>
          <w:lang w:eastAsia="zh-CN"/>
        </w:rPr>
        <w:t>横向联合后，企业与企业相互提供产品可以避开交易外表，消除营业额，从而避开增值税和营业税；</w:t>
      </w:r>
      <w:r>
        <w:rPr>
          <w:rFonts w:eastAsia="黑体" w:cs="楷体" w:ascii="SimHei" w:hAnsi="SimHei"/>
          <w:color w:val="000000"/>
          <w:szCs w:val="21"/>
          <w:lang w:eastAsia="zh-CN"/>
        </w:rPr>
        <w:t>(2)</w:t>
      </w:r>
      <w:r>
        <w:rPr>
          <w:rFonts w:ascii="SimHei" w:hAnsi="SimHei" w:cs="楷体" w:eastAsia="黑体"/>
          <w:color w:val="000000"/>
          <w:szCs w:val="21"/>
          <w:lang w:eastAsia="zh-CN"/>
        </w:rPr>
        <w:t>经济联合组织实现的利润，采用</w:t>
      </w:r>
      <w:r>
        <w:rPr>
          <w:rFonts w:ascii="SimHei" w:hAnsi="SimHei" w:cs="楷体" w:eastAsia="黑体"/>
          <w:color w:val="000000"/>
          <w:szCs w:val="21"/>
          <w:lang w:eastAsia="zh-CN"/>
        </w:rPr>
        <w:t>“</w:t>
      </w:r>
      <w:r>
        <w:rPr>
          <w:rFonts w:ascii="SimHei" w:hAnsi="SimHei" w:cs="楷体" w:eastAsia="黑体"/>
          <w:color w:val="000000"/>
          <w:szCs w:val="21"/>
          <w:lang w:eastAsia="zh-CN"/>
        </w:rPr>
        <w:t>先分后税</w:t>
      </w:r>
      <w:r>
        <w:rPr>
          <w:rFonts w:ascii="SimHei" w:hAnsi="SimHei" w:cs="楷体" w:eastAsia="黑体"/>
          <w:color w:val="000000"/>
          <w:szCs w:val="21"/>
          <w:lang w:eastAsia="zh-CN"/>
        </w:rPr>
        <w:t>”</w:t>
      </w:r>
      <w:r>
        <w:rPr>
          <w:rFonts w:ascii="SimHei" w:hAnsi="SimHei" w:cs="楷体" w:eastAsia="黑体"/>
          <w:color w:val="000000"/>
          <w:szCs w:val="21"/>
          <w:lang w:eastAsia="zh-CN"/>
        </w:rPr>
        <w:t>的办法，由联合各方按协议规定从联合组织分得利润，拿回原地并入企业利润一并征收所得税。这就给企业在瓜分和转移利润上提供了机会。例如，为了鼓励再投资，中国税法规定，对向交通、能源、老少边穷地区投资分得的利润在</w:t>
      </w:r>
      <w:r>
        <w:rPr>
          <w:rFonts w:eastAsia="黑体" w:cs="楷体" w:ascii="SimHei" w:hAnsi="SimHei"/>
          <w:color w:val="000000"/>
          <w:szCs w:val="21"/>
          <w:lang w:eastAsia="zh-CN"/>
        </w:rPr>
        <w:t>5</w:t>
      </w:r>
      <w:r>
        <w:rPr>
          <w:rFonts w:ascii="SimHei" w:hAnsi="SimHei" w:cs="楷体" w:eastAsia="黑体"/>
          <w:color w:val="000000"/>
          <w:szCs w:val="21"/>
          <w:lang w:eastAsia="zh-CN"/>
        </w:rPr>
        <w:t>年内减半征收所得税，以分得的利润再投资于上述地区的免征所得税。作为企业就可以通过尽可能挂靠</w:t>
      </w:r>
      <w:r>
        <w:rPr>
          <w:rFonts w:ascii="SimHei" w:hAnsi="SimHei" w:cs="楷体" w:eastAsia="黑体"/>
          <w:color w:val="000000"/>
          <w:szCs w:val="21"/>
          <w:lang w:eastAsia="zh-CN"/>
        </w:rPr>
        <w:t>“</w:t>
      </w:r>
      <w:r>
        <w:rPr>
          <w:rFonts w:ascii="SimHei" w:hAnsi="SimHei" w:cs="楷体" w:eastAsia="黑体"/>
          <w:color w:val="000000"/>
          <w:szCs w:val="21"/>
          <w:lang w:eastAsia="zh-CN"/>
        </w:rPr>
        <w:t>老少边穷</w:t>
      </w:r>
      <w:r>
        <w:rPr>
          <w:rFonts w:ascii="SimHei" w:hAnsi="SimHei" w:cs="楷体" w:eastAsia="黑体"/>
          <w:color w:val="000000"/>
          <w:szCs w:val="21"/>
          <w:lang w:eastAsia="zh-CN"/>
        </w:rPr>
        <w:t>”</w:t>
      </w:r>
      <w:r>
        <w:rPr>
          <w:rFonts w:ascii="SimHei" w:hAnsi="SimHei" w:cs="楷体" w:eastAsia="黑体"/>
          <w:color w:val="000000"/>
          <w:szCs w:val="21"/>
          <w:lang w:eastAsia="zh-CN"/>
        </w:rPr>
        <w:t>和交通、能源，以达到避税的目的。但在实践中，横向联合避税法有其局限性：一是联合或挂靠本身有名无实，是否合法的问题；二是即使挂靠联合合法，也能享受税收优惠，但仍存在避税成本高低的问题。应择其优而选之。</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eastAsia="黑体" w:cs="楷体" w:ascii="SimHei" w:hAnsi="SimHei"/>
          <w:color w:val="000000"/>
          <w:szCs w:val="21"/>
          <w:lang w:eastAsia="zh-CN"/>
        </w:rPr>
        <w:t>2</w:t>
      </w:r>
      <w:r>
        <w:rPr>
          <w:rFonts w:ascii="SimHei" w:hAnsi="SimHei" w:cs="楷体" w:eastAsia="黑体"/>
          <w:color w:val="000000"/>
          <w:szCs w:val="21"/>
          <w:lang w:eastAsia="zh-CN"/>
        </w:rPr>
        <w:t>、挂靠科研避税法。我国税法规定，对大专院校和专门从事科学研究的机构进口的仪器、仪表等，享受科研用品免税方法规定的优惠，即免征进口关税以及增值税。同时，为了促进高科技产业的发展，对属于火炬计划开发范围内的高技术、新技术产品，国家给予相应的税收优惠政策。由此产生了挂靠科研避税法。即企业通过一系列手法向科研挂靠，争取国家有关优惠，以达到避税目的。例如：企业以高新技术企业的名义，努力获取海关批准，在高新技术产业开发区内设立保税仓库、保税工厂，从而按照进料加工的有关规定，享受免征进口关税和增值税优惠。挂靠科研避税法的采用应满足</w:t>
      </w:r>
      <w:r>
        <w:rPr>
          <w:rFonts w:eastAsia="黑体" w:cs="楷体" w:ascii="SimHei" w:hAnsi="SimHei"/>
          <w:color w:val="000000"/>
          <w:szCs w:val="21"/>
          <w:lang w:eastAsia="zh-CN"/>
        </w:rPr>
        <w:t>3</w:t>
      </w:r>
      <w:r>
        <w:rPr>
          <w:rFonts w:ascii="SimHei" w:hAnsi="SimHei" w:cs="楷体" w:eastAsia="黑体"/>
          <w:color w:val="000000"/>
          <w:szCs w:val="21"/>
          <w:lang w:eastAsia="zh-CN"/>
        </w:rPr>
        <w:t>个条件</w:t>
      </w:r>
      <w:r>
        <w:rPr>
          <w:rFonts w:eastAsia="黑体" w:cs="楷体" w:ascii="SimHei" w:hAnsi="SimHei"/>
          <w:color w:val="000000"/>
          <w:szCs w:val="21"/>
          <w:lang w:eastAsia="zh-CN"/>
        </w:rPr>
        <w:t>1)</w:t>
      </w:r>
      <w:r>
        <w:rPr>
          <w:rFonts w:ascii="SimHei" w:hAnsi="SimHei" w:cs="楷体" w:eastAsia="黑体"/>
          <w:color w:val="000000"/>
          <w:szCs w:val="21"/>
          <w:lang w:eastAsia="zh-CN"/>
        </w:rPr>
        <w:t>获取高新技术企业的称号；</w:t>
      </w:r>
      <w:r>
        <w:rPr>
          <w:rFonts w:eastAsia="黑体" w:cs="楷体" w:ascii="SimHei" w:hAnsi="SimHei"/>
          <w:color w:val="000000"/>
          <w:szCs w:val="21"/>
          <w:lang w:eastAsia="zh-CN"/>
        </w:rPr>
        <w:t>(2)</w:t>
      </w:r>
      <w:r>
        <w:rPr>
          <w:rFonts w:ascii="SimHei" w:hAnsi="SimHei" w:cs="楷体" w:eastAsia="黑体"/>
          <w:color w:val="000000"/>
          <w:szCs w:val="21"/>
          <w:lang w:eastAsia="zh-CN"/>
        </w:rPr>
        <w:t>获取税务机关和海关的批文和认可；</w:t>
      </w:r>
      <w:r>
        <w:rPr>
          <w:rFonts w:eastAsia="黑体" w:cs="楷体" w:ascii="SimHei" w:hAnsi="SimHei"/>
          <w:color w:val="000000"/>
          <w:szCs w:val="21"/>
          <w:lang w:eastAsia="zh-CN"/>
        </w:rPr>
        <w:t>(3)</w:t>
      </w:r>
      <w:r>
        <w:rPr>
          <w:rFonts w:ascii="SimHei" w:hAnsi="SimHei" w:cs="楷体" w:eastAsia="黑体"/>
          <w:color w:val="000000"/>
          <w:szCs w:val="21"/>
          <w:lang w:eastAsia="zh-CN"/>
        </w:rPr>
        <w:t>努力掌握国家优惠政策项目，并使本企业进出口对象符合享受的条件。</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bCs/>
          <w:color w:val="000000"/>
          <w:szCs w:val="21"/>
          <w:lang w:eastAsia="zh-CN"/>
        </w:rPr>
        <w:t>二、投资方式选择法</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投资方式是指投资者以何种方式投资。一般包括现汇投资、有形资产投资、无形资产投资等方式。投资方式选择法是指纳税人利用税法的有关规定，通过对投资方式的选择，以达到减轻税收负担的目的。</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投资方式选择法要根据所投资企业的具体情况来具体分析。以中外合资经营企业为例，投资者可以用货币方式投资，也可以用建筑物、厂房、机械设备或其它对象、工业产权、专有技术、场地使用权等作价投资。为了鼓励中外合资经营企业引进国外先进机械设备，中国税法规定，按照合同规定作为外国合营者出资的机械设备、零部件和其它物料，合营企业以投资总额内的资金进口的机械设备、零部件和其它物料，以及经审查批准，合营企业以增加资本新进口的国内不能保证供应的机械设备、零部件和其它物料，可免征关税和进口环节的增值税。</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无形资产虽不具有实物形态，但能给企业带来经济效益，甚至可创造出成倍或更多的超额利润。无形资产是指企业长期使用而没有实物形态的资产，它包括专利权、非专利技术、商标权、著作权、土地使用权、商誉等。投资者利用无形资产也可以达到避税的目的。</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假设投资者欲投资办一中外合资经营企业，该企业为生产高科技产品企业，需要从合资外方购进一项专利权，金额为</w:t>
      </w:r>
      <w:r>
        <w:rPr>
          <w:rFonts w:eastAsia="黑体" w:cs="楷体" w:ascii="SimHei" w:hAnsi="SimHei"/>
          <w:color w:val="000000"/>
          <w:szCs w:val="21"/>
          <w:lang w:eastAsia="zh-CN"/>
        </w:rPr>
        <w:t>100</w:t>
      </w:r>
      <w:r>
        <w:rPr>
          <w:rFonts w:ascii="SimHei" w:hAnsi="SimHei" w:cs="楷体" w:eastAsia="黑体"/>
          <w:color w:val="000000"/>
          <w:szCs w:val="21"/>
          <w:lang w:eastAsia="zh-CN"/>
        </w:rPr>
        <w:t>万美元；如果以该合资企业名义向外方购买这项专利权，该外商应按转让该项专利权的所得缴纳预提所得税</w:t>
      </w:r>
      <w:r>
        <w:rPr>
          <w:rFonts w:eastAsia="黑体" w:cs="楷体" w:ascii="SimHei" w:hAnsi="SimHei"/>
          <w:color w:val="000000"/>
          <w:szCs w:val="21"/>
          <w:lang w:eastAsia="zh-CN"/>
        </w:rPr>
        <w:t>20</w:t>
      </w:r>
      <w:r>
        <w:rPr>
          <w:rFonts w:ascii="SimHei" w:hAnsi="SimHei" w:cs="楷体" w:eastAsia="黑体"/>
          <w:color w:val="000000"/>
          <w:szCs w:val="21"/>
          <w:lang w:eastAsia="zh-CN"/>
        </w:rPr>
        <w:t>万美元，其计算公式为：</w:t>
      </w:r>
      <w:r>
        <w:rPr>
          <w:rFonts w:eastAsia="黑体" w:cs="楷体" w:ascii="SimHei" w:hAnsi="SimHei"/>
          <w:color w:val="000000"/>
          <w:szCs w:val="21"/>
          <w:lang w:eastAsia="zh-CN"/>
        </w:rPr>
        <w:t>100</w:t>
      </w:r>
      <w:r>
        <w:rPr>
          <w:rFonts w:ascii="SimHei" w:hAnsi="SimHei" w:cs="楷体" w:eastAsia="黑体"/>
          <w:color w:val="000000"/>
          <w:szCs w:val="21"/>
          <w:lang w:eastAsia="zh-CN"/>
        </w:rPr>
        <w:t>万美元</w:t>
      </w:r>
      <w:r>
        <w:rPr>
          <w:rFonts w:eastAsia="黑体" w:cs="楷体" w:ascii="SimHei" w:hAnsi="SimHei"/>
          <w:color w:val="000000"/>
          <w:szCs w:val="21"/>
          <w:lang w:eastAsia="zh-CN"/>
        </w:rPr>
        <w:t>×20%=20</w:t>
      </w:r>
      <w:r>
        <w:rPr>
          <w:rFonts w:ascii="SimHei" w:hAnsi="SimHei" w:cs="楷体" w:eastAsia="黑体"/>
          <w:color w:val="000000"/>
          <w:szCs w:val="21"/>
          <w:lang w:eastAsia="zh-CN"/>
        </w:rPr>
        <w:t>万美元。如果改为外商以该项专利权作为投资入股</w:t>
      </w:r>
      <w:r>
        <w:rPr>
          <w:rFonts w:eastAsia="黑体" w:cs="楷体" w:ascii="SimHei" w:hAnsi="SimHei"/>
          <w:color w:val="000000"/>
          <w:szCs w:val="21"/>
          <w:lang w:eastAsia="zh-CN"/>
        </w:rPr>
        <w:t>100</w:t>
      </w:r>
      <w:r>
        <w:rPr>
          <w:rFonts w:ascii="SimHei" w:hAnsi="SimHei" w:cs="楷体" w:eastAsia="黑体"/>
          <w:color w:val="000000"/>
          <w:szCs w:val="21"/>
          <w:lang w:eastAsia="zh-CN"/>
        </w:rPr>
        <w:t>万美元，则可免缴</w:t>
      </w:r>
      <w:r>
        <w:rPr>
          <w:rFonts w:eastAsia="黑体" w:cs="楷体" w:ascii="SimHei" w:hAnsi="SimHei"/>
          <w:color w:val="000000"/>
          <w:szCs w:val="21"/>
          <w:lang w:eastAsia="zh-CN"/>
        </w:rPr>
        <w:t>20</w:t>
      </w:r>
      <w:r>
        <w:rPr>
          <w:rFonts w:ascii="SimHei" w:hAnsi="SimHei" w:cs="楷体" w:eastAsia="黑体"/>
          <w:color w:val="000000"/>
          <w:szCs w:val="21"/>
          <w:lang w:eastAsia="zh-CN"/>
        </w:rPr>
        <w:t>万美元的预提所得税。</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那幺以货币方式进行投资能否起到避税的效果呢？以中外合资经营企业为例，中外合资经营者在投资总额内或以追加投入的资本进口机械设备、零部件等可免征关税和进口环节的增值税。这就是说合资中外双方均以货币方式投资，用其投资总额内的资本或追加投入的资本进口的机械设备、零部件等，同样可以享受免征关税和进口环节增值税的照顾，达到节税的效果。</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由此可知，只要合理利用有关法规，无论采用何种方式投资入股，均可达到避税目的。但在具体运用时，还应根据投资的不同情况，综合分析比较，以选择最佳方案。</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假设有一个中外合资经营项目，合同要求中方提供厂房、办公楼房以及土地使用权等，而中方又无现成办公楼可以提供，这时中方企业面临两种选择：一种是由中方企业投资建造办公楼房，再提供给合资企业使用，其结果是，中方企业除建造办公楼房投资外，还应按规定缴纳固定资产投资方向调节税。二是由中方企业把相当于建造楼房的资金投入该合资经营企业，再以合资企业名义建造办公楼房，则可免缴固定资产投资方向调节税。</w:t>
      </w:r>
    </w:p>
    <w:p>
      <w:pPr>
        <w:pStyle w:val="Normal"/>
        <w:numPr>
          <w:ilvl w:val="0"/>
          <w:numId w:val="4"/>
        </w:numPr>
        <w:tabs>
          <w:tab w:val="clear" w:pos="480"/>
          <w:tab w:val="left" w:pos="993" w:leader="none"/>
        </w:tabs>
        <w:spacing w:lineRule="auto" w:line="360"/>
        <w:ind w:start="0" w:firstLine="480"/>
        <w:jc w:val="both"/>
        <w:rPr>
          <w:rFonts w:ascii="楷体" w:hAnsi="楷体" w:eastAsia="楷体" w:cs="楷体"/>
          <w:color w:val="000000"/>
          <w:szCs w:val="21"/>
          <w:lang w:eastAsia="zh-CN"/>
        </w:rPr>
      </w:pPr>
      <w:r>
        <w:rPr>
          <w:rFonts w:ascii="SimHei" w:hAnsi="SimHei" w:cs="楷体" w:eastAsia="黑体"/>
          <w:bCs/>
          <w:color w:val="000000"/>
          <w:szCs w:val="21"/>
          <w:lang w:eastAsia="zh-CN"/>
        </w:rPr>
        <w:t>投资产业选择法</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投资产业选择法是指投资者根据国家产业政策和税收优惠规定，通过对投资产业的选择，以达到减轻税负的目的。</w:t>
      </w:r>
    </w:p>
    <w:p>
      <w:pPr>
        <w:pStyle w:val="Normal"/>
        <w:numPr>
          <w:ilvl w:val="0"/>
          <w:numId w:val="6"/>
        </w:numPr>
        <w:tabs>
          <w:tab w:val="clear" w:pos="480"/>
          <w:tab w:val="left" w:pos="993" w:leader="none"/>
        </w:tabs>
        <w:spacing w:lineRule="auto" w:line="360"/>
        <w:ind w:start="0"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生产性企业和非生产性企业的税收比较</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生产性企业主要包括从事以下行业的企业：</w:t>
      </w:r>
      <w:r>
        <w:rPr>
          <w:rFonts w:eastAsia="黑体" w:cs="楷体" w:ascii="SimHei" w:hAnsi="SimHei"/>
          <w:color w:val="000000"/>
          <w:szCs w:val="21"/>
          <w:lang w:eastAsia="zh-CN"/>
        </w:rPr>
        <w:t>(1)</w:t>
      </w:r>
      <w:r>
        <w:rPr>
          <w:rFonts w:ascii="SimHei" w:hAnsi="SimHei" w:cs="楷体" w:eastAsia="黑体"/>
          <w:color w:val="000000"/>
          <w:szCs w:val="21"/>
          <w:lang w:eastAsia="zh-CN"/>
        </w:rPr>
        <w:t>机械制造、电子工业；</w:t>
      </w:r>
      <w:r>
        <w:rPr>
          <w:rFonts w:eastAsia="黑体" w:cs="楷体" w:ascii="SimHei" w:hAnsi="SimHei"/>
          <w:color w:val="000000"/>
          <w:szCs w:val="21"/>
          <w:lang w:eastAsia="zh-CN"/>
        </w:rPr>
        <w:t>(2)</w:t>
      </w:r>
      <w:r>
        <w:rPr>
          <w:rFonts w:ascii="SimHei" w:hAnsi="SimHei" w:cs="楷体" w:eastAsia="黑体"/>
          <w:color w:val="000000"/>
          <w:szCs w:val="21"/>
          <w:lang w:eastAsia="zh-CN"/>
        </w:rPr>
        <w:t>能源工业</w:t>
      </w:r>
      <w:r>
        <w:rPr>
          <w:rFonts w:eastAsia="黑体" w:cs="楷体" w:ascii="SimHei" w:hAnsi="SimHei"/>
          <w:color w:val="000000"/>
          <w:szCs w:val="21"/>
          <w:lang w:eastAsia="zh-CN"/>
        </w:rPr>
        <w:t>(</w:t>
      </w:r>
      <w:r>
        <w:rPr>
          <w:rFonts w:ascii="SimHei" w:hAnsi="SimHei" w:cs="楷体" w:eastAsia="黑体"/>
          <w:color w:val="000000"/>
          <w:szCs w:val="21"/>
          <w:lang w:eastAsia="zh-CN"/>
        </w:rPr>
        <w:t>不含开采石油、天然气</w:t>
      </w:r>
      <w:r>
        <w:rPr>
          <w:rFonts w:eastAsia="黑体" w:cs="楷体" w:ascii="SimHei" w:hAnsi="SimHei"/>
          <w:color w:val="000000"/>
          <w:szCs w:val="21"/>
          <w:lang w:eastAsia="zh-CN"/>
        </w:rPr>
        <w:t>)</w:t>
      </w:r>
      <w:r>
        <w:rPr>
          <w:rFonts w:ascii="SimHei" w:hAnsi="SimHei" w:cs="楷体" w:eastAsia="黑体"/>
          <w:color w:val="000000"/>
          <w:szCs w:val="21"/>
          <w:lang w:eastAsia="zh-CN"/>
        </w:rPr>
        <w:t>；</w:t>
      </w:r>
      <w:r>
        <w:rPr>
          <w:rFonts w:eastAsia="黑体" w:cs="楷体" w:ascii="SimHei" w:hAnsi="SimHei"/>
          <w:color w:val="000000"/>
          <w:szCs w:val="21"/>
          <w:lang w:eastAsia="zh-CN"/>
        </w:rPr>
        <w:t>(3)</w:t>
      </w:r>
      <w:r>
        <w:rPr>
          <w:rFonts w:ascii="SimHei" w:hAnsi="SimHei" w:cs="楷体" w:eastAsia="黑体"/>
          <w:color w:val="000000"/>
          <w:szCs w:val="21"/>
          <w:lang w:eastAsia="zh-CN"/>
        </w:rPr>
        <w:t>冶金、化学建材工业；</w:t>
      </w:r>
      <w:r>
        <w:rPr>
          <w:rFonts w:eastAsia="黑体" w:cs="楷体" w:ascii="SimHei" w:hAnsi="SimHei"/>
          <w:color w:val="000000"/>
          <w:szCs w:val="21"/>
          <w:lang w:eastAsia="zh-CN"/>
        </w:rPr>
        <w:t>(4)</w:t>
      </w:r>
      <w:r>
        <w:rPr>
          <w:rFonts w:ascii="SimHei" w:hAnsi="SimHei" w:cs="楷体" w:eastAsia="黑体"/>
          <w:color w:val="000000"/>
          <w:szCs w:val="21"/>
          <w:lang w:eastAsia="zh-CN"/>
        </w:rPr>
        <w:t>轻工、纺织、包装工业；</w:t>
      </w:r>
      <w:r>
        <w:rPr>
          <w:rFonts w:eastAsia="黑体" w:cs="楷体" w:ascii="SimHei" w:hAnsi="SimHei"/>
          <w:color w:val="000000"/>
          <w:szCs w:val="21"/>
          <w:lang w:eastAsia="zh-CN"/>
        </w:rPr>
        <w:t>(5)</w:t>
      </w:r>
      <w:r>
        <w:rPr>
          <w:rFonts w:ascii="SimHei" w:hAnsi="SimHei" w:cs="楷体" w:eastAsia="黑体"/>
          <w:color w:val="000000"/>
          <w:szCs w:val="21"/>
          <w:lang w:eastAsia="zh-CN"/>
        </w:rPr>
        <w:t>医疗器械、制药工业；</w:t>
      </w:r>
      <w:r>
        <w:rPr>
          <w:rFonts w:eastAsia="黑体" w:cs="楷体" w:ascii="SimHei" w:hAnsi="SimHei"/>
          <w:color w:val="000000"/>
          <w:szCs w:val="21"/>
          <w:lang w:eastAsia="zh-CN"/>
        </w:rPr>
        <w:t>(6)</w:t>
      </w:r>
      <w:r>
        <w:rPr>
          <w:rFonts w:ascii="SimHei" w:hAnsi="SimHei" w:cs="楷体" w:eastAsia="黑体"/>
          <w:color w:val="000000"/>
          <w:szCs w:val="21"/>
          <w:lang w:eastAsia="zh-CN"/>
        </w:rPr>
        <w:t>农业、林业、畜牧业、渔业和水利业；</w:t>
      </w:r>
      <w:r>
        <w:rPr>
          <w:rFonts w:eastAsia="黑体" w:cs="楷体" w:ascii="SimHei" w:hAnsi="SimHei"/>
          <w:color w:val="000000"/>
          <w:szCs w:val="21"/>
          <w:lang w:eastAsia="zh-CN"/>
        </w:rPr>
        <w:t>(7)</w:t>
      </w:r>
      <w:r>
        <w:rPr>
          <w:rFonts w:ascii="SimHei" w:hAnsi="SimHei" w:cs="楷体" w:eastAsia="黑体"/>
          <w:color w:val="000000"/>
          <w:szCs w:val="21"/>
          <w:lang w:eastAsia="zh-CN"/>
        </w:rPr>
        <w:t>建筑业；</w:t>
      </w:r>
      <w:r>
        <w:rPr>
          <w:rFonts w:eastAsia="黑体" w:cs="楷体" w:ascii="SimHei" w:hAnsi="SimHei"/>
          <w:color w:val="000000"/>
          <w:szCs w:val="21"/>
          <w:lang w:eastAsia="zh-CN"/>
        </w:rPr>
        <w:t>(</w:t>
      </w:r>
      <w:r>
        <w:rPr>
          <w:rFonts w:ascii="SimHei" w:hAnsi="SimHei" w:cs="楷体" w:eastAsia="黑体"/>
          <w:color w:val="000000"/>
          <w:szCs w:val="21"/>
          <w:lang w:eastAsia="zh-CN"/>
        </w:rPr>
        <w:t>交通运输业</w:t>
      </w:r>
      <w:r>
        <w:rPr>
          <w:rFonts w:eastAsia="黑体" w:cs="楷体" w:ascii="SimHei" w:hAnsi="SimHei"/>
          <w:color w:val="000000"/>
          <w:szCs w:val="21"/>
          <w:lang w:eastAsia="zh-CN"/>
        </w:rPr>
        <w:t>(</w:t>
      </w:r>
      <w:r>
        <w:rPr>
          <w:rFonts w:ascii="SimHei" w:hAnsi="SimHei" w:cs="楷体" w:eastAsia="黑体"/>
          <w:color w:val="000000"/>
          <w:szCs w:val="21"/>
          <w:lang w:eastAsia="zh-CN"/>
        </w:rPr>
        <w:t>不含客运</w:t>
      </w:r>
      <w:r>
        <w:rPr>
          <w:rFonts w:eastAsia="黑体" w:cs="楷体" w:ascii="SimHei" w:hAnsi="SimHei"/>
          <w:color w:val="000000"/>
          <w:szCs w:val="21"/>
          <w:lang w:eastAsia="zh-CN"/>
        </w:rPr>
        <w:t>)</w:t>
      </w:r>
      <w:r>
        <w:rPr>
          <w:rFonts w:ascii="SimHei" w:hAnsi="SimHei" w:cs="楷体" w:eastAsia="黑体"/>
          <w:color w:val="000000"/>
          <w:szCs w:val="21"/>
          <w:lang w:eastAsia="zh-CN"/>
        </w:rPr>
        <w:t>；</w:t>
      </w:r>
      <w:r>
        <w:rPr>
          <w:rFonts w:eastAsia="黑体" w:cs="楷体" w:ascii="SimHei" w:hAnsi="SimHei"/>
          <w:color w:val="000000"/>
          <w:szCs w:val="21"/>
          <w:lang w:eastAsia="zh-CN"/>
        </w:rPr>
        <w:t>(9)</w:t>
      </w:r>
      <w:r>
        <w:rPr>
          <w:rFonts w:ascii="SimHei" w:hAnsi="SimHei" w:cs="楷体" w:eastAsia="黑体"/>
          <w:color w:val="000000"/>
          <w:szCs w:val="21"/>
          <w:lang w:eastAsia="zh-CN"/>
        </w:rPr>
        <w:t>直接为生产服务的科技开发、地质普查、产业信息咨询和生产设备、精密仪器维修服务；</w:t>
      </w:r>
      <w:r>
        <w:rPr>
          <w:rFonts w:eastAsia="黑体" w:cs="楷体" w:ascii="SimHei" w:hAnsi="SimHei"/>
          <w:color w:val="000000"/>
          <w:szCs w:val="21"/>
          <w:lang w:eastAsia="zh-CN"/>
        </w:rPr>
        <w:t>(10)</w:t>
      </w:r>
      <w:r>
        <w:rPr>
          <w:rFonts w:ascii="SimHei" w:hAnsi="SimHei" w:cs="楷体" w:eastAsia="黑体"/>
          <w:color w:val="000000"/>
          <w:szCs w:val="21"/>
          <w:lang w:eastAsia="zh-CN"/>
        </w:rPr>
        <w:t>经国务院税务主管部门确定的其它行业。目前已确定的其它行业有：从事建筑、安装、装配工程设计和为工程项目提供劳务</w:t>
      </w:r>
      <w:r>
        <w:rPr>
          <w:rFonts w:eastAsia="黑体" w:cs="楷体" w:ascii="SimHei" w:hAnsi="SimHei"/>
          <w:color w:val="000000"/>
          <w:szCs w:val="21"/>
          <w:lang w:eastAsia="zh-CN"/>
        </w:rPr>
        <w:t>(</w:t>
      </w:r>
      <w:r>
        <w:rPr>
          <w:rFonts w:ascii="SimHei" w:hAnsi="SimHei" w:cs="楷体" w:eastAsia="黑体"/>
          <w:color w:val="000000"/>
          <w:szCs w:val="21"/>
          <w:lang w:eastAsia="zh-CN"/>
        </w:rPr>
        <w:t>包括咨询劳务</w:t>
      </w:r>
      <w:r>
        <w:rPr>
          <w:rFonts w:eastAsia="黑体" w:cs="楷体" w:ascii="SimHei" w:hAnsi="SimHei"/>
          <w:color w:val="000000"/>
          <w:szCs w:val="21"/>
          <w:lang w:eastAsia="zh-CN"/>
        </w:rPr>
        <w:t>)</w:t>
      </w:r>
      <w:r>
        <w:rPr>
          <w:rFonts w:ascii="SimHei" w:hAnsi="SimHei" w:cs="楷体" w:eastAsia="黑体"/>
          <w:color w:val="000000"/>
          <w:szCs w:val="21"/>
          <w:lang w:eastAsia="zh-CN"/>
        </w:rPr>
        <w:t>；从事饲养、养殖、种植业；从事生产技术的科学研究和开发；用自有的运输工具和储藏设施，直接为客户提供仓储、运输服务。</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非生产性企业是指除上述企业以外的其它企业。</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生产性企业和非生产性企业的税收差别主要体现在外商投资企业所得税方面。对生产性外商投资企业，经营期在</w:t>
      </w:r>
      <w:r>
        <w:rPr>
          <w:rFonts w:eastAsia="黑体" w:cs="楷体" w:ascii="SimHei" w:hAnsi="SimHei"/>
          <w:color w:val="000000"/>
          <w:szCs w:val="21"/>
          <w:lang w:eastAsia="zh-CN"/>
        </w:rPr>
        <w:t>10</w:t>
      </w:r>
      <w:r>
        <w:rPr>
          <w:rFonts w:ascii="SimHei" w:hAnsi="SimHei" w:cs="楷体" w:eastAsia="黑体"/>
          <w:color w:val="000000"/>
          <w:szCs w:val="21"/>
          <w:lang w:eastAsia="zh-CN"/>
        </w:rPr>
        <w:t>年以上的，从开始获利年度起，第一年和第二年免征企业所得税，第三年至第五年减半征收企业所得税。另外还对从事农、林、牧业、能源、交通、港口、码头、机场以及产品出口和先进技术企业规定了更优惠的税收政策。而对非生产性外商投资企业则没有减免企业所得税的照顾。</w:t>
      </w:r>
    </w:p>
    <w:p>
      <w:pPr>
        <w:pStyle w:val="Normal"/>
        <w:numPr>
          <w:ilvl w:val="0"/>
          <w:numId w:val="6"/>
        </w:numPr>
        <w:tabs>
          <w:tab w:val="clear" w:pos="480"/>
          <w:tab w:val="left" w:pos="993" w:leader="none"/>
        </w:tabs>
        <w:spacing w:lineRule="auto" w:line="360"/>
        <w:ind w:start="0"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投资产业选择避税的具体方法</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投资者在进行投资决策时，要使投资行为既符合国家的产业政策，又要体现出税收的政策导向，通过对生产性企业和非生产性企业不同税收优惠的分析比较，综合考虑流转税和所得税的总体负担，选择最佳投资方案。在实践中，有几种典型的避税方法可供参考：</w:t>
      </w:r>
    </w:p>
    <w:p>
      <w:pPr>
        <w:pStyle w:val="Normal"/>
        <w:numPr>
          <w:ilvl w:val="0"/>
          <w:numId w:val="2"/>
        </w:numPr>
        <w:tabs>
          <w:tab w:val="clear" w:pos="480"/>
          <w:tab w:val="left" w:pos="993" w:leader="none"/>
        </w:tabs>
        <w:spacing w:lineRule="auto" w:line="360"/>
        <w:ind w:start="0"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综合利用避税法。即企业通过综合利用</w:t>
      </w:r>
      <w:r>
        <w:rPr>
          <w:rFonts w:ascii="SimHei" w:hAnsi="SimHei" w:cs="楷体" w:eastAsia="黑体"/>
          <w:color w:val="000000"/>
          <w:szCs w:val="21"/>
          <w:lang w:eastAsia="zh-CN"/>
        </w:rPr>
        <w:t>“</w:t>
      </w:r>
      <w:r>
        <w:rPr>
          <w:rFonts w:ascii="SimHei" w:hAnsi="SimHei" w:cs="楷体" w:eastAsia="黑体"/>
          <w:color w:val="000000"/>
          <w:szCs w:val="21"/>
          <w:lang w:eastAsia="zh-CN"/>
        </w:rPr>
        <w:t>三废</w:t>
      </w:r>
      <w:r>
        <w:rPr>
          <w:rFonts w:ascii="SimHei" w:hAnsi="SimHei" w:cs="楷体" w:eastAsia="黑体"/>
          <w:color w:val="000000"/>
          <w:szCs w:val="21"/>
          <w:lang w:eastAsia="zh-CN"/>
        </w:rPr>
        <w:t>”</w:t>
      </w:r>
      <w:r>
        <w:rPr>
          <w:rFonts w:ascii="SimHei" w:hAnsi="SimHei" w:cs="楷体" w:eastAsia="黑体"/>
          <w:color w:val="000000"/>
          <w:szCs w:val="21"/>
          <w:lang w:eastAsia="zh-CN"/>
        </w:rPr>
        <w:t>开发产品从而享受减免税待遇。综合利用减免税的范围：一是企业在产品设计规定之外，利用废弃资源回收的各种产品；二是废渣的综合利用，利用工矿企业采矿废石、选矿尾矿、碎屑、粉尘、粉末、污泥和各种废渣生产的产品；三是废液的利用，利用工矿企业生产排放的废水、废酸液、废碱液、废油和其它废液生产的产品；四是废气的综合利用，利用工矿企业加工过程中排放的烟气、转炉铁合金炉回收的可燃气、焦炉气、高炉放散气等生产的产品；五是利用矿治企业余热、余压和低热值燃料生产的热力和动力；六是利用盐田水域或电厂热水发展养殖所生产的产品；七是利用林木采伐，造林截头和加工剩余物生产的产品。</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企业采用综合利用避税法，应具备两个前提：一是使自己的产品属于减免税范围，并且得到有关方面认可；二是避税成本不是太大。否则，如果一个企业本不是综合利用型企业，为了获得减免税好处，不惜改变生产形式和生产内容，将会导致更大的损失。</w:t>
      </w:r>
      <w:r>
        <w:rPr>
          <w:rFonts w:eastAsia="黑体" w:cs="楷体" w:ascii="SimHei" w:hAnsi="SimHei"/>
          <w:color w:val="000000"/>
          <w:szCs w:val="21"/>
          <w:lang w:eastAsia="zh-CN"/>
        </w:rPr>
        <w:br/>
      </w:r>
      <w:r>
        <w:rPr>
          <w:rFonts w:eastAsia="黑体" w:cs="楷体" w:ascii="SimHei" w:hAnsi="SimHei"/>
          <w:color w:val="000000"/>
          <w:szCs w:val="21"/>
          <w:lang w:eastAsia="zh-CN"/>
        </w:rPr>
        <w:t xml:space="preserve">    </w:t>
      </w:r>
      <w:r>
        <w:rPr>
          <w:rFonts w:eastAsia="黑体" w:cs="楷体" w:ascii="SimHei" w:hAnsi="SimHei"/>
          <w:color w:val="000000"/>
          <w:szCs w:val="21"/>
          <w:lang w:eastAsia="zh-CN"/>
        </w:rPr>
        <w:t>2</w:t>
      </w:r>
      <w:r>
        <w:rPr>
          <w:rFonts w:ascii="SimHei" w:hAnsi="SimHei" w:cs="楷体" w:eastAsia="黑体"/>
          <w:color w:val="000000"/>
          <w:szCs w:val="21"/>
          <w:lang w:eastAsia="zh-CN"/>
        </w:rPr>
        <w:t>、出口退税避税法。即利用中国税法规定的出口退税政策进行避税的方法。中国税法规定，对报关离境的出口产品，除国家规定不能退税的产品外，一律退还已征的增值税和消费税。出口退税的产品，按照国家统一核定的退税税率计算退税。</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企业采用出口退税避税法，一定要熟悉有关退税范围及退税计算方法，努力使本企业出口符合合理退税的要求。至于有的企业伙同税务人员或海关人员骗劝出口退税</w:t>
      </w:r>
      <w:r>
        <w:rPr>
          <w:rFonts w:ascii="SimHei" w:hAnsi="SimHei" w:cs="楷体" w:eastAsia="黑体"/>
          <w:color w:val="000000"/>
          <w:szCs w:val="21"/>
          <w:lang w:eastAsia="zh-CN"/>
        </w:rPr>
        <w:t>”</w:t>
      </w:r>
      <w:r>
        <w:rPr>
          <w:rFonts w:ascii="SimHei" w:hAnsi="SimHei" w:cs="楷体" w:eastAsia="黑体"/>
          <w:color w:val="000000"/>
          <w:szCs w:val="21"/>
          <w:lang w:eastAsia="zh-CN"/>
        </w:rPr>
        <w:t>的做法，是不可取的。</w:t>
      </w:r>
    </w:p>
    <w:p>
      <w:pPr>
        <w:pStyle w:val="Heading1"/>
        <w:keepNext w:val="true"/>
        <w:keepLines/>
        <w:widowControl w:val="false"/>
        <w:spacing w:lineRule="auto" w:line="360" w:before="0" w:after="0"/>
        <w:ind w:firstLine="424"/>
        <w:jc w:val="both"/>
        <w:rPr>
          <w:rFonts w:ascii="楷体" w:hAnsi="楷体" w:eastAsia="楷体" w:cs="楷体"/>
          <w:bCs w:val="false"/>
          <w:color w:val="000000"/>
          <w:szCs w:val="21"/>
        </w:rPr>
      </w:pPr>
      <w:r>
        <w:rPr>
          <w:rFonts w:ascii="SimHei" w:hAnsi="SimHei" w:cs="楷体" w:eastAsia="黑体"/>
          <w:bCs w:val="false"/>
          <w:kern w:val="2"/>
          <w:sz w:val="28"/>
        </w:rPr>
        <w:t>成本费用避税法</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成本费用避税法是通过对企业成本费用项目的组合与核算，使其达到一个最佳值，以实现少纳税或不纳税的避税方法。采用成本费用避税法的前提，是在政府税法、财务会计制度及财务规定的范围内，运用成本费用值的最佳组合来实现最大限度地抵销利润，扩大成本计算。可见，在合法范围内运用一些技巧，是成本费用避税法的基本特征。</w:t>
      </w:r>
    </w:p>
    <w:p>
      <w:pPr>
        <w:pStyle w:val="Normal"/>
        <w:numPr>
          <w:ilvl w:val="0"/>
          <w:numId w:val="3"/>
        </w:numPr>
        <w:tabs>
          <w:tab w:val="clear" w:pos="480"/>
          <w:tab w:val="left" w:pos="993" w:leader="none"/>
        </w:tabs>
        <w:spacing w:lineRule="auto" w:line="360"/>
        <w:ind w:start="0" w:firstLine="480"/>
        <w:jc w:val="both"/>
        <w:rPr>
          <w:rFonts w:ascii="楷体" w:hAnsi="楷体" w:eastAsia="楷体" w:cs="楷体"/>
          <w:color w:val="000000"/>
          <w:szCs w:val="21"/>
          <w:lang w:eastAsia="zh-CN"/>
        </w:rPr>
      </w:pPr>
      <w:r>
        <w:rPr>
          <w:rFonts w:ascii="SimHei" w:hAnsi="SimHei" w:cs="楷体" w:eastAsia="黑体"/>
          <w:bCs/>
          <w:color w:val="000000"/>
          <w:szCs w:val="21"/>
          <w:lang w:eastAsia="zh-CN"/>
        </w:rPr>
        <w:t>材料计算避税法</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材料计算法是指企业在计算材料成本时，为使成本值最大所采取的最有利于企业本身的成本计算方法。</w:t>
      </w:r>
      <w:r>
        <w:rPr>
          <w:rFonts w:eastAsia="黑体" w:cs="楷体" w:ascii="SimHei" w:hAnsi="SimHei"/>
          <w:color w:val="000000"/>
          <w:szCs w:val="21"/>
          <w:lang w:eastAsia="zh-CN"/>
        </w:rPr>
        <w:br/>
      </w:r>
      <w:r>
        <w:rPr>
          <w:rFonts w:eastAsia="黑体" w:cs="楷体" w:ascii="SimHei" w:hAnsi="SimHei"/>
          <w:color w:val="000000"/>
          <w:szCs w:val="21"/>
          <w:lang w:eastAsia="zh-CN"/>
        </w:rPr>
        <w:t xml:space="preserve">    </w:t>
      </w:r>
      <w:r>
        <w:rPr>
          <w:rFonts w:ascii="SimHei" w:hAnsi="SimHei" w:cs="楷体" w:eastAsia="黑体"/>
          <w:color w:val="000000"/>
          <w:szCs w:val="21"/>
          <w:lang w:eastAsia="zh-CN"/>
        </w:rPr>
        <w:t>材料是企业产品的重要组成部分，材料价格是生产成本的重要部分，因此，材料价格波动必然影响产品成本变动。但是在材料市场价格处于经常变动的情况下，材料费用如何计入成本，直接影响当期成本值的大小；通过成本影响利润，进而影响所得税的大校根据我国财务制度规定，企业材料费用计入成本的计价方法有以下几种：</w:t>
      </w:r>
      <w:r>
        <w:rPr>
          <w:rFonts w:eastAsia="黑体" w:cs="楷体" w:ascii="SimHei" w:hAnsi="SimHei"/>
          <w:color w:val="000000"/>
          <w:szCs w:val="21"/>
          <w:lang w:eastAsia="zh-CN"/>
        </w:rPr>
        <w:br/>
      </w:r>
      <w:r>
        <w:rPr>
          <w:rFonts w:eastAsia="黑体" w:cs="楷体" w:ascii="SimHei" w:hAnsi="SimHei"/>
          <w:color w:val="000000"/>
          <w:szCs w:val="21"/>
          <w:lang w:eastAsia="zh-CN"/>
        </w:rPr>
        <w:t xml:space="preserve">    </w:t>
      </w:r>
      <w:r>
        <w:rPr>
          <w:rFonts w:eastAsia="黑体" w:cs="楷体" w:ascii="SimHei" w:hAnsi="SimHei"/>
          <w:color w:val="000000"/>
          <w:szCs w:val="21"/>
          <w:lang w:eastAsia="zh-CN"/>
        </w:rPr>
        <w:t>1</w:t>
      </w:r>
      <w:r>
        <w:rPr>
          <w:rFonts w:ascii="SimHei" w:hAnsi="SimHei" w:cs="楷体" w:eastAsia="黑体"/>
          <w:color w:val="000000"/>
          <w:szCs w:val="21"/>
          <w:lang w:eastAsia="zh-CN"/>
        </w:rPr>
        <w:t>、先进先出法。先进先出法是以材料先入库则先发出这一假定为前提的，并根据这一假定成本流转顺序对发出材料和结存材料进行计价的一种计算方法。因此，在先进先出法下材料费用进入成本时，是根据材料的入库时间，按先后次序，将先入库的材料优先计入成本。</w:t>
      </w:r>
      <w:r>
        <w:rPr>
          <w:rFonts w:eastAsia="黑体" w:cs="楷体" w:ascii="SimHei" w:hAnsi="SimHei"/>
          <w:color w:val="000000"/>
          <w:szCs w:val="21"/>
          <w:lang w:eastAsia="zh-CN"/>
        </w:rPr>
        <w:br/>
      </w:r>
      <w:r>
        <w:rPr>
          <w:rFonts w:eastAsia="黑体" w:cs="楷体" w:ascii="SimHei" w:hAnsi="SimHei"/>
          <w:color w:val="000000"/>
          <w:szCs w:val="21"/>
          <w:lang w:eastAsia="zh-CN"/>
        </w:rPr>
        <w:t xml:space="preserve">    </w:t>
      </w:r>
      <w:r>
        <w:rPr>
          <w:rFonts w:eastAsia="黑体" w:cs="楷体" w:ascii="SimHei" w:hAnsi="SimHei"/>
          <w:color w:val="000000"/>
          <w:szCs w:val="21"/>
          <w:lang w:eastAsia="zh-CN"/>
        </w:rPr>
        <w:t>2</w:t>
      </w:r>
      <w:r>
        <w:rPr>
          <w:rFonts w:ascii="SimHei" w:hAnsi="SimHei" w:cs="楷体" w:eastAsia="黑体"/>
          <w:color w:val="000000"/>
          <w:szCs w:val="21"/>
          <w:lang w:eastAsia="zh-CN"/>
        </w:rPr>
        <w:t>、加权平均法。加权平均法是在计算材料单位成本时，用期初存货数量和本期各批收入的材料数量作权数计算材料平均单位成本的一种方法。</w:t>
      </w:r>
      <w:r>
        <w:rPr>
          <w:rFonts w:eastAsia="黑体" w:cs="楷体" w:ascii="SimHei" w:hAnsi="SimHei"/>
          <w:color w:val="000000"/>
          <w:szCs w:val="21"/>
          <w:lang w:eastAsia="zh-CN"/>
        </w:rPr>
        <w:br/>
      </w:r>
      <w:r>
        <w:rPr>
          <w:rFonts w:eastAsia="黑体" w:cs="楷体" w:ascii="SimHei" w:hAnsi="SimHei"/>
          <w:color w:val="000000"/>
          <w:szCs w:val="21"/>
          <w:lang w:eastAsia="zh-CN"/>
        </w:rPr>
        <w:t xml:space="preserve">    </w:t>
      </w:r>
      <w:r>
        <w:rPr>
          <w:rFonts w:eastAsia="黑体" w:cs="楷体" w:ascii="SimHei" w:hAnsi="SimHei"/>
          <w:color w:val="000000"/>
          <w:szCs w:val="21"/>
          <w:lang w:eastAsia="zh-CN"/>
        </w:rPr>
        <w:t>3</w:t>
      </w:r>
      <w:r>
        <w:rPr>
          <w:rFonts w:ascii="SimHei" w:hAnsi="SimHei" w:cs="楷体" w:eastAsia="黑体"/>
          <w:color w:val="000000"/>
          <w:szCs w:val="21"/>
          <w:lang w:eastAsia="zh-CN"/>
        </w:rPr>
        <w:t>、移动平均法。移动平均法是指在每一次收到材料后，以各批收入数量与各批收入前的结存数量为权数计算材料平均单位成本的一种方法。在移动平均法下，企业材料入库每次均要根据库存材料的数量和总成本计算新的平均单位成本，并以新的平均单位成本确定领用或者发生材料的计价。这种方法实际上也是一种加权平均法。</w:t>
      </w:r>
      <w:r>
        <w:rPr>
          <w:rFonts w:eastAsia="黑体" w:cs="楷体" w:ascii="SimHei" w:hAnsi="SimHei"/>
          <w:color w:val="000000"/>
          <w:szCs w:val="21"/>
          <w:lang w:eastAsia="zh-CN"/>
        </w:rPr>
        <w:br/>
      </w:r>
      <w:r>
        <w:rPr>
          <w:rFonts w:eastAsia="黑体" w:cs="楷体" w:ascii="SimHei" w:hAnsi="SimHei"/>
          <w:color w:val="000000"/>
          <w:szCs w:val="21"/>
          <w:lang w:eastAsia="zh-CN"/>
        </w:rPr>
        <w:t xml:space="preserve">    </w:t>
      </w:r>
      <w:r>
        <w:rPr>
          <w:rFonts w:eastAsia="黑体" w:cs="楷体" w:ascii="SimHei" w:hAnsi="SimHei"/>
          <w:color w:val="000000"/>
          <w:szCs w:val="21"/>
          <w:lang w:eastAsia="zh-CN"/>
        </w:rPr>
        <w:t>4</w:t>
      </w:r>
      <w:r>
        <w:rPr>
          <w:rFonts w:ascii="SimHei" w:hAnsi="SimHei" w:cs="楷体" w:eastAsia="黑体"/>
          <w:color w:val="000000"/>
          <w:szCs w:val="21"/>
          <w:lang w:eastAsia="zh-CN"/>
        </w:rPr>
        <w:t>、个别计价法。个别计价法也叫具体辨认法，是在每次领用或发出材料时，查明其入库时的实际成本作为该材料的成本。</w:t>
      </w:r>
      <w:r>
        <w:rPr>
          <w:rFonts w:eastAsia="黑体" w:cs="楷体" w:ascii="SimHei" w:hAnsi="SimHei"/>
          <w:color w:val="000000"/>
          <w:szCs w:val="21"/>
          <w:lang w:eastAsia="zh-CN"/>
        </w:rPr>
        <w:br/>
      </w:r>
      <w:r>
        <w:rPr>
          <w:rFonts w:eastAsia="黑体" w:cs="楷体" w:ascii="SimHei" w:hAnsi="SimHei"/>
          <w:color w:val="000000"/>
          <w:szCs w:val="21"/>
          <w:lang w:eastAsia="zh-CN"/>
        </w:rPr>
        <w:t xml:space="preserve">    </w:t>
      </w:r>
      <w:r>
        <w:rPr>
          <w:rFonts w:eastAsia="黑体" w:cs="楷体" w:ascii="SimHei" w:hAnsi="SimHei"/>
          <w:color w:val="000000"/>
          <w:szCs w:val="21"/>
          <w:lang w:eastAsia="zh-CN"/>
        </w:rPr>
        <w:t>5</w:t>
      </w:r>
      <w:r>
        <w:rPr>
          <w:rFonts w:ascii="SimHei" w:hAnsi="SimHei" w:cs="楷体" w:eastAsia="黑体"/>
          <w:color w:val="000000"/>
          <w:szCs w:val="21"/>
          <w:lang w:eastAsia="zh-CN"/>
        </w:rPr>
        <w:t xml:space="preserve">、后进先出法。后进先出法是以后入库的材料先发出这一假定为依据，根据这种假定的成本流转顺序来确定领用或发出的材料和期末库存材料的计价。每次领用或发出的材料是假定后入库的材料，期末库存材料则是最先入库的材料。 </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上述</w:t>
      </w:r>
      <w:r>
        <w:rPr>
          <w:rFonts w:eastAsia="黑体" w:cs="楷体" w:ascii="SimHei" w:hAnsi="SimHei"/>
          <w:color w:val="000000"/>
          <w:szCs w:val="21"/>
          <w:lang w:eastAsia="zh-CN"/>
        </w:rPr>
        <w:t>5</w:t>
      </w:r>
      <w:r>
        <w:rPr>
          <w:rFonts w:ascii="SimHei" w:hAnsi="SimHei" w:cs="楷体" w:eastAsia="黑体"/>
          <w:color w:val="000000"/>
          <w:szCs w:val="21"/>
          <w:lang w:eastAsia="zh-CN"/>
        </w:rPr>
        <w:t>种不同的计价方法，产生的结果对企业成本多少及利润多少或纳税多少的影响是不同的。一般来说，材料价格总是不断上涨的，后进的材料先出去，计入成本的费用就高；而先进先出法势必使计入成本的费用相对较低。企业可根据实际情况，灵活选择使用。如果企业正处所得税的免税期，企业获得的利润越多，其得到的免税额就越多，这样，企业就可以通过选择先进先出计算材料费用，以减少材料费用的当期摊入，扩大当期利润；相反，如果企业正处于征税期，其实现利润越多，则缴纳所得税越多，那幺，企业就可以选择后进先出法，将当期的材料费用尽量扩大，以达到减少当期利润，少缴纳所得税的目的。</w:t>
      </w:r>
    </w:p>
    <w:p>
      <w:pPr>
        <w:pStyle w:val="Normal"/>
        <w:numPr>
          <w:ilvl w:val="0"/>
          <w:numId w:val="3"/>
        </w:numPr>
        <w:tabs>
          <w:tab w:val="clear" w:pos="480"/>
          <w:tab w:val="left" w:pos="993" w:leader="none"/>
        </w:tabs>
        <w:spacing w:lineRule="auto" w:line="360"/>
        <w:ind w:start="0" w:firstLine="480"/>
        <w:jc w:val="both"/>
        <w:rPr>
          <w:rFonts w:ascii="楷体" w:hAnsi="楷体" w:eastAsia="楷体" w:cs="楷体"/>
          <w:color w:val="000000"/>
          <w:szCs w:val="21"/>
          <w:lang w:eastAsia="zh-CN"/>
        </w:rPr>
      </w:pPr>
      <w:r>
        <w:rPr>
          <w:rFonts w:ascii="SimHei" w:hAnsi="SimHei" w:cs="楷体" w:eastAsia="黑体"/>
          <w:bCs/>
          <w:color w:val="000000"/>
          <w:szCs w:val="21"/>
          <w:lang w:eastAsia="zh-CN"/>
        </w:rPr>
        <w:t>折旧计算避税法</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折旧是固定资产在使用过程中，通过逐渐损耗</w:t>
      </w:r>
      <w:r>
        <w:rPr>
          <w:rFonts w:eastAsia="黑体" w:cs="楷体" w:ascii="SimHei" w:hAnsi="SimHei"/>
          <w:color w:val="000000"/>
          <w:szCs w:val="21"/>
          <w:lang w:eastAsia="zh-CN"/>
        </w:rPr>
        <w:t>(</w:t>
      </w:r>
      <w:r>
        <w:rPr>
          <w:rFonts w:ascii="SimHei" w:hAnsi="SimHei" w:cs="楷体" w:eastAsia="黑体"/>
          <w:color w:val="000000"/>
          <w:szCs w:val="21"/>
          <w:lang w:eastAsia="zh-CN"/>
        </w:rPr>
        <w:t>包括有形损耗和无形损耗</w:t>
      </w:r>
      <w:r>
        <w:rPr>
          <w:rFonts w:eastAsia="黑体" w:cs="楷体" w:ascii="SimHei" w:hAnsi="SimHei"/>
          <w:color w:val="000000"/>
          <w:szCs w:val="21"/>
          <w:lang w:eastAsia="zh-CN"/>
        </w:rPr>
        <w:t>)</w:t>
      </w:r>
      <w:r>
        <w:rPr>
          <w:rFonts w:ascii="SimHei" w:hAnsi="SimHei" w:cs="楷体" w:eastAsia="黑体"/>
          <w:color w:val="000000"/>
          <w:szCs w:val="21"/>
          <w:lang w:eastAsia="zh-CN"/>
        </w:rPr>
        <w:t>而转移到产品成本或商品流通费中的那部分价值。折旧的核算是一个成本分摊的过程，即将固定资产取得成本按合理而系统的方式，在它的估计有效使用期间内进行摊配。这不仅是为了收回投资，使企业在将来有能力重置固定资产，而且是为了把资产的成本分配于各个受益期，实现期间收入与费用的正确配比。</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由于折旧要计入产品成本，直接关系到企业当期成本的大孝利润的高低和应纳税所得额的多少。因此，怎样计算折旧便成为十分重要的事情。在计算固定资产折旧时，应该考虑以下几个因素：</w:t>
      </w:r>
      <w:r>
        <w:rPr>
          <w:rFonts w:eastAsia="黑体" w:cs="楷体" w:ascii="SimHei" w:hAnsi="SimHei"/>
          <w:color w:val="000000"/>
          <w:szCs w:val="21"/>
          <w:lang w:eastAsia="zh-CN"/>
        </w:rPr>
        <w:t>(1)</w:t>
      </w:r>
      <w:r>
        <w:rPr>
          <w:rFonts w:ascii="SimHei" w:hAnsi="SimHei" w:cs="楷体" w:eastAsia="黑体"/>
          <w:color w:val="000000"/>
          <w:szCs w:val="21"/>
          <w:lang w:eastAsia="zh-CN"/>
        </w:rPr>
        <w:t>固定资产原值；</w:t>
      </w:r>
      <w:r>
        <w:rPr>
          <w:rFonts w:eastAsia="黑体" w:cs="楷体" w:ascii="SimHei" w:hAnsi="SimHei"/>
          <w:color w:val="000000"/>
          <w:szCs w:val="21"/>
          <w:lang w:eastAsia="zh-CN"/>
        </w:rPr>
        <w:t>(2)</w:t>
      </w:r>
      <w:r>
        <w:rPr>
          <w:rFonts w:ascii="SimHei" w:hAnsi="SimHei" w:cs="楷体" w:eastAsia="黑体"/>
          <w:color w:val="000000"/>
          <w:szCs w:val="21"/>
          <w:lang w:eastAsia="zh-CN"/>
        </w:rPr>
        <w:t>固定资产残值；</w:t>
      </w:r>
      <w:r>
        <w:rPr>
          <w:rFonts w:eastAsia="黑体" w:cs="楷体" w:ascii="SimHei" w:hAnsi="SimHei"/>
          <w:color w:val="000000"/>
          <w:szCs w:val="21"/>
          <w:lang w:eastAsia="zh-CN"/>
        </w:rPr>
        <w:t>(3)</w:t>
      </w:r>
      <w:r>
        <w:rPr>
          <w:rFonts w:ascii="SimHei" w:hAnsi="SimHei" w:cs="楷体" w:eastAsia="黑体"/>
          <w:color w:val="000000"/>
          <w:szCs w:val="21"/>
          <w:lang w:eastAsia="zh-CN"/>
        </w:rPr>
        <w:t>固定资产清理费用；</w:t>
      </w:r>
      <w:r>
        <w:rPr>
          <w:rFonts w:eastAsia="黑体" w:cs="楷体" w:ascii="SimHei" w:hAnsi="SimHei"/>
          <w:color w:val="000000"/>
          <w:szCs w:val="21"/>
          <w:lang w:eastAsia="zh-CN"/>
        </w:rPr>
        <w:t>(4)</w:t>
      </w:r>
      <w:r>
        <w:rPr>
          <w:rFonts w:ascii="SimHei" w:hAnsi="SimHei" w:cs="楷体" w:eastAsia="黑体"/>
          <w:color w:val="000000"/>
          <w:szCs w:val="21"/>
          <w:lang w:eastAsia="zh-CN"/>
        </w:rPr>
        <w:t>固定资产使用年限。</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bCs/>
          <w:color w:val="000000"/>
          <w:szCs w:val="21"/>
          <w:lang w:eastAsia="zh-CN"/>
        </w:rPr>
        <w:t>固定资产折旧的计算方法很多，常用的折旧方法有以下几种：</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eastAsia="黑体" w:cs="楷体" w:ascii="SimHei" w:hAnsi="SimHei"/>
          <w:color w:val="000000"/>
          <w:szCs w:val="21"/>
          <w:lang w:eastAsia="zh-CN"/>
        </w:rPr>
        <w:t>1</w:t>
      </w:r>
      <w:r>
        <w:rPr>
          <w:rFonts w:ascii="SimHei" w:hAnsi="SimHei" w:cs="楷体" w:eastAsia="黑体"/>
          <w:color w:val="000000"/>
          <w:szCs w:val="21"/>
          <w:lang w:eastAsia="zh-CN"/>
        </w:rPr>
        <w:t>、使用年限法。使用年限法是根据固定资产的原始价值扣除预计净残值，按预计使用年限平均计算折旧的一种方法。使用年限法又称年限平均法、直线法，它将折旧均衡分配于使用期内的各个期间。因此，用这种方法所计算的折旧额，在各个使用年份或月份中都是相等的。</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eastAsia="黑体" w:cs="楷体" w:ascii="SimHei" w:hAnsi="SimHei"/>
          <w:color w:val="000000"/>
          <w:szCs w:val="21"/>
          <w:lang w:eastAsia="zh-CN"/>
        </w:rPr>
        <w:t>2</w:t>
      </w:r>
      <w:r>
        <w:rPr>
          <w:rFonts w:ascii="SimHei" w:hAnsi="SimHei" w:cs="楷体" w:eastAsia="黑体"/>
          <w:color w:val="000000"/>
          <w:szCs w:val="21"/>
          <w:lang w:eastAsia="zh-CN"/>
        </w:rPr>
        <w:t>、产量法。产量法是假定固定资产的服务潜力会随着使用程度而减退，因此将年限平均法中固定资产的有效使用年限改为使用这项资产所能生产的产品或劳务数量。</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eastAsia="黑体" w:cs="楷体" w:ascii="SimHei" w:hAnsi="SimHei"/>
          <w:color w:val="000000"/>
          <w:szCs w:val="21"/>
          <w:lang w:eastAsia="zh-CN"/>
        </w:rPr>
        <w:t>3</w:t>
      </w:r>
      <w:r>
        <w:rPr>
          <w:rFonts w:ascii="SimHei" w:hAnsi="SimHei" w:cs="楷体" w:eastAsia="黑体"/>
          <w:color w:val="000000"/>
          <w:szCs w:val="21"/>
          <w:lang w:eastAsia="zh-CN"/>
        </w:rPr>
        <w:t>、工作小时法。这种方法与产量法类似，只是将生产产品或劳务数量改为工作小时数即可。</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eastAsia="黑体" w:cs="楷体" w:ascii="SimHei" w:hAnsi="SimHei"/>
          <w:color w:val="000000"/>
          <w:szCs w:val="21"/>
          <w:lang w:eastAsia="zh-CN"/>
        </w:rPr>
        <w:t>4</w:t>
      </w:r>
      <w:r>
        <w:rPr>
          <w:rFonts w:ascii="SimHei" w:hAnsi="SimHei" w:cs="楷体" w:eastAsia="黑体"/>
          <w:color w:val="000000"/>
          <w:szCs w:val="21"/>
          <w:lang w:eastAsia="zh-CN"/>
        </w:rPr>
        <w:t>、加速折旧法。加速折旧法又称递减折旧费用法，指固定资产每期计提的折旧费用，在早期提得多，在后期则提得少，从而相对加快了折旧的速度。</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采用加速折旧法，可使固定资产成本在使用期限中加快得到补偿。但这并不是指把固定资产提前报废或多提折旧，因为不论采用何种方法计提折旧，从固定资产全部使用期间来看，折旧总额不变，因此，对企业的净收益总额并无影响。但从各个具体年份来看，由于采用加速的折旧法，使应计折旧额在固定资产使用前期摊提较多而后期摊提较少，必然使企业净利前期相对较少而后期较多。</w:t>
      </w:r>
    </w:p>
    <w:p>
      <w:pPr>
        <w:pStyle w:val="Normal"/>
        <w:tabs>
          <w:tab w:val="clear" w:pos="480"/>
          <w:tab w:val="left" w:pos="993" w:leader="none"/>
        </w:tabs>
        <w:spacing w:lineRule="auto" w:line="36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不同的折旧方法对纳税企业会产生不同的税收影响。首先，不同的折旧方法对于固定资产价值补偿和实物补偿时间会造成早晚不同。其次，不同折旧方法导致的年折旧额提取直接影响到企业利润额受冲减的程度，因而造成累进税制下纳税额的差异及比例税制下纳税义务承担时间的差异。企业正是利用这些差异来比较和分析，以选择最优的折旧方法，达到最佳税收效益。</w:t>
      </w:r>
    </w:p>
    <w:sectPr>
      <w:footerReference w:type="default" r:id="rId2"/>
      <w:type w:val="nextPage"/>
      <w:pgSz w:w="11906" w:h="16838"/>
      <w:pgMar w:left="1474" w:right="1474" w:header="0" w:top="850" w:footer="624" w:bottom="850"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Arial">
    <w:charset w:val="00" w:characterSet="windows-1252"/>
    <w:family w:val="swiss"/>
    <w:pitch w:val="default"/>
  </w:font>
  <w:font w:name="楷体">
    <w:charset w:val="86"/>
    <w:family w:val="modern"/>
    <w:pitch w:val="default"/>
  </w:font>
  <w:font w:name="Cambria">
    <w:charset w:val="00" w:characterSet="windows-1252"/>
    <w:family w:val="roman"/>
    <w:pitch w:val="default"/>
  </w:font>
  <w:font w:name="Arial Narrow">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20"/>
      </w:rPr>
    </w:pPr>
    <w:r>
      <w:rPr>
        <w:sz w:val="20"/>
      </w:rPr>
    </w:r>
    <w:r>
      <mc:AlternateContent>
        <mc:Choice Requires="wps">
          <w:drawing>
            <wp:anchor behindDoc="1" distT="0" distB="0" distL="114935" distR="114935" simplePos="0" locked="0" layoutInCell="0" allowOverlap="1" relativeHeight="9">
              <wp:simplePos x="0" y="0"/>
              <wp:positionH relativeFrom="margin">
                <wp:align>center</wp:align>
              </wp:positionH>
              <wp:positionV relativeFrom="paragraph">
                <wp:posOffset>635</wp:posOffset>
              </wp:positionV>
              <wp:extent cx="65405" cy="142240"/>
              <wp:effectExtent l="0" t="0" r="0" b="0"/>
              <wp:wrapNone/>
              <wp:docPr id="1" name="Frame1"/>
              <a:graphic xmlns:a="http://schemas.openxmlformats.org/drawingml/2006/main">
                <a:graphicData uri="http://schemas.microsoft.com/office/word/2010/wordprocessingShape">
                  <wps:wsp>
                    <wps:cNvSpPr txBox="1"/>
                    <wps:spPr>
                      <a:xfrm>
                        <a:off x="0" y="0"/>
                        <a:ext cx="65405" cy="142240"/>
                      </a:xfrm>
                      <a:prstGeom prst="rect"/>
                      <a:solidFill>
                        <a:srgbClr val="FFFFFF">
                          <a:alpha val="0"/>
                        </a:srgbClr>
                      </a:solidFill>
                    </wps:spPr>
                    <wps:txbx>
                      <w:txbxContent>
                        <w:p>
                          <w:pPr>
                            <w:pStyle w:val="Footer"/>
                            <w:rPr>
                              <w:rFonts w:eastAsia="宋体"/>
                              <w:lang w:eastAsia="zh-CN"/>
                            </w:rPr>
                          </w:pPr>
                          <w:r>
                            <w:rPr>
                              <w:rFonts w:eastAsia="宋体"/>
                              <w:lang w:eastAsia="zh-CN"/>
                            </w:rPr>
                            <w:fldChar w:fldCharType="begin"/>
                          </w:r>
                          <w:r>
                            <w:rPr>
                              <w:rFonts w:eastAsia="宋体"/>
                              <w:lang w:eastAsia="zh-CN"/>
                            </w:rPr>
                            <w:instrText> PAGE </w:instrText>
                          </w:r>
                          <w:r>
                            <w:rPr>
                              <w:rFonts w:eastAsia="宋体"/>
                              <w:lang w:eastAsia="zh-CN"/>
                            </w:rPr>
                            <w:fldChar w:fldCharType="separate"/>
                          </w:r>
                          <w:r>
                            <w:rPr>
                              <w:rFonts w:eastAsia="宋体"/>
                              <w:lang w:eastAsia="zh-CN"/>
                            </w:rPr>
                            <w:t>8</w:t>
                          </w:r>
                          <w:r>
                            <w:rPr>
                              <w:rFonts w:eastAsia="宋体"/>
                              <w:lang w:eastAsia="zh-CN"/>
                            </w:rPr>
                            <w:fldChar w:fldCharType="end"/>
                          </w:r>
                        </w:p>
                      </w:txbxContent>
                    </wps:txbx>
                    <wps:bodyPr anchor="t" lIns="635" tIns="635" rIns="635" bIns="635">
                      <a:spAutoFit/>
                    </wps:bodyPr>
                  </wps:wsp>
                </a:graphicData>
              </a:graphic>
            </wp:anchor>
          </w:drawing>
        </mc:Choice>
        <mc:Fallback>
          <w:pict>
            <v:rect fillcolor="#FFFFFF" style="position:absolute;rotation:0;width:5.15pt;height:11.2pt;mso-wrap-distance-left:9.05pt;mso-wrap-distance-right:9.05pt;mso-wrap-distance-top:0pt;mso-wrap-distance-bottom:0pt;margin-top:0pt;mso-position-vertical-relative:text;margin-left:221.4pt;mso-position-horizontal:center;mso-position-horizontal-relative:margin">
              <v:fill opacity="0f"/>
              <v:textbox inset="0.000694444444444444in,0.000694444444444444in,0.000694444444444444in,0.000694444444444444in">
                <w:txbxContent>
                  <w:p>
                    <w:pPr>
                      <w:pStyle w:val="Footer"/>
                      <w:rPr>
                        <w:rFonts w:eastAsia="宋体"/>
                        <w:lang w:eastAsia="zh-CN"/>
                      </w:rPr>
                    </w:pPr>
                    <w:r>
                      <w:rPr>
                        <w:rFonts w:eastAsia="宋体"/>
                        <w:lang w:eastAsia="zh-CN"/>
                      </w:rPr>
                      <w:fldChar w:fldCharType="begin"/>
                    </w:r>
                    <w:r>
                      <w:rPr>
                        <w:rFonts w:eastAsia="宋体"/>
                        <w:lang w:eastAsia="zh-CN"/>
                      </w:rPr>
                      <w:instrText> PAGE </w:instrText>
                    </w:r>
                    <w:r>
                      <w:rPr>
                        <w:rFonts w:eastAsia="宋体"/>
                        <w:lang w:eastAsia="zh-CN"/>
                      </w:rPr>
                      <w:fldChar w:fldCharType="separate"/>
                    </w:r>
                    <w:r>
                      <w:rPr>
                        <w:rFonts w:eastAsia="宋体"/>
                        <w:lang w:eastAsia="zh-CN"/>
                      </w:rPr>
                      <w:t>8</w:t>
                    </w:r>
                    <w:r>
                      <w:rPr>
                        <w:rFonts w:eastAsia="宋体"/>
                        <w:lang w:eastAsia="zh-CN"/>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1245" w:hanging="720"/>
      </w:pPr>
      <w:rPr>
        <w:szCs w:val="21"/>
        <w:rFonts w:ascii="楷体" w:hAnsi="楷体" w:eastAsia="楷体" w:cs="楷体"/>
        <w:color w:val="000000"/>
        <w:lang w:eastAsia="zh-CN"/>
      </w:rPr>
    </w:lvl>
    <w:lvl w:ilvl="1">
      <w:start w:val="1"/>
      <w:numFmt w:val="lowerLetter"/>
      <w:lvlText w:val="%2)"/>
      <w:lvlJc w:val="start"/>
      <w:pPr>
        <w:tabs>
          <w:tab w:val="num" w:pos="0"/>
        </w:tabs>
        <w:ind w:start="1365" w:hanging="420"/>
      </w:pPr>
      <w:rPr/>
    </w:lvl>
    <w:lvl w:ilvl="2">
      <w:start w:val="1"/>
      <w:numFmt w:val="lowerRoman"/>
      <w:lvlText w:val="%3."/>
      <w:lvlJc w:val="end"/>
      <w:pPr>
        <w:tabs>
          <w:tab w:val="num" w:pos="0"/>
        </w:tabs>
        <w:ind w:start="1785" w:hanging="420"/>
      </w:pPr>
      <w:rPr/>
    </w:lvl>
    <w:lvl w:ilvl="3">
      <w:start w:val="1"/>
      <w:numFmt w:val="decimal"/>
      <w:lvlText w:val="%4."/>
      <w:lvlJc w:val="start"/>
      <w:pPr>
        <w:tabs>
          <w:tab w:val="num" w:pos="0"/>
        </w:tabs>
        <w:ind w:start="2205" w:hanging="420"/>
      </w:pPr>
      <w:rPr/>
    </w:lvl>
    <w:lvl w:ilvl="4">
      <w:start w:val="1"/>
      <w:numFmt w:val="lowerLetter"/>
      <w:lvlText w:val="%5)"/>
      <w:lvlJc w:val="start"/>
      <w:pPr>
        <w:tabs>
          <w:tab w:val="num" w:pos="0"/>
        </w:tabs>
        <w:ind w:start="2625" w:hanging="420"/>
      </w:pPr>
      <w:rPr/>
    </w:lvl>
    <w:lvl w:ilvl="5">
      <w:start w:val="1"/>
      <w:numFmt w:val="lowerRoman"/>
      <w:lvlText w:val="%6."/>
      <w:lvlJc w:val="end"/>
      <w:pPr>
        <w:tabs>
          <w:tab w:val="num" w:pos="0"/>
        </w:tabs>
        <w:ind w:start="3045" w:hanging="420"/>
      </w:pPr>
      <w:rPr/>
    </w:lvl>
    <w:lvl w:ilvl="6">
      <w:start w:val="1"/>
      <w:numFmt w:val="decimal"/>
      <w:lvlText w:val="%7."/>
      <w:lvlJc w:val="start"/>
      <w:pPr>
        <w:tabs>
          <w:tab w:val="num" w:pos="0"/>
        </w:tabs>
        <w:ind w:start="3465" w:hanging="420"/>
      </w:pPr>
      <w:rPr/>
    </w:lvl>
    <w:lvl w:ilvl="7">
      <w:start w:val="1"/>
      <w:numFmt w:val="lowerLetter"/>
      <w:lvlText w:val="%8)"/>
      <w:lvlJc w:val="start"/>
      <w:pPr>
        <w:tabs>
          <w:tab w:val="num" w:pos="0"/>
        </w:tabs>
        <w:ind w:start="3885" w:hanging="420"/>
      </w:pPr>
      <w:rPr/>
    </w:lvl>
    <w:lvl w:ilvl="8">
      <w:start w:val="1"/>
      <w:numFmt w:val="lowerRoman"/>
      <w:lvlText w:val="%9."/>
      <w:lvlJc w:val="end"/>
      <w:pPr>
        <w:tabs>
          <w:tab w:val="num" w:pos="0"/>
        </w:tabs>
        <w:ind w:start="4305" w:hanging="420"/>
      </w:pPr>
      <w:rPr/>
    </w:lvl>
  </w:abstractNum>
  <w:abstractNum w:abstractNumId="3">
    <w:lvl w:ilvl="0">
      <w:start w:val="1"/>
      <w:numFmt w:val="chineseCountingThousand"/>
      <w:lvlText w:val="%1、"/>
      <w:lvlJc w:val="start"/>
      <w:pPr>
        <w:tabs>
          <w:tab w:val="num" w:pos="0"/>
        </w:tabs>
        <w:ind w:start="872" w:hanging="450"/>
      </w:pPr>
      <w:rPr>
        <w:b/>
      </w:rPr>
    </w:lvl>
    <w:lvl w:ilvl="1">
      <w:start w:val="1"/>
      <w:numFmt w:val="lowerLetter"/>
      <w:lvlText w:val="%2)"/>
      <w:lvlJc w:val="start"/>
      <w:pPr>
        <w:tabs>
          <w:tab w:val="num" w:pos="0"/>
        </w:tabs>
        <w:ind w:start="1262" w:hanging="420"/>
      </w:pPr>
      <w:rPr/>
    </w:lvl>
    <w:lvl w:ilvl="2">
      <w:start w:val="1"/>
      <w:numFmt w:val="lowerRoman"/>
      <w:lvlText w:val="%3."/>
      <w:lvlJc w:val="end"/>
      <w:pPr>
        <w:tabs>
          <w:tab w:val="num" w:pos="0"/>
        </w:tabs>
        <w:ind w:start="1682" w:hanging="420"/>
      </w:pPr>
      <w:rPr/>
    </w:lvl>
    <w:lvl w:ilvl="3">
      <w:start w:val="1"/>
      <w:numFmt w:val="decimal"/>
      <w:lvlText w:val="%4."/>
      <w:lvlJc w:val="start"/>
      <w:pPr>
        <w:tabs>
          <w:tab w:val="num" w:pos="0"/>
        </w:tabs>
        <w:ind w:start="2102" w:hanging="420"/>
      </w:pPr>
      <w:rPr/>
    </w:lvl>
    <w:lvl w:ilvl="4">
      <w:start w:val="1"/>
      <w:numFmt w:val="lowerLetter"/>
      <w:lvlText w:val="%5)"/>
      <w:lvlJc w:val="start"/>
      <w:pPr>
        <w:tabs>
          <w:tab w:val="num" w:pos="0"/>
        </w:tabs>
        <w:ind w:start="2522" w:hanging="420"/>
      </w:pPr>
      <w:rPr/>
    </w:lvl>
    <w:lvl w:ilvl="5">
      <w:start w:val="1"/>
      <w:numFmt w:val="lowerRoman"/>
      <w:lvlText w:val="%6."/>
      <w:lvlJc w:val="end"/>
      <w:pPr>
        <w:tabs>
          <w:tab w:val="num" w:pos="0"/>
        </w:tabs>
        <w:ind w:start="2942" w:hanging="420"/>
      </w:pPr>
      <w:rPr/>
    </w:lvl>
    <w:lvl w:ilvl="6">
      <w:start w:val="1"/>
      <w:numFmt w:val="decimal"/>
      <w:lvlText w:val="%7."/>
      <w:lvlJc w:val="start"/>
      <w:pPr>
        <w:tabs>
          <w:tab w:val="num" w:pos="0"/>
        </w:tabs>
        <w:ind w:start="3362" w:hanging="420"/>
      </w:pPr>
      <w:rPr/>
    </w:lvl>
    <w:lvl w:ilvl="7">
      <w:start w:val="1"/>
      <w:numFmt w:val="lowerLetter"/>
      <w:lvlText w:val="%8)"/>
      <w:lvlJc w:val="start"/>
      <w:pPr>
        <w:tabs>
          <w:tab w:val="num" w:pos="0"/>
        </w:tabs>
        <w:ind w:start="3782" w:hanging="420"/>
      </w:pPr>
      <w:rPr/>
    </w:lvl>
    <w:lvl w:ilvl="8">
      <w:start w:val="1"/>
      <w:numFmt w:val="lowerRoman"/>
      <w:lvlText w:val="%9."/>
      <w:lvlJc w:val="end"/>
      <w:pPr>
        <w:tabs>
          <w:tab w:val="num" w:pos="0"/>
        </w:tabs>
        <w:ind w:start="4202" w:hanging="420"/>
      </w:pPr>
      <w:rPr/>
    </w:lvl>
  </w:abstractNum>
  <w:abstractNum w:abstractNumId="4">
    <w:lvl w:ilvl="0">
      <w:start w:val="1"/>
      <w:numFmt w:val="chineseCountingThousand"/>
      <w:lvlText w:val="%1、"/>
      <w:lvlJc w:val="start"/>
      <w:pPr>
        <w:tabs>
          <w:tab w:val="num" w:pos="0"/>
        </w:tabs>
        <w:ind w:start="872" w:hanging="450"/>
      </w:pPr>
      <w:rPr>
        <w:b/>
      </w:rPr>
    </w:lvl>
    <w:lvl w:ilvl="1">
      <w:start w:val="1"/>
      <w:numFmt w:val="lowerLetter"/>
      <w:lvlText w:val="%2)"/>
      <w:lvlJc w:val="start"/>
      <w:pPr>
        <w:tabs>
          <w:tab w:val="num" w:pos="0"/>
        </w:tabs>
        <w:ind w:start="1262" w:hanging="420"/>
      </w:pPr>
      <w:rPr/>
    </w:lvl>
    <w:lvl w:ilvl="2">
      <w:start w:val="1"/>
      <w:numFmt w:val="lowerRoman"/>
      <w:lvlText w:val="%3."/>
      <w:lvlJc w:val="end"/>
      <w:pPr>
        <w:tabs>
          <w:tab w:val="num" w:pos="0"/>
        </w:tabs>
        <w:ind w:start="1682" w:hanging="420"/>
      </w:pPr>
      <w:rPr/>
    </w:lvl>
    <w:lvl w:ilvl="3">
      <w:start w:val="1"/>
      <w:numFmt w:val="decimal"/>
      <w:lvlText w:val="%4."/>
      <w:lvlJc w:val="start"/>
      <w:pPr>
        <w:tabs>
          <w:tab w:val="num" w:pos="0"/>
        </w:tabs>
        <w:ind w:start="2102" w:hanging="420"/>
      </w:pPr>
      <w:rPr/>
    </w:lvl>
    <w:lvl w:ilvl="4">
      <w:start w:val="1"/>
      <w:numFmt w:val="lowerLetter"/>
      <w:lvlText w:val="%5)"/>
      <w:lvlJc w:val="start"/>
      <w:pPr>
        <w:tabs>
          <w:tab w:val="num" w:pos="0"/>
        </w:tabs>
        <w:ind w:start="2522" w:hanging="420"/>
      </w:pPr>
      <w:rPr/>
    </w:lvl>
    <w:lvl w:ilvl="5">
      <w:start w:val="1"/>
      <w:numFmt w:val="lowerRoman"/>
      <w:lvlText w:val="%6."/>
      <w:lvlJc w:val="end"/>
      <w:pPr>
        <w:tabs>
          <w:tab w:val="num" w:pos="0"/>
        </w:tabs>
        <w:ind w:start="2942" w:hanging="420"/>
      </w:pPr>
      <w:rPr/>
    </w:lvl>
    <w:lvl w:ilvl="6">
      <w:start w:val="1"/>
      <w:numFmt w:val="decimal"/>
      <w:lvlText w:val="%7."/>
      <w:lvlJc w:val="start"/>
      <w:pPr>
        <w:tabs>
          <w:tab w:val="num" w:pos="0"/>
        </w:tabs>
        <w:ind w:start="3362" w:hanging="420"/>
      </w:pPr>
      <w:rPr/>
    </w:lvl>
    <w:lvl w:ilvl="7">
      <w:start w:val="1"/>
      <w:numFmt w:val="lowerLetter"/>
      <w:lvlText w:val="%8)"/>
      <w:lvlJc w:val="start"/>
      <w:pPr>
        <w:tabs>
          <w:tab w:val="num" w:pos="0"/>
        </w:tabs>
        <w:ind w:start="3782" w:hanging="420"/>
      </w:pPr>
      <w:rPr/>
    </w:lvl>
    <w:lvl w:ilvl="8">
      <w:start w:val="1"/>
      <w:numFmt w:val="lowerRoman"/>
      <w:lvlText w:val="%9."/>
      <w:lvlJc w:val="end"/>
      <w:pPr>
        <w:tabs>
          <w:tab w:val="num" w:pos="0"/>
        </w:tabs>
        <w:ind w:start="4202" w:hanging="420"/>
      </w:pPr>
      <w:rPr/>
    </w:lvl>
  </w:abstractNum>
  <w:abstractNum w:abstractNumId="5">
    <w:lvl w:ilvl="0">
      <w:start w:val="1"/>
      <w:numFmt w:val="chineseCountingThousand"/>
      <w:lvlText w:val="(%1)"/>
      <w:lvlJc w:val="start"/>
      <w:pPr>
        <w:tabs>
          <w:tab w:val="num" w:pos="0"/>
        </w:tabs>
        <w:ind w:start="930" w:hanging="405"/>
      </w:pPr>
      <w:rPr/>
    </w:lvl>
    <w:lvl w:ilvl="1">
      <w:start w:val="1"/>
      <w:numFmt w:val="lowerLetter"/>
      <w:lvlText w:val="%2)"/>
      <w:lvlJc w:val="start"/>
      <w:pPr>
        <w:tabs>
          <w:tab w:val="num" w:pos="0"/>
        </w:tabs>
        <w:ind w:start="1365" w:hanging="420"/>
      </w:pPr>
      <w:rPr/>
    </w:lvl>
    <w:lvl w:ilvl="2">
      <w:start w:val="1"/>
      <w:numFmt w:val="lowerRoman"/>
      <w:lvlText w:val="%3."/>
      <w:lvlJc w:val="end"/>
      <w:pPr>
        <w:tabs>
          <w:tab w:val="num" w:pos="0"/>
        </w:tabs>
        <w:ind w:start="1785" w:hanging="420"/>
      </w:pPr>
      <w:rPr/>
    </w:lvl>
    <w:lvl w:ilvl="3">
      <w:start w:val="1"/>
      <w:numFmt w:val="decimal"/>
      <w:lvlText w:val="%4."/>
      <w:lvlJc w:val="start"/>
      <w:pPr>
        <w:tabs>
          <w:tab w:val="num" w:pos="0"/>
        </w:tabs>
        <w:ind w:start="2205" w:hanging="420"/>
      </w:pPr>
      <w:rPr/>
    </w:lvl>
    <w:lvl w:ilvl="4">
      <w:start w:val="1"/>
      <w:numFmt w:val="lowerLetter"/>
      <w:lvlText w:val="%5)"/>
      <w:lvlJc w:val="start"/>
      <w:pPr>
        <w:tabs>
          <w:tab w:val="num" w:pos="0"/>
        </w:tabs>
        <w:ind w:start="2625" w:hanging="420"/>
      </w:pPr>
      <w:rPr/>
    </w:lvl>
    <w:lvl w:ilvl="5">
      <w:start w:val="1"/>
      <w:numFmt w:val="lowerRoman"/>
      <w:lvlText w:val="%6."/>
      <w:lvlJc w:val="end"/>
      <w:pPr>
        <w:tabs>
          <w:tab w:val="num" w:pos="0"/>
        </w:tabs>
        <w:ind w:start="3045" w:hanging="420"/>
      </w:pPr>
      <w:rPr/>
    </w:lvl>
    <w:lvl w:ilvl="6">
      <w:start w:val="1"/>
      <w:numFmt w:val="decimal"/>
      <w:lvlText w:val="%7."/>
      <w:lvlJc w:val="start"/>
      <w:pPr>
        <w:tabs>
          <w:tab w:val="num" w:pos="0"/>
        </w:tabs>
        <w:ind w:start="3465" w:hanging="420"/>
      </w:pPr>
      <w:rPr/>
    </w:lvl>
    <w:lvl w:ilvl="7">
      <w:start w:val="1"/>
      <w:numFmt w:val="lowerLetter"/>
      <w:lvlText w:val="%8)"/>
      <w:lvlJc w:val="start"/>
      <w:pPr>
        <w:tabs>
          <w:tab w:val="num" w:pos="0"/>
        </w:tabs>
        <w:ind w:start="3885" w:hanging="420"/>
      </w:pPr>
      <w:rPr/>
    </w:lvl>
    <w:lvl w:ilvl="8">
      <w:start w:val="1"/>
      <w:numFmt w:val="lowerRoman"/>
      <w:lvlText w:val="%9."/>
      <w:lvlJc w:val="end"/>
      <w:pPr>
        <w:tabs>
          <w:tab w:val="num" w:pos="0"/>
        </w:tabs>
        <w:ind w:start="4305" w:hanging="420"/>
      </w:pPr>
      <w:rPr/>
    </w:lvl>
  </w:abstractNum>
  <w:abstractNum w:abstractNumId="6">
    <w:lvl w:ilvl="0">
      <w:start w:val="1"/>
      <w:numFmt w:val="chineseCountingThousand"/>
      <w:lvlText w:val="(%1)"/>
      <w:lvlJc w:val="start"/>
      <w:pPr>
        <w:tabs>
          <w:tab w:val="num" w:pos="0"/>
        </w:tabs>
        <w:ind w:start="930" w:hanging="405"/>
      </w:pPr>
      <w:rPr/>
    </w:lvl>
    <w:lvl w:ilvl="1">
      <w:start w:val="1"/>
      <w:numFmt w:val="lowerLetter"/>
      <w:lvlText w:val="%2)"/>
      <w:lvlJc w:val="start"/>
      <w:pPr>
        <w:tabs>
          <w:tab w:val="num" w:pos="0"/>
        </w:tabs>
        <w:ind w:start="1365" w:hanging="420"/>
      </w:pPr>
      <w:rPr/>
    </w:lvl>
    <w:lvl w:ilvl="2">
      <w:start w:val="1"/>
      <w:numFmt w:val="lowerRoman"/>
      <w:lvlText w:val="%3."/>
      <w:lvlJc w:val="end"/>
      <w:pPr>
        <w:tabs>
          <w:tab w:val="num" w:pos="0"/>
        </w:tabs>
        <w:ind w:start="1785" w:hanging="420"/>
      </w:pPr>
      <w:rPr/>
    </w:lvl>
    <w:lvl w:ilvl="3">
      <w:start w:val="1"/>
      <w:numFmt w:val="decimal"/>
      <w:lvlText w:val="%4."/>
      <w:lvlJc w:val="start"/>
      <w:pPr>
        <w:tabs>
          <w:tab w:val="num" w:pos="0"/>
        </w:tabs>
        <w:ind w:start="2205" w:hanging="420"/>
      </w:pPr>
      <w:rPr/>
    </w:lvl>
    <w:lvl w:ilvl="4">
      <w:start w:val="1"/>
      <w:numFmt w:val="lowerLetter"/>
      <w:lvlText w:val="%5)"/>
      <w:lvlJc w:val="start"/>
      <w:pPr>
        <w:tabs>
          <w:tab w:val="num" w:pos="0"/>
        </w:tabs>
        <w:ind w:start="2625" w:hanging="420"/>
      </w:pPr>
      <w:rPr/>
    </w:lvl>
    <w:lvl w:ilvl="5">
      <w:start w:val="1"/>
      <w:numFmt w:val="lowerRoman"/>
      <w:lvlText w:val="%6."/>
      <w:lvlJc w:val="end"/>
      <w:pPr>
        <w:tabs>
          <w:tab w:val="num" w:pos="0"/>
        </w:tabs>
        <w:ind w:start="3045" w:hanging="420"/>
      </w:pPr>
      <w:rPr/>
    </w:lvl>
    <w:lvl w:ilvl="6">
      <w:start w:val="1"/>
      <w:numFmt w:val="decimal"/>
      <w:lvlText w:val="%7."/>
      <w:lvlJc w:val="start"/>
      <w:pPr>
        <w:tabs>
          <w:tab w:val="num" w:pos="0"/>
        </w:tabs>
        <w:ind w:start="3465" w:hanging="420"/>
      </w:pPr>
      <w:rPr/>
    </w:lvl>
    <w:lvl w:ilvl="7">
      <w:start w:val="1"/>
      <w:numFmt w:val="lowerLetter"/>
      <w:lvlText w:val="%8)"/>
      <w:lvlJc w:val="start"/>
      <w:pPr>
        <w:tabs>
          <w:tab w:val="num" w:pos="0"/>
        </w:tabs>
        <w:ind w:start="3885" w:hanging="420"/>
      </w:pPr>
      <w:rPr/>
    </w:lvl>
    <w:lvl w:ilvl="8">
      <w:start w:val="1"/>
      <w:numFmt w:val="lowerRoman"/>
      <w:lvlText w:val="%9."/>
      <w:lvlJc w:val="end"/>
      <w:pPr>
        <w:tabs>
          <w:tab w:val="num" w:pos="0"/>
        </w:tabs>
        <w:ind w:start="4305" w:hanging="4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48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PMingLiU" w:cs="Times New Roman"/>
      <w:color w:val="auto"/>
      <w:kern w:val="2"/>
      <w:sz w:val="24"/>
      <w:szCs w:val="24"/>
      <w:lang w:val="en-US" w:eastAsia="zh-TW" w:bidi="ar-SA"/>
    </w:rPr>
  </w:style>
  <w:style w:type="paragraph" w:styleId="Heading1">
    <w:name w:val="Heading 1"/>
    <w:basedOn w:val="Normal"/>
    <w:next w:val="TextBody"/>
    <w:qFormat/>
    <w:pPr>
      <w:widowControl/>
      <w:numPr>
        <w:ilvl w:val="0"/>
        <w:numId w:val="1"/>
      </w:numPr>
      <w:spacing w:before="280" w:after="280"/>
      <w:outlineLvl w:val="0"/>
    </w:pPr>
    <w:rPr>
      <w:rFonts w:ascii="宋体" w:hAnsi="宋体" w:eastAsia="宋体" w:cs="宋体"/>
      <w:b/>
      <w:bCs/>
      <w:kern w:val="2"/>
      <w:sz w:val="48"/>
      <w:szCs w:val="48"/>
      <w:lang w:eastAsia="zh-CN"/>
    </w:rPr>
  </w:style>
  <w:style w:type="paragraph" w:styleId="Heading2">
    <w:name w:val="Heading 2"/>
    <w:basedOn w:val="Normal"/>
    <w:next w:val="Normal"/>
    <w:qFormat/>
    <w:pPr>
      <w:keepNext w:val="true"/>
      <w:keepLines/>
      <w:numPr>
        <w:ilvl w:val="1"/>
        <w:numId w:val="1"/>
      </w:numPr>
      <w:spacing w:before="60" w:after="60"/>
      <w:jc w:val="both"/>
      <w:outlineLvl w:val="1"/>
    </w:pPr>
    <w:rPr>
      <w:rFonts w:ascii="Arial" w:hAnsi="Arial" w:eastAsia="宋体" w:cs="Arial"/>
      <w:b/>
      <w:bCs/>
      <w:sz w:val="28"/>
      <w:szCs w:val="32"/>
      <w:lang w:eastAsia="zh-CN"/>
    </w:rPr>
  </w:style>
  <w:style w:type="paragraph" w:styleId="Heading3">
    <w:name w:val="Heading 3"/>
    <w:basedOn w:val="Normal"/>
    <w:next w:val="Normal"/>
    <w:qFormat/>
    <w:pPr>
      <w:keepNext w:val="true"/>
      <w:keepLines/>
      <w:numPr>
        <w:ilvl w:val="2"/>
        <w:numId w:val="1"/>
      </w:numPr>
      <w:spacing w:before="40" w:after="40"/>
      <w:jc w:val="both"/>
      <w:outlineLvl w:val="2"/>
    </w:pPr>
    <w:rPr>
      <w:rFonts w:eastAsia="宋体"/>
      <w:b/>
      <w:bCs/>
      <w:sz w:val="28"/>
      <w:szCs w:val="32"/>
      <w:lang w:eastAsia="zh-CN"/>
    </w:rPr>
  </w:style>
  <w:style w:type="character" w:styleId="WW8Num1z0">
    <w:name w:val="WW8Num1z0"/>
    <w:qFormat/>
    <w:rPr>
      <w:rFonts w:ascii="楷体" w:hAnsi="楷体" w:eastAsia="楷体" w:cs="楷体"/>
      <w:color w:val="000000"/>
      <w:szCs w:val="21"/>
      <w:lang w:eastAsia="zh-CN"/>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b/>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Style11">
    <w:name w:val="默认段落字体"/>
    <w:qFormat/>
    <w:rPr/>
  </w:style>
  <w:style w:type="character" w:styleId="StrongEmphasis">
    <w:name w:val="Strong Emphasis"/>
    <w:qFormat/>
    <w:rPr>
      <w:b/>
      <w:bCs/>
    </w:rPr>
  </w:style>
  <w:style w:type="character" w:styleId="InternetLink">
    <w:name w:val="Hyperlink"/>
    <w:rPr>
      <w:color w:val="0000FF"/>
      <w:u w:val="single"/>
    </w:rPr>
  </w:style>
  <w:style w:type="character" w:styleId="PageNumber">
    <w:name w:val="Page Number"/>
    <w:basedOn w:val="Style11"/>
    <w:rPr/>
  </w:style>
  <w:style w:type="character" w:styleId="Oblogtext">
    <w:name w:val="oblog_text"/>
    <w:basedOn w:val="Style11"/>
    <w:qFormat/>
    <w:rPr/>
  </w:style>
  <w:style w:type="character" w:styleId="Zz">
    <w:name w:val="zz"/>
    <w:basedOn w:val="Style11"/>
    <w:qFormat/>
    <w:rPr/>
  </w:style>
  <w:style w:type="character" w:styleId="Ff">
    <w:name w:val="ff"/>
    <w:basedOn w:val="Style11"/>
    <w:qFormat/>
    <w:rPr/>
  </w:style>
  <w:style w:type="character" w:styleId="A1">
    <w:name w:val="a1"/>
    <w:basedOn w:val="Style11"/>
    <w:qFormat/>
    <w:rPr/>
  </w:style>
  <w:style w:type="character" w:styleId="Char">
    <w:name w:val="标题 Char"/>
    <w:basedOn w:val="Style11"/>
    <w:qFormat/>
    <w:rPr>
      <w:rFonts w:ascii="Cambria" w:hAnsi="Cambria" w:eastAsia="宋体" w:cs="Cambria"/>
      <w:b/>
      <w:bCs/>
      <w:sz w:val="32"/>
      <w:szCs w:val="32"/>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eastAsia="宋体" w:cs="Cambria"/>
      <w:b/>
      <w:bCs/>
      <w:kern w:val="0"/>
      <w:sz w:val="32"/>
      <w:szCs w:val="32"/>
    </w:rPr>
  </w:style>
  <w:style w:type="paragraph" w:styleId="TextBody">
    <w:name w:val="Body Text"/>
    <w:basedOn w:val="Normal"/>
    <w:pPr>
      <w:jc w:val="both"/>
    </w:pPr>
    <w:rPr>
      <w:rFonts w:eastAsia="宋体"/>
      <w:sz w:val="28"/>
      <w:lang w:eastAsia="zh-CN"/>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80"/>
        <w:tab w:val="center" w:pos="4819" w:leader="none"/>
        <w:tab w:val="right" w:pos="9638" w:leader="none"/>
      </w:tabs>
    </w:pPr>
    <w:rPr/>
  </w:style>
  <w:style w:type="paragraph" w:styleId="Header">
    <w:name w:val="Header"/>
    <w:basedOn w:val="Normal"/>
    <w:pPr>
      <w:tabs>
        <w:tab w:val="clear" w:pos="480"/>
        <w:tab w:val="center" w:pos="4153" w:leader="none"/>
        <w:tab w:val="right" w:pos="8306" w:leader="none"/>
      </w:tabs>
      <w:snapToGrid w:val="false"/>
    </w:pPr>
    <w:rPr>
      <w:sz w:val="20"/>
      <w:szCs w:val="20"/>
    </w:rPr>
  </w:style>
  <w:style w:type="paragraph" w:styleId="2">
    <w:name w:val="正文文本缩进 2"/>
    <w:basedOn w:val="Normal"/>
    <w:qFormat/>
    <w:pPr>
      <w:ind w:firstLine="630"/>
    </w:pPr>
    <w:rPr>
      <w:sz w:val="32"/>
    </w:rPr>
  </w:style>
  <w:style w:type="paragraph" w:styleId="Contents2">
    <w:name w:val="TOC 2"/>
    <w:basedOn w:val="Normal"/>
    <w:next w:val="Normal"/>
    <w:pPr>
      <w:ind w:start="420" w:firstLine="420"/>
      <w:jc w:val="both"/>
    </w:pPr>
    <w:rPr>
      <w:rFonts w:eastAsia="宋体"/>
      <w:sz w:val="21"/>
      <w:lang w:eastAsia="zh-CN"/>
    </w:rPr>
  </w:style>
  <w:style w:type="paragraph" w:styleId="Footer">
    <w:name w:val="Footer"/>
    <w:basedOn w:val="Normal"/>
    <w:pPr>
      <w:tabs>
        <w:tab w:val="clear" w:pos="480"/>
        <w:tab w:val="center" w:pos="4153" w:leader="none"/>
        <w:tab w:val="right" w:pos="8306" w:leader="none"/>
      </w:tabs>
      <w:snapToGrid w:val="false"/>
    </w:pPr>
    <w:rPr>
      <w:sz w:val="20"/>
      <w:szCs w:val="20"/>
    </w:rPr>
  </w:style>
  <w:style w:type="paragraph" w:styleId="Style12">
    <w:name w:val="日期"/>
    <w:basedOn w:val="Normal"/>
    <w:next w:val="Normal"/>
    <w:qFormat/>
    <w:pPr>
      <w:jc w:val="both"/>
    </w:pPr>
    <w:rPr>
      <w:rFonts w:eastAsia="宋体"/>
      <w:sz w:val="21"/>
      <w:lang w:eastAsia="zh-CN"/>
    </w:rPr>
  </w:style>
  <w:style w:type="paragraph" w:styleId="Style13">
    <w:name w:val="普通(网站)"/>
    <w:basedOn w:val="Normal"/>
    <w:qFormat/>
    <w:pPr>
      <w:widowControl/>
      <w:spacing w:before="280" w:after="280"/>
    </w:pPr>
    <w:rPr>
      <w:rFonts w:ascii="宋体" w:hAnsi="宋体" w:eastAsia="宋体" w:cs="宋体"/>
      <w:kern w:val="0"/>
      <w:lang w:eastAsia="zh-CN"/>
    </w:rPr>
  </w:style>
  <w:style w:type="paragraph" w:styleId="Contents3">
    <w:name w:val="TOC 3"/>
    <w:basedOn w:val="Normal"/>
    <w:next w:val="Normal"/>
    <w:pPr>
      <w:ind w:start="840" w:firstLine="420"/>
      <w:jc w:val="both"/>
    </w:pPr>
    <w:rPr>
      <w:rFonts w:eastAsia="宋体"/>
      <w:sz w:val="21"/>
      <w:lang w:eastAsia="zh-CN"/>
    </w:rPr>
  </w:style>
  <w:style w:type="paragraph" w:styleId="TextBodyIndent">
    <w:name w:val="Body Text Indent"/>
    <w:basedOn w:val="Normal"/>
    <w:pPr>
      <w:ind w:start="2" w:hanging="0"/>
      <w:jc w:val="both"/>
    </w:pPr>
    <w:rPr>
      <w:rFonts w:eastAsia="宋体"/>
      <w:sz w:val="32"/>
      <w:lang w:eastAsia="zh-CN"/>
    </w:rPr>
  </w:style>
  <w:style w:type="paragraph" w:styleId="3">
    <w:name w:val="正文文本缩进 3"/>
    <w:basedOn w:val="Normal"/>
    <w:qFormat/>
    <w:pPr>
      <w:spacing w:lineRule="atLeast" w:line="340"/>
      <w:ind w:firstLine="482"/>
      <w:jc w:val="both"/>
      <w:textAlignment w:val="baseline"/>
    </w:pPr>
    <w:rPr>
      <w:rFonts w:ascii="Arial Narrow" w:hAnsi="Arial Narrow" w:eastAsia="楷体_GB2312;楷体" w:cs="Arial Narrow"/>
      <w:b/>
      <w:kern w:val="0"/>
      <w:szCs w:val="20"/>
      <w:lang w:eastAsia="zh-CN"/>
    </w:rPr>
  </w:style>
  <w:style w:type="paragraph" w:styleId="PlainText">
    <w:name w:val="Plain Text"/>
    <w:basedOn w:val="Normal"/>
    <w:qFormat/>
    <w:pPr>
      <w:jc w:val="both"/>
      <w:textAlignment w:val="baseline"/>
    </w:pPr>
    <w:rPr>
      <w:rFonts w:ascii="宋体" w:hAnsi="宋体" w:eastAsia="宋体" w:cs="Courier New"/>
      <w:sz w:val="21"/>
      <w:szCs w:val="20"/>
      <w:lang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2019-04-08T18:00:00Z</dcterms:created>
  <dc:creator>zhong</dc:creator>
  <dc:description/>
  <dc:language>en-US</dc:language>
  <cp:lastModifiedBy>Administrator</cp:lastModifiedBy>
  <dcterms:modified xsi:type="dcterms:W3CDTF">2019-10-16T16:31:55Z</dcterms:modified>
  <cp:revision>3</cp:revision>
  <dc:subject/>
  <dc:title>Sda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