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 w:afterLines="100" w:line="360" w:lineRule="auto"/>
        <w:textAlignment w:val="baseline"/>
        <w:rPr>
          <w:rFonts w:hint="eastAsia" w:ascii="楷体" w:hAnsi="楷体" w:eastAsia="楷体" w:cs="宋体"/>
          <w:bCs w:val="0"/>
          <w:color w:val="000000"/>
          <w:szCs w:val="28"/>
        </w:rPr>
      </w:pPr>
      <w:r>
        <w:rPr>
          <w:rFonts w:hint="eastAsia" w:ascii="SimHei" w:hAnsi="SimHei" w:eastAsia="黑体"/>
          <w:color w:val="000000"/>
          <w:sz w:val="36"/>
        </w:rPr>
        <w:t>企业合理避税的12个方法</w:t>
      </w:r>
    </w:p>
    <w:p>
      <w:pPr>
        <w:pStyle w:val="2"/>
        <w:keepNext/>
        <w:pageBreakBefore w:val="0"/>
        <w:widowControl w:val="0"/>
        <w:spacing w:before="0" w:line="360" w:lineRule="auto"/>
        <w:ind w:firstLine="424" w:firstLineChars="151"/>
        <w:jc w:val="both"/>
        <w:rPr>
          <w:rFonts w:ascii="楷体" w:hAnsi="楷体" w:eastAsia="楷体" w:cs="宋体"/>
          <w:bCs/>
          <w:color w:val="000000"/>
          <w:szCs w:val="28"/>
        </w:rPr>
      </w:pPr>
      <w:r>
        <w:rPr>
          <w:rFonts w:ascii="SimHei" w:hAnsi="SimHei" w:eastAsia="黑体" w:cs="Times New Roman"/>
          <w:b/>
          <w:bCs/>
          <w:shadow w:val="0"/>
          <w:color w:val="000000"/>
          <w:sz w:val="28"/>
          <w:szCs w:val="21"/>
        </w:rPr>
        <w:t>一、3种常见的根据政策来避税的方法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1、国家对高新技术企业的优惠政策如下：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（1）企业的研发费用可以按175%进行企业所得税的税前扣除。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（2）申请成为“高新技术企业”，可以少缴10%的企业所得税，按照利润的15%缴纳。（非高新技术企业需要缴纳25%的企业所得税）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2、小型微利企业的税收优惠政策如下：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（1）对年应纳税所得额低于20万元（含20万元）的小型微利企业，其所得减按50%计入应纳税所得额，按20%的税率缴纳企业所得税。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（2）对年应纳税所得额在20万元到30万元（含30万元）之间的小型微利企业，其所得减按50%计入应纳税所得额，按20%的税率缴纳企业所得税。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（3）小规模纳税人企业的月销售额不超过3万元（按季纳税9万元）的，可享受小微企业暂免征收增值税优惠政策。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3、年终奖缴税的优惠政策如下：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年终奖的准确叫法是“全年一次性奖金”，年终奖个税计税方法是一种比较优惠的算法，是全年仅有的一次可以除以12计算合适税率的税收优惠。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年终奖是对企业员工们一年来工作业绩的肯定。“年末双薪制”是最普遍的年终奖发放形式之一，大多数企业，尤其是外企普遍会使用这种方法。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企业要利用好“全年一次性奖金”的税收优惠政策，减轻税负，还需要注意以下事项：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（1）纳税人取得全年一次性奖金，单独作为一个月工资、薪金所得计算纳税。在一个纳税年度内，对每一个纳税人，该计税办法只允许采用一次。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（2）纳税人取得除全年一次性奖金以外的其他各种名目奖金，如半年奖、季度奖、加班奖、先进奖、考勤奖等，一律与当月工资、薪金收入合并，按税法规定缴纳个人所得税。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（3）由于个人所得税的法定纳税主体是个人，企业为员工承担的个人所得税不能税前扣除，在年度汇算清缴时，企业应进行纳税调</w:t>
      </w:r>
      <w:bookmarkStart w:id="0" w:name="_GoBack"/>
      <w:bookmarkEnd w:id="0"/>
      <w:r>
        <w:rPr>
          <w:rFonts w:ascii="SimHei" w:hAnsi="SimHei" w:eastAsia="黑体" w:cs="宋体"/>
          <w:color w:val="000000"/>
          <w:szCs w:val="21"/>
        </w:rPr>
        <w:t>整，调增应纳税所得额。</w:t>
      </w:r>
    </w:p>
    <w:p>
      <w:pPr>
        <w:pStyle w:val="2"/>
        <w:keepNext/>
        <w:pageBreakBefore w:val="0"/>
        <w:widowControl w:val="0"/>
        <w:spacing w:before="0" w:line="360" w:lineRule="auto"/>
        <w:ind w:firstLine="424" w:firstLineChars="151"/>
        <w:jc w:val="both"/>
        <w:rPr>
          <w:rFonts w:ascii="楷体" w:hAnsi="楷体" w:eastAsia="楷体" w:cs="宋体"/>
          <w:bCs/>
          <w:color w:val="000000"/>
          <w:szCs w:val="28"/>
        </w:rPr>
      </w:pPr>
      <w:r>
        <w:rPr>
          <w:rFonts w:ascii="SimHei" w:hAnsi="SimHei" w:eastAsia="黑体" w:cs="Times New Roman"/>
          <w:b/>
          <w:bCs/>
          <w:shadow w:val="0"/>
          <w:color w:val="000000"/>
          <w:sz w:val="28"/>
          <w:szCs w:val="21"/>
        </w:rPr>
        <w:t>二、企业容易忽视而导致多缴税的4种情况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1、没有生意也要进行零申报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根据相关法律法规，营业执照批下来后，企业每个月都必须向税务局申报企业的经营情况。不管有没有赚钱，也不管有没有生意，每个月都要根据运营情况做账然后根据账本向税务局做税务的申报。现在小规模企业一个季度的开票量不达九万元的话，可以进行零申报。零申报办理起来也比较简单，如果不办理，企业将会面临2000元的罚款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需要注意的是，如果长期零申报，可能会被税务机关纳入重点监控范围，如有不实情况，将会被税务机关依法查处。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2、增值税税率只与行业有关，与进项税的税率无关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关于这一点，举个例子：增值税第二条规定：图书销售的税率是13%。即只要企业是一般纳税人，销售图书的税率就是13%。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那么问题来了，如果某销售图书的公司，也符合一般纳税人的条件，但他拿到的印刷图书的进项发票是17%，在进行缴税时，还能继续适用13%的税率吗？（即缴税时，按13%的税率抵扣17%的税率）。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答案是肯定的，该公司仍然适用于13%的税率，因为行业性质决定了增值税税率，与进项税的税率是多少无关。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3、合同作废也要记得纳税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企业在日常经营过程中，必然要与外界签订合同，如果中间发生意外，双方废止了合同，也是需要完成印花税缴纳义务的。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4、不拿发票就要多缴税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税务机关实施“以票控税”，企业所有的支出都要取得合法凭证，否则不能税前列支。能够取得合法凭证（发票）成了企业节税的重要方法。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然而有些人不以为意，当对方以优惠为名，诱导企业不开发票时，有些企业就会同意，这样做其实是吃亏的，举个例子：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某公司购买1000元的办公用品，如果不开发票只需付900元，而如果开发票则需付1000元，表面看起来，不要就可以为企业节省100元。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Helvetica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然而现实是：如果多付100元，企业的所得税就可以少缴330元；而如果少付100元，企业的所得税就要多缴330元。拿不拿发票的区别一看就明白了。所以，企业人员一定要记住：不拿发票就会多缴税。</w:t>
      </w:r>
    </w:p>
    <w:p>
      <w:pPr>
        <w:pStyle w:val="2"/>
        <w:keepNext/>
        <w:pageBreakBefore w:val="0"/>
        <w:widowControl w:val="0"/>
        <w:spacing w:before="0" w:line="360" w:lineRule="auto"/>
        <w:ind w:firstLine="424" w:firstLineChars="151"/>
        <w:jc w:val="both"/>
        <w:rPr>
          <w:rFonts w:ascii="楷体" w:hAnsi="楷体" w:eastAsia="楷体" w:cs="宋体"/>
          <w:bCs/>
          <w:color w:val="000000"/>
          <w:szCs w:val="28"/>
        </w:rPr>
      </w:pPr>
      <w:r>
        <w:rPr>
          <w:rFonts w:ascii="SimHei" w:hAnsi="SimHei" w:eastAsia="黑体" w:cs="Times New Roman"/>
          <w:b/>
          <w:bCs/>
          <w:shadow w:val="0"/>
          <w:color w:val="000000"/>
          <w:sz w:val="28"/>
          <w:szCs w:val="21"/>
        </w:rPr>
        <w:t>三、创业者不可不知的5个节税技巧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1、将个人专利以技术入股的形式投入公司使用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如果企业老板或员工个人拥有专利，并将其提供给公司使用，公司在对待个人的专利时，可以为其合理估价，并以有价入股的形式纳入公司使用，并签订正式的合同。这样一来，专利就会成为公司的无形资产，会计人员可以采用合理摊销的方式，将其计入成本费用，从而减少利润，达到少缴税的目的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2、合理提高员工福利，计入成本，摊销利润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中小企业主在生产经营的过程中，可以在不超过计税工资的范畴内适当提高员工工资，例如：为员工办理医疗保险，建立职工基金（如：养老基金、失业保险基金、教育基金等），增加企业财产保险和运输保险等等。如此一来，不仅可以调动员工积极性，而且这些费用都可以列入企业的成本，从而摊销企业利润，减少税负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3、混合销售要依法而签，分别计税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一项销售行为如果涉及服务又涉及货物，就是混合销售。这里包含两个要素：一是必须是同一项销售行为，二是必须要涉及服务和货物，二者缺一不可。其中也有需要注意的税务筹划点。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4、发票丢失，及时补救，仍能报销和入账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我国实行以票控税，因为涉及到税收，如果发票丢失想要重开一张是不太可能的。但是，没有了发票就不能凭票报销和公司入账，该怎么办呢？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丢失发票不用慌张，你可以采取以下两种措施进行补救：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第一种，从外单位取得的原始凭证如有遗失，应当取得原开出单位盖有公章的证明，并注明原来凭证的号码、金额和内容等，由经办单位会计机构负责人、会计主管人员和单位领导人批准后，才能代作原始凭证。</w:t>
      </w:r>
      <w:r>
        <w:rPr>
          <w:rFonts w:ascii="SimHei" w:hAnsi="SimHei" w:eastAsia="黑体" w:cs="宋体"/>
          <w:color w:val="000000"/>
          <w:szCs w:val="21"/>
        </w:rPr>
        <w:br/>
      </w:r>
      <w:r>
        <w:rPr>
          <w:rFonts w:ascii="SimHei" w:hAnsi="SimHei" w:eastAsia="黑体" w:cs="宋体"/>
          <w:color w:val="000000"/>
          <w:szCs w:val="21"/>
        </w:rPr>
        <w:t>第二种，如果确实无法取得证明的，如火车、轮船、飞机票等凭证，由当事人写出详细情况，由经办单位会计机构负责人、会计主管人员和单位领导人批准后，代作原始凭证。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bCs/>
          <w:color w:val="000000"/>
          <w:szCs w:val="21"/>
        </w:rPr>
        <w:t>5、成本费用中公司费用与股东个人消费不能混杂在一起，要划分清楚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例如，有些公司出资购买了房屋、汽车，却将权利人写成了股东，而不是付出资金的单位，而且该笔资金也没有在账面上列示股东的应收账款或其他应收款。这样做合理吗？</w:t>
      </w:r>
    </w:p>
    <w:p>
      <w:pPr>
        <w:spacing w:line="360" w:lineRule="auto"/>
        <w:ind w:firstLine="480" w:firstLineChars="200"/>
        <w:jc w:val="both"/>
        <w:rPr>
          <w:rFonts w:ascii="楷体" w:hAnsi="楷体" w:eastAsia="楷体" w:cs="宋体"/>
          <w:color w:val="000000"/>
          <w:szCs w:val="21"/>
        </w:rPr>
      </w:pPr>
      <w:r>
        <w:rPr>
          <w:rFonts w:ascii="SimHei" w:hAnsi="SimHei" w:eastAsia="黑体" w:cs="宋体"/>
          <w:color w:val="000000"/>
          <w:szCs w:val="21"/>
        </w:rPr>
        <w:t>首先，这是成本费用中公司费用与股东个人费用相混杂的事例。按照《个人所得税法》及国家税务总局的有关规定，上述事项视同为股东从公司分得了股利，必须代扣代缴个人所得税，相关费用不得计入公司成本费用，要在账面上列示股东的应收账款或其他应收款，从而给公司带来额外的税负。</w:t>
      </w:r>
    </w:p>
    <w:sectPr>
      <w:footerReference r:id="rId3" w:type="default"/>
      <w:footerReference r:id="rId4" w:type="even"/>
      <w:pgSz w:w="11906" w:h="16838"/>
      <w:pgMar w:top="850" w:right="1474" w:bottom="850" w:left="1474" w:header="624" w:footer="624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546"/>
    <w:rsid w:val="00051A13"/>
    <w:rsid w:val="001D2B94"/>
    <w:rsid w:val="003E42FE"/>
    <w:rsid w:val="007232EF"/>
    <w:rsid w:val="00777A3B"/>
    <w:rsid w:val="007B7A5F"/>
    <w:rsid w:val="0082188D"/>
    <w:rsid w:val="00907480"/>
    <w:rsid w:val="00945201"/>
    <w:rsid w:val="00A86F45"/>
    <w:rsid w:val="00AC009C"/>
    <w:rsid w:val="00AC0267"/>
    <w:rsid w:val="00B600DC"/>
    <w:rsid w:val="00C52484"/>
    <w:rsid w:val="00D61D43"/>
    <w:rsid w:val="00DB6E10"/>
    <w:rsid w:val="00ED40DE"/>
    <w:rsid w:val="00ED56DA"/>
    <w:rsid w:val="00EE0CFA"/>
    <w:rsid w:val="00F90546"/>
    <w:rsid w:val="77F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微软雅黑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Lines/>
      <w:pageBreakBefore/>
      <w:spacing w:before="3000"/>
      <w:jc w:val="center"/>
      <w:outlineLvl w:val="0"/>
    </w:pPr>
    <w:rPr>
      <w:rFonts w:eastAsia="黑体" w:cs="Berlin Sans FB"/>
      <w:shadow/>
      <w:kern w:val="44"/>
      <w:sz w:val="84"/>
      <w:szCs w:val="20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21"/>
    <w:qFormat/>
    <w:uiPriority w:val="0"/>
    <w:pPr>
      <w:keepNext/>
      <w:spacing w:before="200" w:after="200"/>
      <w:jc w:val="center"/>
      <w:outlineLvl w:val="3"/>
    </w:pPr>
    <w:rPr>
      <w:rFonts w:ascii="宋体"/>
      <w:b/>
      <w:sz w:val="18"/>
      <w:szCs w:val="20"/>
    </w:rPr>
  </w:style>
  <w:style w:type="paragraph" w:styleId="7">
    <w:name w:val="heading 5"/>
    <w:basedOn w:val="1"/>
    <w:next w:val="6"/>
    <w:link w:val="24"/>
    <w:qFormat/>
    <w:uiPriority w:val="0"/>
    <w:pPr>
      <w:keepNext/>
      <w:spacing w:before="200" w:after="200"/>
      <w:outlineLvl w:val="4"/>
    </w:pPr>
    <w:rPr>
      <w:rFonts w:ascii="宋体" w:cs="Times New Roman"/>
      <w:b/>
      <w:sz w:val="1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8">
    <w:name w:val="Body Text"/>
    <w:basedOn w:val="1"/>
    <w:link w:val="22"/>
    <w:qFormat/>
    <w:uiPriority w:val="1"/>
    <w:rPr>
      <w:sz w:val="32"/>
      <w:szCs w:val="32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2">
    <w:name w:val="Title"/>
    <w:basedOn w:val="1"/>
    <w:next w:val="1"/>
    <w:link w:val="27"/>
    <w:qFormat/>
    <w:uiPriority w:val="0"/>
    <w:pPr>
      <w:widowControl w:val="0"/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semiHidden/>
    <w:unhideWhenUsed/>
    <w:qFormat/>
    <w:uiPriority w:val="99"/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1 Char"/>
    <w:basedOn w:val="14"/>
    <w:link w:val="2"/>
    <w:uiPriority w:val="0"/>
    <w:rPr>
      <w:rFonts w:eastAsia="黑体" w:cs="Berlin Sans FB"/>
      <w:shadow/>
      <w:kern w:val="44"/>
      <w:sz w:val="84"/>
    </w:rPr>
  </w:style>
  <w:style w:type="character" w:customStyle="1" w:styleId="19">
    <w:name w:val="标题 2 Char"/>
    <w:basedOn w:val="14"/>
    <w:link w:val="3"/>
    <w:qFormat/>
    <w:uiPriority w:val="0"/>
    <w:rPr>
      <w:rFonts w:ascii="Arial" w:hAnsi="Arial" w:eastAsia="黑体" w:cs="微软雅黑"/>
      <w:b/>
      <w:bCs/>
      <w:sz w:val="32"/>
      <w:szCs w:val="32"/>
    </w:rPr>
  </w:style>
  <w:style w:type="character" w:customStyle="1" w:styleId="20">
    <w:name w:val="标题 3 Char"/>
    <w:basedOn w:val="14"/>
    <w:link w:val="4"/>
    <w:uiPriority w:val="0"/>
    <w:rPr>
      <w:rFonts w:cs="微软雅黑"/>
      <w:b/>
      <w:bCs/>
      <w:sz w:val="32"/>
      <w:szCs w:val="32"/>
    </w:rPr>
  </w:style>
  <w:style w:type="character" w:customStyle="1" w:styleId="21">
    <w:name w:val="标题 4 Char"/>
    <w:basedOn w:val="14"/>
    <w:link w:val="5"/>
    <w:uiPriority w:val="0"/>
    <w:rPr>
      <w:rFonts w:ascii="宋体" w:cs="微软雅黑"/>
      <w:b/>
      <w:sz w:val="18"/>
    </w:rPr>
  </w:style>
  <w:style w:type="character" w:customStyle="1" w:styleId="22">
    <w:name w:val="正文文本 Char"/>
    <w:basedOn w:val="14"/>
    <w:link w:val="8"/>
    <w:uiPriority w:val="1"/>
    <w:rPr>
      <w:rFonts w:ascii="微软雅黑" w:hAnsi="微软雅黑" w:eastAsia="微软雅黑" w:cs="微软雅黑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5 Char"/>
    <w:basedOn w:val="14"/>
    <w:link w:val="7"/>
    <w:qFormat/>
    <w:uiPriority w:val="0"/>
    <w:rPr>
      <w:rFonts w:ascii="宋体"/>
      <w:b/>
      <w:sz w:val="18"/>
    </w:rPr>
  </w:style>
  <w:style w:type="character" w:customStyle="1" w:styleId="25">
    <w:name w:val="页眉 Char"/>
    <w:basedOn w:val="14"/>
    <w:link w:val="10"/>
    <w:uiPriority w:val="99"/>
    <w:rPr>
      <w:rFonts w:cs="微软雅黑"/>
      <w:sz w:val="18"/>
      <w:szCs w:val="18"/>
    </w:rPr>
  </w:style>
  <w:style w:type="character" w:customStyle="1" w:styleId="26">
    <w:name w:val="页脚 Char"/>
    <w:basedOn w:val="14"/>
    <w:link w:val="9"/>
    <w:qFormat/>
    <w:uiPriority w:val="99"/>
    <w:rPr>
      <w:rFonts w:cs="微软雅黑"/>
      <w:sz w:val="18"/>
      <w:szCs w:val="18"/>
    </w:rPr>
  </w:style>
  <w:style w:type="character" w:customStyle="1" w:styleId="27">
    <w:name w:val="标题 Char"/>
    <w:basedOn w:val="14"/>
    <w:link w:val="12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2161</Characters>
  <Lines>18</Lines>
  <Paragraphs>5</Paragraphs>
  <TotalTime>0</TotalTime>
  <ScaleCrop>false</ScaleCrop>
  <LinksUpToDate>false</LinksUpToDate>
  <CharactersWithSpaces>2535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2019-04-08T10:00:00Z</dcterms:created>
  <dc:creator>Client</dc:creator>
  <cp:lastModifiedBy>Administrator</cp:lastModifiedBy>
  <dcterms:modified xsi:type="dcterms:W3CDTF">2019-10-16T08:31:30Z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