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宋体"/>
          <w:color w:val="000000"/>
          <w:sz w:val="24"/>
        </w:rPr>
      </w:pPr>
      <w:r>
        <w:rPr>
          <w:rFonts w:ascii="SimHei" w:hAnsi="SimHei" w:cs="宋体" w:eastAsia="黑体"/>
          <w:color w:val="000000"/>
          <w:sz w:val="36"/>
        </w:rPr>
        <w:t>会计账务的合理避税</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几乎所的财务人员都被逼着要做假帐，以下就把一些资深财务人员做帐的手法粗略总结如下，仅当是各位进行审计工作时一个备参吧，别说是我教你做假帐哦：</w:t>
      </w:r>
    </w:p>
    <w:p>
      <w:pPr>
        <w:pStyle w:val="Normal"/>
        <w:widowControl/>
        <w:spacing w:lineRule="auto" w:line="360"/>
        <w:ind w:firstLine="424"/>
        <w:rPr>
          <w:rFonts w:ascii="楷体" w:hAnsi="楷体" w:eastAsia="楷体" w:cs="宋体"/>
          <w:color w:val="000000"/>
          <w:kern w:val="0"/>
          <w:sz w:val="24"/>
          <w:szCs w:val="21"/>
        </w:rPr>
      </w:pPr>
      <w:r>
        <w:rPr>
          <w:rFonts w:eastAsia="黑体" w:cs="宋体" w:ascii="SimHei" w:hAnsi="SimHei"/>
          <w:b/>
          <w:bCs/>
          <w:color w:val="000000"/>
          <w:kern w:val="2"/>
          <w:sz w:val="28"/>
          <w:szCs w:val="21"/>
        </w:rPr>
        <w:t>1.</w:t>
      </w:r>
      <w:r>
        <w:rPr>
          <w:rFonts w:ascii="SimHei" w:hAnsi="SimHei" w:cs="宋体" w:eastAsia="黑体"/>
          <w:b/>
          <w:bCs/>
          <w:color w:val="000000"/>
          <w:kern w:val="2"/>
          <w:sz w:val="28"/>
          <w:szCs w:val="21"/>
        </w:rPr>
        <w:t>成本费用互化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属于成本项目的支出帐务处理变为费用以达到当期税前扣除的目的，或将属于费用项目的支出成本化以达到控制税前扣除比例及夸大当期利润的目的。原因：因为成本由直接人工，直接材料，制造费用组成，而直接人工、制造费用和销售费用、管理费用等容易混饶，所以是该操作的漏洞。另直接材料中包含的运费及人工搬运等费用也与管理费用较容易整合。</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2.</w:t>
      </w:r>
      <w:r>
        <w:rPr>
          <w:rFonts w:ascii="SimHei" w:hAnsi="SimHei" w:cs="宋体" w:eastAsia="黑体"/>
          <w:b/>
          <w:bCs/>
          <w:color w:val="000000"/>
          <w:kern w:val="2"/>
          <w:sz w:val="28"/>
          <w:szCs w:val="21"/>
        </w:rPr>
        <w:t>费用资本（产）互化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操作方法：将属于费用项目的帐务处理变为资产，从折旧中递延税前扣除。或将属于资产类科目的支出直接确认费用，当期税前扣除。</w:t>
      </w:r>
      <w:r>
        <w:rPr>
          <w:rFonts w:eastAsia="黑体" w:cs="宋体" w:ascii="SimHei" w:hAnsi="SimHei"/>
          <w:color w:val="000000"/>
          <w:kern w:val="0"/>
          <w:sz w:val="24"/>
          <w:szCs w:val="21"/>
        </w:rPr>
        <w:br/>
      </w:r>
      <w:r>
        <w:rPr>
          <w:rFonts w:ascii="SimHei" w:hAnsi="SimHei" w:cs="宋体" w:eastAsia="黑体"/>
          <w:color w:val="000000"/>
          <w:kern w:val="0"/>
          <w:sz w:val="24"/>
          <w:szCs w:val="21"/>
        </w:rPr>
        <w:t>原因：部分资产价值本身就包含费用，故可将其他费用整合进入资产价值，反之亦然。另资产修理，借款费用等本身确认边界比较容易人工虚拟。另固定资产和无形资产确认的依据较容易虚拟。</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3.</w:t>
      </w:r>
      <w:r>
        <w:rPr>
          <w:rFonts w:ascii="SimHei" w:hAnsi="SimHei" w:cs="宋体" w:eastAsia="黑体"/>
          <w:b/>
          <w:bCs/>
          <w:color w:val="000000"/>
          <w:kern w:val="2"/>
          <w:sz w:val="28"/>
          <w:szCs w:val="21"/>
        </w:rPr>
        <w:t>费用名目转化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操作方法：将部分税前扣除有比率限制的费用超额部分转变为其他限制较宽松的或没限制的费用名目入帐，以达到全额税前扣除的目的或减少相关税费等目的。原因：费用确认以发票为依据，发票容易虚拟。</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4.</w:t>
      </w:r>
      <w:r>
        <w:rPr>
          <w:rFonts w:ascii="SimHei" w:hAnsi="SimHei" w:cs="宋体" w:eastAsia="黑体"/>
          <w:b/>
          <w:bCs/>
          <w:color w:val="000000"/>
          <w:kern w:val="2"/>
          <w:sz w:val="28"/>
          <w:szCs w:val="21"/>
        </w:rPr>
        <w:t>费用预提</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递延</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选择性分摊</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操作方法：为控制当期税前利润大小，预提费用，以推迟纳税。或为其他目的（如股权转让价，当期业绩）夸大当期利润选择递延确认。</w:t>
      </w:r>
      <w:r>
        <w:rPr>
          <w:rFonts w:eastAsia="黑体" w:cs="宋体" w:ascii="SimHei" w:hAnsi="SimHei"/>
          <w:color w:val="000000"/>
          <w:kern w:val="0"/>
          <w:sz w:val="24"/>
          <w:szCs w:val="21"/>
        </w:rPr>
        <w:br/>
      </w:r>
      <w:r>
        <w:rPr>
          <w:rFonts w:ascii="SimHei" w:hAnsi="SimHei" w:cs="宋体" w:eastAsia="黑体"/>
          <w:color w:val="000000"/>
          <w:kern w:val="0"/>
          <w:sz w:val="24"/>
          <w:szCs w:val="21"/>
        </w:rPr>
        <w:t>另有选择性的将费用分摊，如在各费用支出项目上分摊比例进行调节，控制因该项目造成的税费（如调节土地增值税）。原因：同第</w:t>
      </w:r>
      <w:r>
        <w:rPr>
          <w:rFonts w:eastAsia="黑体" w:cs="宋体" w:ascii="SimHei" w:hAnsi="SimHei"/>
          <w:color w:val="000000"/>
          <w:kern w:val="0"/>
          <w:sz w:val="24"/>
          <w:szCs w:val="21"/>
        </w:rPr>
        <w:t>3</w:t>
      </w:r>
      <w:r>
        <w:rPr>
          <w:rFonts w:ascii="SimHei" w:hAnsi="SimHei" w:cs="宋体" w:eastAsia="黑体"/>
          <w:color w:val="000000"/>
          <w:kern w:val="0"/>
          <w:sz w:val="24"/>
          <w:szCs w:val="21"/>
        </w:rPr>
        <w:t>点。</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5.</w:t>
      </w:r>
      <w:r>
        <w:rPr>
          <w:rFonts w:ascii="SimHei" w:hAnsi="SimHei" w:cs="宋体" w:eastAsia="黑体"/>
          <w:b/>
          <w:bCs/>
          <w:color w:val="000000"/>
          <w:kern w:val="2"/>
          <w:sz w:val="28"/>
          <w:szCs w:val="21"/>
        </w:rPr>
        <w:t>成本名目转化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操作方法：将属于本期可结转成本的项目转变为其他不能结转成本的项目，或反行之。</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6.</w:t>
      </w:r>
      <w:r>
        <w:rPr>
          <w:rFonts w:ascii="SimHei" w:hAnsi="SimHei" w:cs="宋体" w:eastAsia="黑体"/>
          <w:b/>
          <w:bCs/>
          <w:color w:val="000000"/>
          <w:kern w:val="2"/>
          <w:sz w:val="28"/>
          <w:szCs w:val="21"/>
        </w:rPr>
        <w:t>成本提前</w:t>
      </w:r>
      <w:r>
        <w:rPr>
          <w:rFonts w:eastAsia="黑体" w:cs="宋体" w:ascii="SimHei" w:hAnsi="SimHei"/>
          <w:b/>
          <w:bCs/>
          <w:color w:val="000000"/>
          <w:kern w:val="2"/>
          <w:sz w:val="28"/>
          <w:szCs w:val="21"/>
        </w:rPr>
        <w:t>&amp;</w:t>
      </w:r>
      <w:r>
        <w:rPr>
          <w:rFonts w:ascii="SimHei" w:hAnsi="SimHei" w:cs="宋体" w:eastAsia="黑体"/>
          <w:b/>
          <w:bCs/>
          <w:color w:val="000000"/>
          <w:kern w:val="2"/>
          <w:sz w:val="28"/>
          <w:szCs w:val="21"/>
        </w:rPr>
        <w:t>推迟确认</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选择性分摊</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操作方法：将本期结转成本时多结转，或本期少结转，下期补齐，或选择成本分摊方法达到上述</w:t>
      </w:r>
      <w:r>
        <w:rPr>
          <w:rFonts w:eastAsia="黑体" w:cs="宋体" w:ascii="SimHei" w:hAnsi="SimHei"/>
          <w:color w:val="000000"/>
          <w:kern w:val="0"/>
          <w:sz w:val="24"/>
          <w:szCs w:val="21"/>
        </w:rPr>
        <w:t>2</w:t>
      </w:r>
      <w:r>
        <w:rPr>
          <w:rFonts w:ascii="SimHei" w:hAnsi="SimHei" w:cs="宋体" w:eastAsia="黑体"/>
          <w:color w:val="000000"/>
          <w:kern w:val="0"/>
          <w:sz w:val="24"/>
          <w:szCs w:val="21"/>
        </w:rPr>
        <w:t>个目的。原因：成本结转规定较模糊。</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7.</w:t>
      </w:r>
      <w:r>
        <w:rPr>
          <w:rFonts w:ascii="SimHei" w:hAnsi="SimHei" w:cs="宋体" w:eastAsia="黑体"/>
          <w:b/>
          <w:bCs/>
          <w:color w:val="000000"/>
          <w:kern w:val="2"/>
          <w:sz w:val="28"/>
          <w:szCs w:val="21"/>
        </w:rPr>
        <w:t>收入提前</w:t>
      </w:r>
      <w:r>
        <w:rPr>
          <w:rFonts w:eastAsia="黑体" w:cs="宋体" w:ascii="SimHei" w:hAnsi="SimHei"/>
          <w:b/>
          <w:bCs/>
          <w:color w:val="000000"/>
          <w:kern w:val="2"/>
          <w:sz w:val="28"/>
          <w:szCs w:val="21"/>
        </w:rPr>
        <w:t>&amp;</w:t>
      </w:r>
      <w:r>
        <w:rPr>
          <w:rFonts w:ascii="SimHei" w:hAnsi="SimHei" w:cs="宋体" w:eastAsia="黑体"/>
          <w:b/>
          <w:bCs/>
          <w:color w:val="000000"/>
          <w:kern w:val="2"/>
          <w:sz w:val="28"/>
          <w:szCs w:val="21"/>
        </w:rPr>
        <w:t>推迟确认</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选择性分摊</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操作方法：将本期结转收入多结转或少结转，下期补齐。或选择收入分摊方法达到上述</w:t>
      </w:r>
      <w:r>
        <w:rPr>
          <w:rFonts w:eastAsia="黑体" w:cs="宋体" w:ascii="SimHei" w:hAnsi="SimHei"/>
          <w:color w:val="000000"/>
          <w:kern w:val="0"/>
          <w:sz w:val="24"/>
          <w:szCs w:val="21"/>
        </w:rPr>
        <w:t>2</w:t>
      </w:r>
      <w:r>
        <w:rPr>
          <w:rFonts w:ascii="SimHei" w:hAnsi="SimHei" w:cs="宋体" w:eastAsia="黑体"/>
          <w:color w:val="000000"/>
          <w:kern w:val="0"/>
          <w:sz w:val="24"/>
          <w:szCs w:val="21"/>
        </w:rPr>
        <w:t>个目的。原因：收入确认规定较模糊。</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8.</w:t>
      </w:r>
      <w:r>
        <w:rPr>
          <w:rFonts w:ascii="SimHei" w:hAnsi="SimHei" w:cs="宋体" w:eastAsia="黑体"/>
          <w:b/>
          <w:bCs/>
          <w:color w:val="000000"/>
          <w:kern w:val="2"/>
          <w:sz w:val="28"/>
          <w:szCs w:val="21"/>
        </w:rPr>
        <w:t>收入名目转化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操作方法：将收入总额在多种收入项目间进行调节，如把主营收入变为其他业务收入或营业外收入，以达到控制流转税或突出主业业绩的目的。</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9.</w:t>
      </w:r>
      <w:r>
        <w:rPr>
          <w:rFonts w:ascii="SimHei" w:hAnsi="SimHei" w:cs="宋体" w:eastAsia="黑体"/>
          <w:b/>
          <w:bCs/>
          <w:color w:val="000000"/>
          <w:kern w:val="2"/>
          <w:sz w:val="28"/>
          <w:szCs w:val="21"/>
        </w:rPr>
        <w:t>收入负债化</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支出资产化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操作方法：将收入暂时挂帐为其他应付款，或将支出暂时挂为其他应收款，达到推迟纳税或不纳税的目的。</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10.</w:t>
      </w:r>
      <w:r>
        <w:rPr>
          <w:rFonts w:ascii="SimHei" w:hAnsi="SimHei" w:cs="宋体" w:eastAsia="黑体"/>
          <w:b/>
          <w:bCs/>
          <w:color w:val="000000"/>
          <w:kern w:val="2"/>
          <w:sz w:val="28"/>
          <w:szCs w:val="21"/>
        </w:rPr>
        <w:t>收入、成本、费用虚增</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减</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操作方法：人为虚增或虚减收入或成本或费用，或虚减收入。造成进行差错调整的依据。达到纳税期拖延或其他目的。</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11.</w:t>
      </w:r>
      <w:r>
        <w:rPr>
          <w:rFonts w:ascii="SimHei" w:hAnsi="SimHei" w:cs="宋体" w:eastAsia="黑体"/>
          <w:b/>
          <w:bCs/>
          <w:color w:val="000000"/>
          <w:kern w:val="2"/>
          <w:sz w:val="28"/>
          <w:szCs w:val="21"/>
        </w:rPr>
        <w:t>转移定价</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操作方法：与外部交易方进行人为价格处理，达到转移定价的目的，将价格降低或提高，以其他费用的方式互相弥补进行各自小金库。达到避税的目的。</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12.</w:t>
      </w:r>
      <w:r>
        <w:rPr>
          <w:rFonts w:ascii="SimHei" w:hAnsi="SimHei" w:cs="宋体" w:eastAsia="黑体"/>
          <w:b/>
          <w:bCs/>
          <w:color w:val="000000"/>
          <w:kern w:val="2"/>
          <w:sz w:val="28"/>
          <w:szCs w:val="21"/>
        </w:rPr>
        <w:t>资产、负债名目转化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操作方法：将固定资产中的资产类别名目转变，改变其折旧年限；将应收帐款挂其他应收款，或预收帐款挂其他应付款等手法避税。</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13.</w:t>
      </w:r>
      <w:r>
        <w:rPr>
          <w:rFonts w:ascii="SimHei" w:hAnsi="SimHei" w:cs="宋体" w:eastAsia="黑体"/>
          <w:b/>
          <w:bCs/>
          <w:color w:val="000000"/>
          <w:kern w:val="2"/>
          <w:sz w:val="28"/>
          <w:szCs w:val="21"/>
        </w:rPr>
        <w:t>虚假交易法</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操作方法：以不存在的交易合同入帐，造成资金流出，增加本期费用，达到减少所得税的目的。</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14.</w:t>
      </w:r>
      <w:r>
        <w:rPr>
          <w:rFonts w:ascii="SimHei" w:hAnsi="SimHei" w:cs="宋体" w:eastAsia="黑体"/>
          <w:b/>
          <w:bCs/>
          <w:color w:val="000000"/>
          <w:kern w:val="2"/>
          <w:sz w:val="28"/>
          <w:szCs w:val="21"/>
        </w:rPr>
        <w:t>费用直抵收入法</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操作方法：收入因涉及流转税，在收入确认前即彼此以费用直接抵消，达到控制流转税目的。如将商业折扣变为后续期间降低售价。</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15.</w:t>
      </w:r>
      <w:r>
        <w:rPr>
          <w:rFonts w:ascii="SimHei" w:hAnsi="SimHei" w:cs="宋体" w:eastAsia="黑体"/>
          <w:b/>
          <w:bCs/>
          <w:color w:val="000000"/>
          <w:kern w:val="2"/>
          <w:sz w:val="28"/>
          <w:szCs w:val="21"/>
        </w:rPr>
        <w:t>重组转让法</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操作方法：利用股权转让、资产转让、债务重组等进行资金或收入转移达到避税的目的。如将公司的资金转移，达到破产赖帐等目的。</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16.</w:t>
      </w:r>
      <w:r>
        <w:rPr>
          <w:rFonts w:ascii="SimHei" w:hAnsi="SimHei" w:cs="宋体" w:eastAsia="黑体"/>
          <w:b/>
          <w:bCs/>
          <w:color w:val="000000"/>
          <w:kern w:val="2"/>
          <w:sz w:val="28"/>
          <w:szCs w:val="21"/>
        </w:rPr>
        <w:t>私人费用公司化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操作方法：将私人的费用转变为公司的费用，即达到降低私人收入个税应纳税额的目的又增加企业所得税前扣除费用的目的。如：将个人车油费在公司处理，将个人房租费在公司处理。</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17.</w:t>
      </w:r>
      <w:r>
        <w:rPr>
          <w:rFonts w:ascii="SimHei" w:hAnsi="SimHei" w:cs="宋体" w:eastAsia="黑体"/>
          <w:b/>
          <w:bCs/>
          <w:color w:val="000000"/>
          <w:kern w:val="2"/>
          <w:sz w:val="28"/>
          <w:szCs w:val="21"/>
        </w:rPr>
        <w:t>收入</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成本</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费用转移法</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操作方法：分立合同，将收入或成本，或费用转移至其他公司或个人，达到差异税率处理的目的。或将各公司的费用进行填充报销，小金库补偿，达到各自平衡有限制的费用。</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18.</w:t>
      </w:r>
      <w:r>
        <w:rPr>
          <w:rFonts w:ascii="SimHei" w:hAnsi="SimHei" w:cs="宋体" w:eastAsia="黑体"/>
          <w:b/>
          <w:bCs/>
          <w:color w:val="000000"/>
          <w:kern w:val="2"/>
          <w:sz w:val="28"/>
          <w:szCs w:val="21"/>
        </w:rPr>
        <w:t>虚增</w:t>
      </w:r>
      <w:r>
        <w:rPr>
          <w:rFonts w:eastAsia="黑体" w:cs="宋体" w:ascii="SimHei" w:hAnsi="SimHei"/>
          <w:b/>
          <w:bCs/>
          <w:color w:val="000000"/>
          <w:kern w:val="2"/>
          <w:sz w:val="28"/>
          <w:szCs w:val="21"/>
        </w:rPr>
        <w:t>/</w:t>
      </w:r>
      <w:r>
        <w:rPr>
          <w:rFonts w:ascii="SimHei" w:hAnsi="SimHei" w:cs="宋体" w:eastAsia="黑体"/>
          <w:b/>
          <w:bCs/>
          <w:color w:val="000000"/>
          <w:kern w:val="2"/>
          <w:sz w:val="28"/>
          <w:szCs w:val="21"/>
        </w:rPr>
        <w:t>减流转过程</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在流转过程上下工夫，多一道流转过程，收入额多一道，各有比率限制的费用可扣除范围增大。或可虚拟出部分费用，如将资产由公司借款给个人买下，由公司租赁个人资产，无形增加租赁费用。或利用委托收付款等方式。</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19.</w:t>
      </w:r>
      <w:r>
        <w:rPr>
          <w:rFonts w:ascii="SimHei" w:hAnsi="SimHei" w:cs="宋体" w:eastAsia="黑体"/>
          <w:b/>
          <w:bCs/>
          <w:color w:val="000000"/>
          <w:kern w:val="2"/>
          <w:sz w:val="28"/>
          <w:szCs w:val="21"/>
        </w:rPr>
        <w:t>利用金融工具法</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操作方法：利用股票、期货、外汇等金融工具进行难以控制未来价格的交易。将交易时价格控制在低水平，交易后成为金融工具的投资收益，避免部分流转税。</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20.</w:t>
      </w:r>
      <w:r>
        <w:rPr>
          <w:rFonts w:ascii="SimHei" w:hAnsi="SimHei" w:cs="宋体" w:eastAsia="黑体"/>
          <w:b/>
          <w:bCs/>
          <w:color w:val="000000"/>
          <w:kern w:val="2"/>
          <w:sz w:val="28"/>
          <w:szCs w:val="21"/>
        </w:rPr>
        <w:t>集团化操作</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操作方法：某集团化操作，某集团化统一纳税公司的操作模式的目的。将集团内各公司的费用平衡分配，达到统筹纳税的目的。如集团内成立软件公司，工资扣除无</w:t>
      </w:r>
      <w:r>
        <w:rPr>
          <w:rFonts w:eastAsia="黑体" w:cs="宋体" w:ascii="SimHei" w:hAnsi="SimHei"/>
          <w:color w:val="000000"/>
          <w:kern w:val="0"/>
          <w:sz w:val="24"/>
          <w:szCs w:val="21"/>
        </w:rPr>
        <w:t>1600</w:t>
      </w:r>
      <w:r>
        <w:rPr>
          <w:rFonts w:ascii="SimHei" w:hAnsi="SimHei" w:cs="宋体" w:eastAsia="黑体"/>
          <w:color w:val="000000"/>
          <w:kern w:val="0"/>
          <w:sz w:val="24"/>
          <w:szCs w:val="21"/>
        </w:rPr>
        <w:t>的限制，将其他公司的人员编制在该公司，工资在该公司发，人在其他公司工作。等等不一而足。</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eastAsia="黑体" w:cs="宋体" w:ascii="SimHei" w:hAnsi="SimHei"/>
          <w:b/>
          <w:bCs/>
          <w:color w:val="000000"/>
          <w:kern w:val="2"/>
          <w:sz w:val="28"/>
          <w:szCs w:val="21"/>
        </w:rPr>
        <w:t>21.</w:t>
      </w:r>
      <w:r>
        <w:rPr>
          <w:rFonts w:ascii="SimHei" w:hAnsi="SimHei" w:cs="宋体" w:eastAsia="黑体"/>
          <w:b/>
          <w:bCs/>
          <w:color w:val="000000"/>
          <w:kern w:val="2"/>
          <w:sz w:val="28"/>
          <w:szCs w:val="21"/>
        </w:rPr>
        <w:t>其他</w:t>
      </w:r>
      <w:r>
        <w:rPr>
          <w:rFonts w:eastAsia="黑体" w:cs="宋体" w:ascii="SimHei" w:hAnsi="SimHei"/>
          <w:color w:val="000000"/>
          <w:kern w:val="0"/>
          <w:sz w:val="24"/>
          <w:szCs w:val="21"/>
        </w:rPr>
        <w:br/>
      </w:r>
      <w:r>
        <w:rPr>
          <w:rFonts w:eastAsia="黑体" w:cs="宋体" w:ascii="SimHei" w:hAnsi="SimHei"/>
          <w:color w:val="000000"/>
          <w:kern w:val="0"/>
          <w:sz w:val="24"/>
          <w:szCs w:val="21"/>
        </w:rPr>
        <w:t xml:space="preserve">    </w:t>
      </w:r>
      <w:r>
        <w:rPr>
          <w:rFonts w:ascii="SimHei" w:hAnsi="SimHei" w:cs="宋体" w:eastAsia="黑体"/>
          <w:color w:val="000000"/>
          <w:kern w:val="0"/>
          <w:sz w:val="24"/>
          <w:szCs w:val="21"/>
        </w:rPr>
        <w:t>如：如借款变成收到其他公司的定金处理。将利息产生的税金避掉。等等不一而足。</w:t>
      </w:r>
    </w:p>
    <w:p>
      <w:pPr>
        <w:pStyle w:val="Normal"/>
        <w:widowContro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r>
    </w:p>
    <w:sectPr>
      <w:footerReference w:type="default" r:id="rId3"/>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8">
              <wp:simplePos x="0" y="0"/>
              <wp:positionH relativeFrom="margin">
                <wp:align>center</wp:align>
              </wp:positionH>
              <wp:positionV relativeFrom="paragraph">
                <wp:posOffset>635</wp:posOffset>
              </wp:positionV>
              <wp:extent cx="59055" cy="127635"/>
              <wp:effectExtent l="0" t="0" r="0" b="0"/>
              <wp:wrapNone/>
              <wp:docPr id="2" name="Frame1"/>
              <a:graphic xmlns:a="http://schemas.openxmlformats.org/drawingml/2006/main">
                <a:graphicData uri="http://schemas.microsoft.com/office/word/2010/wordprocessingShape">
                  <wps:wsp>
                    <wps:cNvSpPr txBox="1"/>
                    <wps:spPr>
                      <a:xfrm>
                        <a:off x="0" y="0"/>
                        <a:ext cx="59055" cy="127635"/>
                      </a:xfrm>
                      <a:prstGeom prst="rect"/>
                      <a:solidFill>
                        <a:srgbClr val="FFFFFF">
                          <a:alpha val="0"/>
                        </a:srgbClr>
                      </a:solidFill>
                    </wps:spPr>
                    <wps:txbx>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6</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4.65pt;height:10.05pt;mso-wrap-distance-left:9.05pt;mso-wrap-distance-right:9.05pt;mso-wrap-distance-top:0pt;mso-wrap-distance-bottom:0pt;margin-top:0pt;mso-position-vertical-relative:text;margin-left:221.65pt;mso-position-horizontal:center;mso-position-horizontal-relative:margin">
              <v:fill opacity="0f"/>
              <v:textbox inset="0.000694444444444444in,0.000694444444444444in,0.000694444444444444in,0.000694444444444444in">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6</w:t>
                    </w:r>
                    <w:r>
                      <w:rPr>
                        <w:lang w:eastAsia="zh-CN"/>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character" w:styleId="Char">
    <w:name w:val="标题 Char"/>
    <w:basedOn w:val="Style13"/>
    <w:qFormat/>
    <w:rPr>
      <w:rFonts w:ascii="Cambria" w:hAnsi="Cambria" w:cs="Cambria"/>
      <w:b/>
      <w:bCs/>
      <w:sz w:val="32"/>
      <w:szCs w:val="32"/>
    </w:rPr>
  </w:style>
  <w:style w:type="character" w:styleId="PageNumber">
    <w:name w:val="Page Number"/>
    <w:basedOn w:val="Style13"/>
    <w:rPr/>
  </w:style>
  <w:style w:type="character" w:styleId="1Char">
    <w:name w:val="标题 1 Char"/>
    <w:basedOn w:val="Style13"/>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tabs>
        <w:tab w:val="clear" w:pos="420"/>
        <w:tab w:val="center" w:pos="4153" w:leader="none"/>
        <w:tab w:val="right" w:pos="8306" w:leader="none"/>
      </w:tabs>
      <w:snapToGrid w:val="false"/>
    </w:pPr>
    <w:rPr>
      <w:rFonts w:ascii="Times New Roman" w:hAnsi="Times New Roman" w:cs="Times New Roman"/>
      <w:sz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2019-04-08T18:00:00Z</dcterms:created>
  <dc:creator>huangzb</dc:creator>
  <dc:description/>
  <dc:language>en-US</dc:language>
  <cp:lastModifiedBy>Administrator</cp:lastModifiedBy>
  <dcterms:modified xsi:type="dcterms:W3CDTF">2019-10-16T16:29:28Z</dcterms:modified>
  <cp:revision>3</cp:revision>
  <dc:subject/>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