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end"/>
        <w:rPr>
          <w:color w:val="000000"/>
          <w:sz w:val="22"/>
          <w:u w:val="single"/>
        </w:rPr>
      </w:pPr>
      <w:r>
        <w:rPr>
          <w:rFonts w:ascii="SimHei" w:hAnsi="SimHei" w:eastAsia="黑体"/>
          <w:sz w:val="22"/>
        </w:rPr>
        <w:t>发布时间：</w:t>
      </w:r>
      <w:r>
        <w:rPr>
          <w:rFonts w:ascii="SimHei" w:hAnsi="SimHei" w:eastAsia="黑体"/>
          <w:color w:val="000000"/>
          <w:sz w:val="22"/>
          <w:u w:val="single"/>
        </w:rPr>
        <w:t>201</w:t>
      </w:r>
      <w:r>
        <w:rPr>
          <w:rFonts w:ascii="SimHei" w:hAnsi="SimHei" w:eastAsia="黑体"/>
          <w:color w:val="000000"/>
          <w:sz w:val="22"/>
          <w:u w:val="single"/>
          <w:lang w:val="en-US" w:eastAsia="zh-CN"/>
        </w:rPr>
        <w:t>6</w:t>
      </w:r>
      <w:r>
        <w:rPr>
          <w:rFonts w:ascii="SimHei" w:hAnsi="SimHei" w:eastAsia="黑体"/>
          <w:color w:val="000000"/>
          <w:sz w:val="22"/>
          <w:u w:val="single"/>
        </w:rPr>
        <w:t>年</w:t>
      </w:r>
      <w:r>
        <w:rPr>
          <w:rFonts w:ascii="SimHei" w:hAnsi="SimHei" w:eastAsia="黑体"/>
          <w:color w:val="000000"/>
          <w:sz w:val="22"/>
          <w:u w:val="single"/>
          <w:lang w:val="en-US" w:eastAsia="zh-CN"/>
        </w:rPr>
        <w:t>1</w:t>
      </w:r>
      <w:r>
        <w:rPr>
          <w:rFonts w:ascii="SimHei" w:hAnsi="SimHei" w:eastAsia="黑体"/>
          <w:color w:val="000000"/>
          <w:sz w:val="22"/>
          <w:u w:val="single"/>
        </w:rPr>
        <w:t>月</w:t>
      </w:r>
      <w:r>
        <w:rPr>
          <w:rFonts w:ascii="SimHei" w:hAnsi="SimHei" w:eastAsia="黑体"/>
          <w:color w:val="000000"/>
          <w:sz w:val="22"/>
          <w:u w:val="single"/>
        </w:rPr>
        <w:t>0</w:t>
      </w:r>
      <w:r>
        <w:rPr>
          <w:rFonts w:ascii="SimHei" w:hAnsi="SimHei" w:eastAsia="黑体"/>
          <w:color w:val="000000"/>
          <w:sz w:val="22"/>
          <w:u w:val="single"/>
          <w:lang w:val="en-US" w:eastAsia="zh-CN"/>
        </w:rPr>
        <w:t>1</w:t>
      </w:r>
      <w:r>
        <w:rPr>
          <w:rFonts w:ascii="SimHei" w:hAnsi="SimHei" w:eastAsia="黑体"/>
          <w:color w:val="000000"/>
          <w:sz w:val="22"/>
          <w:u w:val="single"/>
        </w:rPr>
        <w:t>日</w:t>
      </w:r>
    </w:p>
    <w:p>
      <w:pPr>
        <w:pStyle w:val="Normal"/>
        <w:jc w:val="end"/>
        <w:rPr>
          <w:color w:val="000000"/>
          <w:sz w:val="22"/>
          <w:u w:val="single"/>
        </w:rPr>
      </w:pPr>
      <w:r>
        <w:rPr>
          <w:rFonts w:ascii="SimHei" w:hAnsi="SimHei" w:eastAsia="黑体"/>
          <w:color w:val="000000"/>
          <w:sz w:val="22"/>
        </w:rPr>
        <w:t>开始实施时间：</w:t>
      </w:r>
      <w:r>
        <w:rPr>
          <w:rFonts w:ascii="SimHei" w:hAnsi="SimHei" w:eastAsia="黑体"/>
          <w:color w:val="000000"/>
          <w:sz w:val="22"/>
          <w:u w:val="single"/>
        </w:rPr>
        <w:t>2012</w:t>
      </w:r>
      <w:r>
        <w:rPr>
          <w:rFonts w:ascii="SimHei" w:hAnsi="SimHei" w:eastAsia="黑体"/>
          <w:color w:val="000000"/>
          <w:sz w:val="22"/>
          <w:u w:val="single"/>
          <w:lang w:val="en-US" w:eastAsia="zh-CN"/>
        </w:rPr>
        <w:t>6</w:t>
      </w:r>
      <w:r>
        <w:rPr>
          <w:rFonts w:ascii="SimHei" w:hAnsi="SimHei" w:eastAsia="黑体"/>
          <w:color w:val="000000"/>
          <w:sz w:val="22"/>
          <w:u w:val="single"/>
        </w:rPr>
        <w:t>年</w:t>
      </w:r>
      <w:r>
        <w:rPr>
          <w:rFonts w:ascii="SimHei" w:hAnsi="SimHei" w:eastAsia="黑体"/>
          <w:color w:val="000000"/>
          <w:sz w:val="22"/>
          <w:u w:val="single"/>
          <w:lang w:val="en-US" w:eastAsia="zh-CN"/>
        </w:rPr>
        <w:t>1</w:t>
      </w:r>
      <w:r>
        <w:rPr>
          <w:rFonts w:ascii="SimHei" w:hAnsi="SimHei" w:eastAsia="黑体"/>
          <w:color w:val="000000"/>
          <w:sz w:val="22"/>
          <w:u w:val="single"/>
        </w:rPr>
        <w:t>月</w:t>
      </w:r>
      <w:r>
        <w:rPr>
          <w:rFonts w:ascii="SimHei" w:hAnsi="SimHei" w:eastAsia="黑体"/>
          <w:color w:val="000000"/>
          <w:sz w:val="22"/>
          <w:u w:val="single"/>
        </w:rPr>
        <w:t>1</w:t>
      </w:r>
      <w:r>
        <w:rPr>
          <w:rFonts w:ascii="SimHei" w:hAnsi="SimHei" w:eastAsia="黑体"/>
          <w:color w:val="000000"/>
          <w:sz w:val="22"/>
          <w:u w:val="single"/>
        </w:rPr>
        <w:t>日</w:t>
      </w:r>
    </w:p>
    <w:p>
      <w:pPr>
        <w:pStyle w:val="Normal"/>
        <w:jc w:val="end"/>
        <w:rPr>
          <w:sz w:val="28"/>
        </w:rPr>
      </w:pPr>
      <w:r>
        <w:rPr>
          <w:rFonts w:ascii="SimHei" w:hAnsi="SimHei" w:eastAsia="黑体"/>
          <w:color w:val="000000"/>
          <w:sz w:val="22"/>
        </w:rPr>
        <w:t>版本号：</w:t>
      </w:r>
      <w:r>
        <w:rPr>
          <w:rFonts w:ascii="SimHei" w:hAnsi="SimHei" w:eastAsia="黑体"/>
          <w:color w:val="000000"/>
          <w:sz w:val="22"/>
          <w:u w:val="single"/>
        </w:rPr>
        <w:t>Ver.</w:t>
      </w:r>
      <w:r>
        <w:rPr>
          <w:rFonts w:ascii="SimHei" w:hAnsi="SimHei" w:eastAsia="黑体"/>
          <w:color w:val="000000"/>
          <w:sz w:val="22"/>
          <w:u w:val="single"/>
          <w:lang w:val="en-US" w:eastAsia="zh-CN"/>
        </w:rPr>
        <w:t>2.</w:t>
      </w:r>
      <w:r>
        <w:rPr>
          <w:rFonts w:ascii="SimHei" w:hAnsi="SimHei" w:eastAsia="黑体"/>
          <w:color w:val="000000"/>
          <w:sz w:val="22"/>
          <w:u w:val="single"/>
        </w:rPr>
        <w:t>0</w:t>
      </w:r>
    </w:p>
    <w:p>
      <w:pPr>
        <w:pStyle w:val="Normal"/>
        <w:jc w:val="center"/>
        <w:rPr>
          <w:b/>
          <w:b/>
          <w:sz w:val="44"/>
        </w:rPr>
      </w:pPr>
      <w:r>
        <w:rPr>
          <w:rFonts w:ascii="SimHei" w:hAnsi="SimHei" w:eastAsia="黑体"/>
          <w:b/>
          <w:sz w:val="44"/>
        </w:rPr>
      </w:r>
    </w:p>
    <w:p>
      <w:pPr>
        <w:pStyle w:val="Normal"/>
        <w:jc w:val="center"/>
        <w:rPr>
          <w:rFonts w:eastAsia="黑体"/>
          <w:b/>
          <w:b/>
          <w:sz w:val="72"/>
          <w:szCs w:val="72"/>
          <w:lang w:eastAsia="zh-CN"/>
        </w:rPr>
      </w:pPr>
      <w:r>
        <w:rPr>
          <w:rFonts w:eastAsia="黑体" w:ascii="SimHei" w:hAnsi="SimHei"/>
          <w:b/>
          <w:sz w:val="72"/>
          <w:szCs w:val="72"/>
          <w:lang w:eastAsia="zh-CN"/>
        </w:rPr>
      </w:r>
    </w:p>
    <w:p>
      <w:pPr>
        <w:pStyle w:val="Normal"/>
        <w:jc w:val="center"/>
        <w:rPr>
          <w:rFonts w:eastAsia="黑体"/>
          <w:b/>
          <w:b/>
          <w:sz w:val="30"/>
          <w:szCs w:val="72"/>
          <w:lang w:eastAsia="zh-CN"/>
        </w:rPr>
      </w:pPr>
      <w:r>
        <w:rPr>
          <w:rFonts w:eastAsia="黑体" w:ascii="SimHei" w:hAnsi="SimHei"/>
          <w:b/>
          <w:sz w:val="30"/>
          <w:szCs w:val="72"/>
          <w:lang w:eastAsia="zh-CN"/>
        </w:rPr>
      </w:r>
    </w:p>
    <w:p>
      <w:pPr>
        <w:pStyle w:val="Normal"/>
        <w:jc w:val="center"/>
        <w:rPr>
          <w:b/>
          <w:b/>
          <w:sz w:val="130"/>
          <w:szCs w:val="130"/>
        </w:rPr>
      </w:pPr>
      <w:r>
        <w:rPr>
          <w:rFonts w:ascii="SimHei" w:hAnsi="SimHei" w:eastAsia="黑体"/>
          <w:b/>
          <w:sz w:val="130"/>
          <w:szCs w:val="130"/>
        </w:rPr>
        <w:t>员</w:t>
      </w:r>
    </w:p>
    <w:p>
      <w:pPr>
        <w:pStyle w:val="Normal"/>
        <w:jc w:val="center"/>
        <w:rPr>
          <w:b/>
          <w:b/>
          <w:sz w:val="130"/>
          <w:szCs w:val="130"/>
        </w:rPr>
      </w:pPr>
      <w:r>
        <w:rPr>
          <w:rFonts w:ascii="SimHei" w:hAnsi="SimHei" w:eastAsia="黑体"/>
          <w:b/>
          <w:sz w:val="130"/>
          <w:szCs w:val="130"/>
        </w:rPr>
        <w:t>工</w:t>
      </w:r>
    </w:p>
    <w:p>
      <w:pPr>
        <w:pStyle w:val="Normal"/>
        <w:jc w:val="center"/>
        <w:rPr>
          <w:b/>
          <w:b/>
          <w:sz w:val="130"/>
          <w:szCs w:val="130"/>
        </w:rPr>
      </w:pPr>
      <w:r>
        <w:rPr>
          <w:rFonts w:ascii="SimHei" w:hAnsi="SimHei" w:eastAsia="黑体"/>
          <w:b/>
          <w:sz w:val="130"/>
          <w:szCs w:val="130"/>
        </w:rPr>
        <w:t>手</w:t>
      </w:r>
    </w:p>
    <w:p>
      <w:pPr>
        <w:pStyle w:val="Normal"/>
        <w:jc w:val="center"/>
        <w:rPr>
          <w:b/>
          <w:b/>
          <w:sz w:val="130"/>
          <w:szCs w:val="130"/>
        </w:rPr>
      </w:pPr>
      <w:r>
        <w:rPr>
          <w:rFonts w:ascii="SimHei" w:hAnsi="SimHei" w:eastAsia="黑体"/>
          <w:b/>
          <w:sz w:val="130"/>
          <w:szCs w:val="130"/>
        </w:rPr>
        <w:t>册</w:t>
      </w:r>
    </w:p>
    <w:p>
      <w:pPr>
        <w:pStyle w:val="Normal"/>
        <w:rPr>
          <w:rFonts w:eastAsia="黑体"/>
          <w:b/>
          <w:b/>
          <w:sz w:val="30"/>
          <w:szCs w:val="130"/>
        </w:rPr>
      </w:pPr>
      <w:r>
        <w:rPr>
          <w:rFonts w:eastAsia="黑体" w:ascii="SimHei" w:hAnsi="SimHei"/>
          <w:b/>
          <w:sz w:val="30"/>
          <w:szCs w:val="130"/>
        </w:rPr>
      </w:r>
    </w:p>
    <w:p>
      <w:pPr>
        <w:pStyle w:val="Normal"/>
        <w:rPr>
          <w:rFonts w:ascii="幼圆;宋体" w:hAnsi="幼圆;宋体" w:eastAsia="幼圆;宋体"/>
          <w:b/>
          <w:b/>
          <w:sz w:val="24"/>
        </w:rPr>
      </w:pPr>
      <w:r>
        <w:rPr>
          <w:rFonts w:ascii="SimHei" w:hAnsi="SimHei" w:eastAsia="黑体"/>
          <w:b/>
          <w:sz w:val="24"/>
        </w:rPr>
        <w:t>变更履历：</w:t>
      </w:r>
    </w:p>
    <w:tbl>
      <w:tblPr>
        <w:tblW w:w="8929" w:type="dxa"/>
        <w:jc w:val="center"/>
        <w:tblInd w:w="0" w:type="dxa"/>
        <w:tblLayout w:type="fixed"/>
        <w:tblCellMar>
          <w:top w:w="0" w:type="dxa"/>
          <w:start w:w="108" w:type="dxa"/>
          <w:bottom w:w="0" w:type="dxa"/>
          <w:end w:w="108" w:type="dxa"/>
        </w:tblCellMar>
      </w:tblPr>
      <w:tblGrid>
        <w:gridCol w:w="1008"/>
        <w:gridCol w:w="1440"/>
        <w:gridCol w:w="4501"/>
        <w:gridCol w:w="990"/>
        <w:gridCol w:w="990"/>
      </w:tblGrid>
      <w:tr>
        <w:trPr>
          <w:trHeight w:val="415" w:hRule="atLeast"/>
        </w:trPr>
        <w:tc>
          <w:tcPr>
            <w:tcW w:w="1008" w:type="dxa"/>
            <w:tcBorders>
              <w:top w:val="double" w:sz="4" w:space="0" w:color="000000"/>
              <w:start w:val="double" w:sz="4" w:space="0" w:color="000000"/>
              <w:bottom w:val="single" w:sz="4" w:space="0" w:color="000000"/>
              <w:end w:val="single" w:sz="4" w:space="0" w:color="000000"/>
            </w:tcBorders>
            <w:shd w:fill="D9D9D9" w:val="clear"/>
            <w:vAlign w:val="center"/>
          </w:tcPr>
          <w:p>
            <w:pPr>
              <w:pStyle w:val="Normal"/>
              <w:spacing w:lineRule="exact" w:line="240"/>
              <w:jc w:val="center"/>
              <w:rPr>
                <w:sz w:val="18"/>
              </w:rPr>
            </w:pPr>
            <w:r>
              <w:rPr>
                <w:rFonts w:ascii="SimHei" w:hAnsi="SimHei" w:eastAsia="黑体"/>
                <w:sz w:val="18"/>
              </w:rPr>
              <w:t>版本号</w:t>
            </w:r>
          </w:p>
        </w:tc>
        <w:tc>
          <w:tcPr>
            <w:tcW w:w="1440" w:type="dxa"/>
            <w:tcBorders>
              <w:top w:val="double" w:sz="4" w:space="0" w:color="000000"/>
              <w:start w:val="single" w:sz="4" w:space="0" w:color="000000"/>
              <w:bottom w:val="single" w:sz="4" w:space="0" w:color="000000"/>
              <w:end w:val="single" w:sz="4" w:space="0" w:color="000000"/>
            </w:tcBorders>
            <w:shd w:fill="D9D9D9" w:val="clear"/>
            <w:vAlign w:val="center"/>
          </w:tcPr>
          <w:p>
            <w:pPr>
              <w:pStyle w:val="Normal"/>
              <w:spacing w:lineRule="exact" w:line="240"/>
              <w:jc w:val="center"/>
              <w:rPr>
                <w:sz w:val="18"/>
              </w:rPr>
            </w:pPr>
            <w:r>
              <w:rPr>
                <w:rFonts w:ascii="SimHei" w:hAnsi="SimHei" w:eastAsia="黑体"/>
                <w:sz w:val="18"/>
              </w:rPr>
              <w:t>变更时间</w:t>
            </w:r>
          </w:p>
        </w:tc>
        <w:tc>
          <w:tcPr>
            <w:tcW w:w="4501" w:type="dxa"/>
            <w:tcBorders>
              <w:top w:val="double" w:sz="4" w:space="0" w:color="000000"/>
              <w:start w:val="single" w:sz="4" w:space="0" w:color="000000"/>
              <w:bottom w:val="single" w:sz="4" w:space="0" w:color="000000"/>
              <w:end w:val="single" w:sz="4" w:space="0" w:color="000000"/>
            </w:tcBorders>
            <w:shd w:fill="D9D9D9" w:val="clear"/>
            <w:vAlign w:val="center"/>
          </w:tcPr>
          <w:p>
            <w:pPr>
              <w:pStyle w:val="Normal"/>
              <w:spacing w:lineRule="exact" w:line="240"/>
              <w:jc w:val="center"/>
              <w:rPr>
                <w:sz w:val="18"/>
              </w:rPr>
            </w:pPr>
            <w:r>
              <w:rPr>
                <w:rFonts w:ascii="SimHei" w:hAnsi="SimHei" w:eastAsia="黑体"/>
                <w:sz w:val="18"/>
              </w:rPr>
              <w:t>变更内容</w:t>
            </w:r>
          </w:p>
        </w:tc>
        <w:tc>
          <w:tcPr>
            <w:tcW w:w="990" w:type="dxa"/>
            <w:tcBorders>
              <w:top w:val="double" w:sz="4" w:space="0" w:color="000000"/>
              <w:start w:val="single" w:sz="4" w:space="0" w:color="000000"/>
              <w:bottom w:val="single" w:sz="4" w:space="0" w:color="000000"/>
              <w:end w:val="single" w:sz="4" w:space="0" w:color="000000"/>
            </w:tcBorders>
            <w:shd w:fill="D9D9D9" w:val="clear"/>
            <w:vAlign w:val="center"/>
          </w:tcPr>
          <w:p>
            <w:pPr>
              <w:pStyle w:val="Normal"/>
              <w:spacing w:lineRule="exact" w:line="240"/>
              <w:jc w:val="center"/>
              <w:rPr>
                <w:sz w:val="18"/>
              </w:rPr>
            </w:pPr>
            <w:r>
              <w:rPr>
                <w:rFonts w:ascii="SimHei" w:hAnsi="SimHei" w:eastAsia="黑体"/>
                <w:sz w:val="18"/>
              </w:rPr>
              <w:t>草拟</w:t>
            </w:r>
          </w:p>
        </w:tc>
        <w:tc>
          <w:tcPr>
            <w:tcW w:w="990" w:type="dxa"/>
            <w:tcBorders>
              <w:top w:val="double" w:sz="4" w:space="0" w:color="000000"/>
              <w:start w:val="single" w:sz="4" w:space="0" w:color="000000"/>
              <w:bottom w:val="single" w:sz="4" w:space="0" w:color="000000"/>
              <w:end w:val="double" w:sz="4" w:space="0" w:color="000000"/>
            </w:tcBorders>
            <w:shd w:fill="D9D9D9" w:val="clear"/>
            <w:vAlign w:val="center"/>
          </w:tcPr>
          <w:p>
            <w:pPr>
              <w:pStyle w:val="Normal"/>
              <w:spacing w:lineRule="exact" w:line="240"/>
              <w:jc w:val="center"/>
              <w:rPr>
                <w:sz w:val="18"/>
              </w:rPr>
            </w:pPr>
            <w:r>
              <w:rPr>
                <w:rFonts w:ascii="SimHei" w:hAnsi="SimHei" w:eastAsia="黑体"/>
                <w:sz w:val="18"/>
              </w:rPr>
              <w:t>核准</w:t>
            </w:r>
          </w:p>
        </w:tc>
      </w:tr>
      <w:tr>
        <w:trPr/>
        <w:tc>
          <w:tcPr>
            <w:tcW w:w="1008" w:type="dxa"/>
            <w:tcBorders>
              <w:top w:val="single" w:sz="4" w:space="0" w:color="000000"/>
              <w:start w:val="double" w:sz="4" w:space="0" w:color="000000"/>
              <w:bottom w:val="double" w:sz="4" w:space="0" w:color="000000"/>
              <w:end w:val="single" w:sz="4" w:space="0" w:color="000000"/>
            </w:tcBorders>
          </w:tcPr>
          <w:p>
            <w:pPr>
              <w:pStyle w:val="Normal"/>
              <w:spacing w:lineRule="exact" w:line="240"/>
              <w:jc w:val="center"/>
              <w:rPr>
                <w:sz w:val="18"/>
              </w:rPr>
            </w:pPr>
            <w:r>
              <w:rPr>
                <w:rFonts w:ascii="SimHei" w:hAnsi="SimHei" w:eastAsia="黑体"/>
                <w:sz w:val="18"/>
              </w:rPr>
              <w:t>Ver</w:t>
            </w:r>
            <w:r>
              <w:rPr>
                <w:rFonts w:ascii="SimHei" w:hAnsi="SimHei" w:eastAsia="黑体"/>
                <w:sz w:val="18"/>
                <w:lang w:val="en-US" w:eastAsia="zh-CN"/>
              </w:rPr>
              <w:t>2</w:t>
            </w:r>
            <w:r>
              <w:rPr>
                <w:rFonts w:ascii="SimHei" w:hAnsi="SimHei" w:eastAsia="黑体"/>
                <w:sz w:val="18"/>
              </w:rPr>
              <w:t>.0</w:t>
            </w:r>
          </w:p>
        </w:tc>
        <w:tc>
          <w:tcPr>
            <w:tcW w:w="1440" w:type="dxa"/>
            <w:tcBorders>
              <w:top w:val="single" w:sz="4" w:space="0" w:color="000000"/>
              <w:start w:val="single" w:sz="4" w:space="0" w:color="000000"/>
              <w:bottom w:val="double" w:sz="4" w:space="0" w:color="000000"/>
              <w:end w:val="single" w:sz="4" w:space="0" w:color="000000"/>
            </w:tcBorders>
          </w:tcPr>
          <w:p>
            <w:pPr>
              <w:pStyle w:val="Normal"/>
              <w:spacing w:lineRule="exact" w:line="240"/>
              <w:jc w:val="center"/>
              <w:rPr>
                <w:sz w:val="18"/>
              </w:rPr>
            </w:pPr>
            <w:r>
              <w:rPr>
                <w:rFonts w:ascii="SimHei" w:hAnsi="SimHei" w:eastAsia="黑体"/>
                <w:sz w:val="18"/>
              </w:rPr>
              <w:t>201</w:t>
            </w:r>
            <w:r>
              <w:rPr>
                <w:rFonts w:ascii="SimHei" w:hAnsi="SimHei" w:eastAsia="黑体"/>
                <w:sz w:val="18"/>
                <w:lang w:val="en-US" w:eastAsia="zh-CN"/>
              </w:rPr>
              <w:t>6</w:t>
            </w:r>
            <w:r>
              <w:rPr>
                <w:rFonts w:ascii="SimHei" w:hAnsi="SimHei" w:eastAsia="黑体"/>
                <w:sz w:val="18"/>
              </w:rPr>
              <w:t>-</w:t>
            </w:r>
            <w:r>
              <w:rPr>
                <w:rFonts w:ascii="SimHei" w:hAnsi="SimHei" w:eastAsia="黑体"/>
                <w:sz w:val="18"/>
                <w:lang w:val="en-US" w:eastAsia="zh-CN"/>
              </w:rPr>
              <w:t>1</w:t>
            </w:r>
            <w:r>
              <w:rPr>
                <w:rFonts w:ascii="SimHei" w:hAnsi="SimHei" w:eastAsia="黑体"/>
                <w:sz w:val="18"/>
              </w:rPr>
              <w:t>-0</w:t>
            </w:r>
            <w:r>
              <w:rPr>
                <w:rFonts w:ascii="SimHei" w:hAnsi="SimHei" w:eastAsia="黑体"/>
                <w:sz w:val="18"/>
                <w:lang w:val="en-US" w:eastAsia="zh-CN"/>
              </w:rPr>
              <w:t>1</w:t>
            </w:r>
          </w:p>
        </w:tc>
        <w:tc>
          <w:tcPr>
            <w:tcW w:w="4501" w:type="dxa"/>
            <w:tcBorders>
              <w:top w:val="single" w:sz="4" w:space="0" w:color="000000"/>
              <w:start w:val="single" w:sz="4" w:space="0" w:color="000000"/>
              <w:bottom w:val="double" w:sz="4" w:space="0" w:color="000000"/>
              <w:end w:val="single" w:sz="4" w:space="0" w:color="000000"/>
            </w:tcBorders>
          </w:tcPr>
          <w:p>
            <w:pPr>
              <w:pStyle w:val="Normal"/>
              <w:spacing w:lineRule="exact" w:line="240"/>
              <w:rPr>
                <w:sz w:val="18"/>
              </w:rPr>
            </w:pPr>
            <w:r>
              <w:rPr>
                <w:rFonts w:ascii="SimHei" w:hAnsi="SimHei" w:eastAsia="黑体"/>
                <w:sz w:val="18"/>
              </w:rPr>
              <w:t>新发行</w:t>
            </w:r>
          </w:p>
        </w:tc>
        <w:tc>
          <w:tcPr>
            <w:tcW w:w="990" w:type="dxa"/>
            <w:tcBorders>
              <w:top w:val="single" w:sz="4" w:space="0" w:color="000000"/>
              <w:start w:val="single" w:sz="4" w:space="0" w:color="000000"/>
              <w:bottom w:val="double" w:sz="4" w:space="0" w:color="000000"/>
              <w:end w:val="single" w:sz="4" w:space="0" w:color="000000"/>
            </w:tcBorders>
          </w:tcPr>
          <w:p>
            <w:pPr>
              <w:pStyle w:val="Normal"/>
              <w:snapToGrid w:val="false"/>
              <w:spacing w:lineRule="exact" w:line="240"/>
              <w:jc w:val="center"/>
              <w:rPr>
                <w:sz w:val="18"/>
              </w:rPr>
            </w:pPr>
            <w:r>
              <w:rPr>
                <w:rFonts w:ascii="SimHei" w:hAnsi="SimHei" w:eastAsia="黑体"/>
                <w:sz w:val="18"/>
              </w:rPr>
            </w:r>
          </w:p>
        </w:tc>
        <w:tc>
          <w:tcPr>
            <w:tcW w:w="990" w:type="dxa"/>
            <w:tcBorders>
              <w:top w:val="single" w:sz="4" w:space="0" w:color="000000"/>
              <w:start w:val="single" w:sz="4" w:space="0" w:color="000000"/>
              <w:bottom w:val="double" w:sz="4" w:space="0" w:color="000000"/>
              <w:end w:val="double" w:sz="4" w:space="0" w:color="000000"/>
            </w:tcBorders>
          </w:tcPr>
          <w:p>
            <w:pPr>
              <w:pStyle w:val="Normal"/>
              <w:snapToGrid w:val="false"/>
              <w:spacing w:lineRule="exact" w:line="240"/>
              <w:rPr>
                <w:sz w:val="18"/>
              </w:rPr>
            </w:pPr>
            <w:r>
              <w:rPr>
                <w:rFonts w:ascii="SimHei" w:hAnsi="SimHei" w:eastAsia="黑体"/>
                <w:sz w:val="18"/>
              </w:rPr>
            </w:r>
          </w:p>
        </w:tc>
      </w:tr>
    </w:tbl>
    <w:p>
      <w:pPr>
        <w:pStyle w:val="Normal"/>
        <w:numPr>
          <w:ilvl w:val="0"/>
          <w:numId w:val="0"/>
        </w:numPr>
        <w:spacing w:lineRule="auto" w:line="360"/>
        <w:outlineLvl w:val="0"/>
        <w:rPr>
          <w:rFonts w:ascii="黑体" w:hAnsi="黑体" w:eastAsia="黑体"/>
          <w:color w:val="0000FF"/>
          <w:sz w:val="44"/>
          <w:szCs w:val="44"/>
        </w:rPr>
      </w:pPr>
      <w:r>
        <w:rPr>
          <w:rFonts w:eastAsia="黑体" w:ascii="SimHei" w:hAnsi="SimHei"/>
          <w:color w:val="0000FF"/>
          <w:sz w:val="44"/>
          <w:szCs w:val="44"/>
        </w:rPr>
      </w:r>
    </w:p>
    <w:p>
      <w:pPr>
        <w:pStyle w:val="Normal"/>
        <w:numPr>
          <w:ilvl w:val="0"/>
          <w:numId w:val="0"/>
        </w:numPr>
        <w:spacing w:lineRule="auto" w:line="360"/>
        <w:outlineLvl w:val="0"/>
        <w:rPr>
          <w:rFonts w:ascii="黑体" w:hAnsi="黑体" w:eastAsia="黑体"/>
          <w:color w:val="0000FF"/>
          <w:sz w:val="44"/>
          <w:szCs w:val="44"/>
        </w:rPr>
      </w:pPr>
      <w:r>
        <w:rPr>
          <w:rFonts w:eastAsia="黑体" w:ascii="SimHei" w:hAnsi="SimHei"/>
          <w:color w:val="0000FF"/>
          <w:sz w:val="44"/>
          <w:szCs w:val="44"/>
        </w:rPr>
      </w:r>
    </w:p>
    <w:p>
      <w:pPr>
        <w:pStyle w:val="Normal"/>
        <w:numPr>
          <w:ilvl w:val="0"/>
          <w:numId w:val="0"/>
        </w:numPr>
        <w:spacing w:lineRule="auto" w:line="360"/>
        <w:outlineLvl w:val="0"/>
        <w:rPr>
          <w:rFonts w:ascii="黑体" w:hAnsi="黑体" w:eastAsia="黑体"/>
          <w:color w:val="0000FF"/>
          <w:sz w:val="44"/>
          <w:szCs w:val="44"/>
        </w:rPr>
      </w:pPr>
      <w:r>
        <w:rPr>
          <w:rFonts w:eastAsia="黑体" w:ascii="SimHei" w:hAnsi="SimHei"/>
          <w:color w:val="0000FF"/>
          <w:sz w:val="44"/>
          <w:szCs w:val="44"/>
        </w:rPr>
      </w:r>
    </w:p>
    <w:p>
      <w:pPr>
        <w:pStyle w:val="Normal"/>
        <w:numPr>
          <w:ilvl w:val="0"/>
          <w:numId w:val="0"/>
        </w:numPr>
        <w:spacing w:lineRule="auto" w:line="360" w:before="0" w:after="312"/>
        <w:jc w:val="center"/>
        <w:outlineLvl w:val="0"/>
        <w:rPr>
          <w:rFonts w:ascii="黑体" w:hAnsi="黑体" w:eastAsia="黑体"/>
          <w:sz w:val="44"/>
          <w:szCs w:val="44"/>
        </w:rPr>
      </w:pPr>
      <w:bookmarkStart w:id="0" w:name="__RefHeading___Toc216678988"/>
      <w:bookmarkEnd w:id="0"/>
      <w:r>
        <w:rPr>
          <w:rFonts w:ascii="SimHei" w:hAnsi="SimHei" w:eastAsia="黑体"/>
          <w:sz w:val="44"/>
          <w:szCs w:val="44"/>
        </w:rPr>
        <w:t>欢 迎 信</w:t>
      </w:r>
    </w:p>
    <w:p>
      <w:pPr>
        <w:pStyle w:val="Normal"/>
        <w:spacing w:lineRule="auto" w:line="360"/>
        <w:ind w:firstLine="560"/>
        <w:rPr>
          <w:rFonts w:ascii="楷体_GB2312" w:hAnsi="楷体_GB2312" w:eastAsia="楷体_GB2312"/>
          <w:sz w:val="28"/>
          <w:szCs w:val="21"/>
        </w:rPr>
      </w:pPr>
      <w:r>
        <w:rPr>
          <w:rFonts w:ascii="SimHei" w:hAnsi="SimHei" w:eastAsia="黑体"/>
          <w:sz w:val="28"/>
          <w:szCs w:val="21"/>
        </w:rPr>
        <w:t>欢迎您加入 ，希望您能在这里工作愉快，同时也希望这里能成为实现您梦想的舞台。</w:t>
      </w:r>
    </w:p>
    <w:p>
      <w:pPr>
        <w:pStyle w:val="Normal"/>
        <w:spacing w:lineRule="auto" w:line="360"/>
        <w:ind w:firstLine="560"/>
        <w:rPr>
          <w:rFonts w:ascii="楷体_GB2312" w:hAnsi="楷体_GB2312" w:eastAsia="楷体_GB2312"/>
          <w:sz w:val="28"/>
          <w:szCs w:val="21"/>
        </w:rPr>
      </w:pPr>
      <w:r>
        <w:rPr>
          <w:rFonts w:ascii="SimHei" w:hAnsi="SimHei" w:eastAsia="黑体"/>
          <w:sz w:val="28"/>
          <w:szCs w:val="21"/>
        </w:rPr>
        <w:t>这是一本关于您如何快速融入公司的指导手册，也是我们每个员工日常工作的行为准则，请您仔细阅读。</w:t>
      </w:r>
    </w:p>
    <w:p>
      <w:pPr>
        <w:pStyle w:val="Normal"/>
        <w:spacing w:lineRule="auto" w:line="360"/>
        <w:ind w:firstLine="560"/>
        <w:rPr>
          <w:rFonts w:ascii="楷体_GB2312" w:hAnsi="楷体_GB2312" w:eastAsia="楷体_GB2312"/>
          <w:sz w:val="28"/>
          <w:szCs w:val="21"/>
        </w:rPr>
      </w:pPr>
      <w:r>
        <w:rPr>
          <w:rFonts w:ascii="SimHei" w:hAnsi="SimHei" w:eastAsia="黑体"/>
          <w:sz w:val="28"/>
          <w:szCs w:val="21"/>
        </w:rPr>
        <w:t>各项规章制度的制定和执行是支撑公司进行正常运营的命脉，合理的规章制度有助于提高员工的工作效率，发挥潜能，而人性化的规章制度，不仅能保护公司和广大员工的利益，更能使员工感受到公司这个大家庭的温暖和关怀；我们希望您能在这个大家庭里，与其他同事一起，为实现个人和公司的目标而努力工作。</w:t>
      </w:r>
    </w:p>
    <w:p>
      <w:pPr>
        <w:pStyle w:val="Normal"/>
        <w:spacing w:lineRule="auto" w:line="360"/>
        <w:ind w:firstLine="560"/>
        <w:rPr>
          <w:rFonts w:ascii="楷体_GB2312" w:hAnsi="楷体_GB2312" w:eastAsia="楷体_GB2312"/>
          <w:sz w:val="28"/>
          <w:szCs w:val="21"/>
        </w:rPr>
      </w:pPr>
      <w:r>
        <w:rPr>
          <w:rFonts w:ascii="SimHei" w:hAnsi="SimHei" w:eastAsia="黑体"/>
          <w:sz w:val="28"/>
          <w:szCs w:val="21"/>
        </w:rPr>
        <w:t>您的上司是您工作上的主要辅导人，将全面负责您的培训、工作安排及业绩考核。当您在工作上有疑问或遇到困难时，请首先与您的上司沟通。当无法得到满意的答案时，您也可以向公司人事负责人进行反馈和咨询。</w:t>
      </w:r>
    </w:p>
    <w:p>
      <w:pPr>
        <w:pStyle w:val="Normal"/>
        <w:spacing w:lineRule="auto" w:line="360"/>
        <w:ind w:firstLine="560"/>
        <w:rPr>
          <w:color w:val="0000FF"/>
          <w:szCs w:val="21"/>
        </w:rPr>
      </w:pPr>
      <w:r>
        <w:rPr>
          <w:rFonts w:ascii="SimHei" w:hAnsi="SimHei" w:eastAsia="黑体"/>
          <w:sz w:val="28"/>
          <w:szCs w:val="21"/>
        </w:rPr>
        <w:t>我们相信：只要您完全领会了这本手册的内容并在实际工作中按其要求去行事，您将得到的不仅是上司的赏识、同事的尊重，而更多的是愉快的心情和实现个人价值后的愉悦。</w:t>
      </w:r>
    </w:p>
    <w:p>
      <w:pPr>
        <w:pStyle w:val="Normal"/>
        <w:spacing w:lineRule="auto" w:line="360"/>
        <w:rPr>
          <w:color w:val="0000FF"/>
          <w:szCs w:val="21"/>
        </w:rPr>
      </w:pPr>
      <w:r>
        <w:rPr>
          <w:rFonts w:ascii="SimHei" w:hAnsi="SimHei" w:eastAsia="黑体"/>
          <w:color w:val="0000FF"/>
          <w:szCs w:val="21"/>
        </w:rPr>
      </w:r>
    </w:p>
    <w:p>
      <w:pPr>
        <w:pStyle w:val="Normal"/>
        <w:spacing w:lineRule="auto" w:line="360"/>
        <w:rPr>
          <w:color w:val="0000FF"/>
          <w:szCs w:val="21"/>
        </w:rPr>
      </w:pPr>
      <w:r>
        <w:rPr>
          <w:rFonts w:ascii="SimHei" w:hAnsi="SimHei" w:eastAsia="黑体"/>
          <w:color w:val="0000FF"/>
          <w:szCs w:val="21"/>
        </w:rPr>
      </w:r>
    </w:p>
    <w:p>
      <w:pPr>
        <w:pStyle w:val="Normal"/>
        <w:spacing w:lineRule="auto" w:line="360"/>
        <w:rPr>
          <w:color w:val="0000FF"/>
          <w:szCs w:val="21"/>
        </w:rPr>
      </w:pPr>
      <w:r>
        <w:rPr>
          <w:rFonts w:ascii="SimHei" w:hAnsi="SimHei" w:eastAsia="黑体"/>
          <w:color w:val="0000FF"/>
          <w:szCs w:val="21"/>
        </w:rPr>
      </w:r>
    </w:p>
    <w:p>
      <w:pPr>
        <w:pStyle w:val="Normal"/>
        <w:spacing w:lineRule="auto" w:line="360"/>
        <w:rPr>
          <w:color w:val="0000FF"/>
          <w:szCs w:val="21"/>
        </w:rPr>
      </w:pPr>
      <w:r>
        <w:rPr>
          <w:rFonts w:ascii="SimHei" w:hAnsi="SimHei" w:eastAsia="黑体"/>
          <w:color w:val="0000FF"/>
          <w:szCs w:val="21"/>
        </w:rPr>
      </w:r>
    </w:p>
    <w:p>
      <w:pPr>
        <w:pStyle w:val="Normal"/>
        <w:spacing w:lineRule="auto" w:line="360"/>
        <w:jc w:val="end"/>
        <w:rPr>
          <w:rFonts w:ascii="楷体_GB2312" w:hAnsi="楷体_GB2312" w:eastAsia="楷体_GB2312"/>
          <w:sz w:val="36"/>
          <w:szCs w:val="21"/>
        </w:rPr>
      </w:pPr>
      <w:r>
        <w:rPr>
          <w:rFonts w:eastAsia="黑体" w:cs="楷体_GB2312" w:ascii="SimHei" w:hAnsi="SimHei"/>
          <w:sz w:val="36"/>
          <w:szCs w:val="21"/>
        </w:rPr>
        <w:t xml:space="preserve"> </w:t>
      </w:r>
    </w:p>
    <w:p>
      <w:pPr>
        <w:pStyle w:val="Normal"/>
        <w:spacing w:lineRule="auto" w:line="360"/>
        <w:ind w:end="240" w:hanging="0"/>
        <w:jc w:val="end"/>
        <w:rPr>
          <w:rFonts w:ascii="楷体_GB2312" w:hAnsi="楷体_GB2312" w:eastAsia="楷体_GB2312"/>
          <w:sz w:val="28"/>
          <w:szCs w:val="21"/>
        </w:rPr>
      </w:pPr>
      <w:r>
        <w:rPr>
          <w:rFonts w:ascii="SimHei" w:hAnsi="SimHei" w:eastAsia="黑体"/>
          <w:sz w:val="28"/>
          <w:szCs w:val="21"/>
        </w:rPr>
        <w:t>二零壹</w:t>
      </w:r>
      <w:r>
        <w:rPr>
          <w:rFonts w:ascii="SimHei" w:hAnsi="SimHei" w:eastAsia="黑体"/>
          <w:sz w:val="28"/>
          <w:szCs w:val="21"/>
          <w:lang w:eastAsia="zh-CN"/>
        </w:rPr>
        <w:t>陆</w:t>
      </w:r>
      <w:r>
        <w:rPr>
          <w:rFonts w:ascii="SimHei" w:hAnsi="SimHei" w:eastAsia="黑体"/>
          <w:sz w:val="28"/>
          <w:szCs w:val="21"/>
        </w:rPr>
        <w:t>年</w:t>
      </w:r>
      <w:r>
        <w:rPr>
          <w:rFonts w:ascii="SimHei" w:hAnsi="SimHei" w:eastAsia="黑体"/>
          <w:sz w:val="28"/>
          <w:szCs w:val="21"/>
          <w:lang w:eastAsia="zh-CN"/>
        </w:rPr>
        <w:t>壹</w:t>
      </w:r>
      <w:r>
        <w:rPr>
          <w:rFonts w:ascii="SimHei" w:hAnsi="SimHei" w:eastAsia="黑体"/>
          <w:sz w:val="28"/>
          <w:szCs w:val="21"/>
        </w:rPr>
        <w:t>月</w:t>
      </w:r>
      <w:r>
        <w:rPr>
          <w:rFonts w:ascii="SimHei" w:hAnsi="SimHei" w:eastAsia="黑体"/>
          <w:sz w:val="28"/>
          <w:szCs w:val="21"/>
          <w:lang w:eastAsia="zh-CN"/>
        </w:rPr>
        <w:t>壹</w:t>
      </w:r>
      <w:r>
        <w:rPr>
          <w:rFonts w:ascii="SimHei" w:hAnsi="SimHei" w:eastAsia="黑体"/>
          <w:sz w:val="28"/>
          <w:szCs w:val="21"/>
        </w:rPr>
        <w:t>日</w:t>
      </w:r>
    </w:p>
    <w:p>
      <w:pPr>
        <w:pStyle w:val="Normal"/>
        <w:numPr>
          <w:ilvl w:val="0"/>
          <w:numId w:val="0"/>
        </w:numPr>
        <w:spacing w:lineRule="auto" w:line="360" w:before="312" w:after="0"/>
        <w:outlineLvl w:val="0"/>
        <w:rPr>
          <w:rFonts w:ascii="黑体" w:hAnsi="黑体" w:eastAsia="黑体"/>
          <w:sz w:val="13"/>
          <w:szCs w:val="13"/>
        </w:rPr>
      </w:pPr>
      <w:r>
        <w:rPr>
          <w:rFonts w:eastAsia="黑体" w:ascii="SimHei" w:hAnsi="SimHei"/>
          <w:sz w:val="13"/>
          <w:szCs w:val="13"/>
        </w:rPr>
      </w:r>
      <w:bookmarkStart w:id="1" w:name="__RefHeading___Toc216678989"/>
      <w:bookmarkStart w:id="2" w:name="__RefHeading___Toc216678989"/>
    </w:p>
    <w:p>
      <w:pPr>
        <w:pStyle w:val="Normal"/>
        <w:numPr>
          <w:ilvl w:val="0"/>
          <w:numId w:val="0"/>
        </w:numPr>
        <w:spacing w:lineRule="auto" w:line="360"/>
        <w:jc w:val="center"/>
        <w:outlineLvl w:val="0"/>
        <w:rPr>
          <w:rFonts w:ascii="黑体" w:hAnsi="黑体" w:eastAsia="黑体"/>
          <w:sz w:val="40"/>
          <w:szCs w:val="32"/>
        </w:rPr>
      </w:pPr>
      <w:bookmarkStart w:id="3" w:name="__RefHeading___Toc216678989"/>
      <w:r>
        <w:rPr>
          <w:rFonts w:ascii="SimHei" w:hAnsi="SimHei" w:eastAsia="黑体"/>
          <w:sz w:val="40"/>
          <w:szCs w:val="32"/>
        </w:rPr>
        <w:t>目  录</w:t>
      </w:r>
      <w:bookmarkEnd w:id="3"/>
    </w:p>
    <w:sdt>
      <w:sdtPr>
        <w:docPartObj>
          <w:docPartGallery w:val="Table of Contents"/>
          <w:docPartUnique w:val="true"/>
        </w:docPartObj>
      </w:sdtPr>
      <w:sdtContent>
        <w:p>
          <w:pPr>
            <w:pStyle w:val="Contents1"/>
            <w:rPr>
              <w:rFonts w:eastAsia="宋体"/>
              <w:sz w:val="21"/>
            </w:rPr>
          </w:pPr>
          <w:r>
            <w:fldChar w:fldCharType="begin"/>
          </w:r>
          <w:r>
            <w:rPr>
              <w:rStyle w:val="IndexLink"/>
              <w:rFonts w:ascii="黑体" w:hAnsi="黑体"/>
            </w:rPr>
            <w:instrText> TOC \o "1-3" \h \z \u </w:instrText>
          </w:r>
          <w:r>
            <w:rPr>
              <w:rStyle w:val="IndexLink"/>
              <w:rFonts w:ascii="黑体" w:hAnsi="黑体"/>
            </w:rPr>
            <w:fldChar w:fldCharType="separate"/>
          </w:r>
          <w:hyperlink w:anchor="__RefHeading___Toc216678988">
            <w:r>
              <w:rPr>
                <w:rStyle w:val="IndexLink"/>
                <w:rFonts w:ascii="黑体" w:hAnsi="黑体"/>
              </w:rPr>
              <w:t>欢</w:t>
            </w:r>
            <w:r>
              <w:rPr>
                <w:rStyle w:val="IndexLink"/>
                <w:rFonts w:ascii="黑体" w:hAnsi="黑体"/>
              </w:rPr>
              <w:t xml:space="preserve"> </w:t>
            </w:r>
            <w:r>
              <w:rPr>
                <w:rStyle w:val="IndexLink"/>
                <w:rFonts w:ascii="黑体" w:hAnsi="黑体"/>
              </w:rPr>
              <w:t>迎</w:t>
            </w:r>
            <w:r>
              <w:rPr>
                <w:rStyle w:val="IndexLink"/>
                <w:rFonts w:ascii="黑体" w:hAnsi="黑体"/>
              </w:rPr>
              <w:t xml:space="preserve"> </w:t>
            </w:r>
            <w:r>
              <w:rPr>
                <w:rStyle w:val="IndexLink"/>
                <w:rFonts w:ascii="黑体" w:hAnsi="黑体"/>
              </w:rPr>
              <w:t>信</w:t>
            </w:r>
            <w:r>
              <w:rPr>
                <w:rStyle w:val="IndexLink"/>
              </w:rPr>
              <w:tab/>
              <w:t>2</w:t>
            </w:r>
          </w:hyperlink>
        </w:p>
        <w:p>
          <w:pPr>
            <w:pStyle w:val="Contents1"/>
            <w:rPr>
              <w:rFonts w:eastAsia="宋体"/>
              <w:sz w:val="21"/>
            </w:rPr>
          </w:pPr>
          <w:hyperlink w:anchor="__RefHeading___Toc216678989">
            <w:r>
              <w:rPr>
                <w:rStyle w:val="IndexLink"/>
                <w:rFonts w:ascii="黑体" w:hAnsi="黑体"/>
              </w:rPr>
              <w:t>目</w:t>
            </w:r>
            <w:r>
              <w:rPr>
                <w:rStyle w:val="IndexLink"/>
                <w:rFonts w:ascii="黑体" w:hAnsi="黑体"/>
              </w:rPr>
              <w:t xml:space="preserve">  </w:t>
            </w:r>
            <w:r>
              <w:rPr>
                <w:rStyle w:val="IndexLink"/>
                <w:rFonts w:ascii="黑体" w:hAnsi="黑体"/>
              </w:rPr>
              <w:t>录</w:t>
            </w:r>
            <w:r>
              <w:rPr>
                <w:rStyle w:val="IndexLink"/>
              </w:rPr>
              <w:tab/>
              <w:t>3</w:t>
            </w:r>
          </w:hyperlink>
        </w:p>
        <w:p>
          <w:pPr>
            <w:pStyle w:val="Contents1"/>
            <w:rPr>
              <w:rFonts w:eastAsia="宋体"/>
              <w:sz w:val="21"/>
            </w:rPr>
          </w:pPr>
          <w:hyperlink w:anchor="__RefHeading___Toc216678990">
            <w:r>
              <w:rPr>
                <w:rStyle w:val="IndexLink"/>
              </w:rPr>
              <w:t>第一章</w:t>
            </w:r>
            <w:r>
              <w:rPr>
                <w:rStyle w:val="IndexLink"/>
                <w:rFonts w:eastAsia="Times New Roman"/>
              </w:rPr>
              <w:t xml:space="preserve"> </w:t>
            </w:r>
            <w:r>
              <w:rPr>
                <w:rStyle w:val="IndexLink"/>
              </w:rPr>
              <w:t>总</w:t>
            </w:r>
            <w:r>
              <w:rPr>
                <w:rStyle w:val="IndexLink"/>
                <w:rFonts w:eastAsia="Times New Roman"/>
              </w:rPr>
              <w:t xml:space="preserve">   </w:t>
            </w:r>
            <w:r>
              <w:rPr>
                <w:rStyle w:val="IndexLink"/>
              </w:rPr>
              <w:t>则</w:t>
            </w:r>
            <w:r>
              <w:rPr>
                <w:rStyle w:val="IndexLink"/>
              </w:rPr>
              <w:tab/>
              <w:t>4</w:t>
            </w:r>
          </w:hyperlink>
        </w:p>
        <w:p>
          <w:pPr>
            <w:pStyle w:val="Contents2"/>
            <w:rPr>
              <w:lang w:val="en-US" w:eastAsia="en-US"/>
            </w:rPr>
          </w:pPr>
          <w:hyperlink w:anchor="__RefHeading___Toc216678991">
            <w:r>
              <w:rPr>
                <w:rStyle w:val="IndexLink"/>
                <w:bCs/>
                <w:lang w:val="en-US" w:eastAsia="en-US"/>
              </w:rPr>
              <w:t>第</w:t>
            </w:r>
            <w:r>
              <w:rPr>
                <w:rStyle w:val="IndexLink"/>
                <w:bCs/>
                <w:lang w:val="en-US" w:eastAsia="en-US"/>
              </w:rPr>
              <w:t>1</w:t>
            </w:r>
            <w:r>
              <w:rPr>
                <w:rStyle w:val="IndexLink"/>
                <w:bCs/>
                <w:lang w:val="en-US" w:eastAsia="en-US"/>
              </w:rPr>
              <w:t>条</w:t>
            </w:r>
            <w:r>
              <w:rPr>
                <w:rStyle w:val="IndexLink"/>
                <w:lang w:val="en-US" w:eastAsia="en-US"/>
              </w:rPr>
              <w:tab/>
            </w:r>
            <w:r>
              <w:rPr>
                <w:rStyle w:val="IndexLink"/>
                <w:bCs/>
                <w:lang w:val="en-US" w:eastAsia="en-US"/>
              </w:rPr>
              <w:t>目的</w:t>
            </w:r>
            <w:r>
              <w:rPr>
                <w:rStyle w:val="IndexLink"/>
                <w:lang w:val="en-US" w:eastAsia="en-US"/>
              </w:rPr>
              <w:tab/>
              <w:t>4</w:t>
            </w:r>
          </w:hyperlink>
        </w:p>
        <w:p>
          <w:pPr>
            <w:pStyle w:val="Contents2"/>
            <w:rPr>
              <w:lang w:val="en-US" w:eastAsia="en-US"/>
            </w:rPr>
          </w:pPr>
          <w:hyperlink w:anchor="__RefHeading___Toc216678992">
            <w:r>
              <w:rPr>
                <w:rStyle w:val="IndexLink"/>
                <w:bCs/>
                <w:lang w:val="en-US" w:eastAsia="en-US"/>
              </w:rPr>
              <w:t>第</w:t>
            </w:r>
            <w:r>
              <w:rPr>
                <w:rStyle w:val="IndexLink"/>
                <w:bCs/>
                <w:lang w:val="en-US" w:eastAsia="en-US"/>
              </w:rPr>
              <w:t>2</w:t>
            </w:r>
            <w:r>
              <w:rPr>
                <w:rStyle w:val="IndexLink"/>
                <w:bCs/>
                <w:lang w:val="en-US" w:eastAsia="en-US"/>
              </w:rPr>
              <w:t>条</w:t>
            </w:r>
            <w:r>
              <w:rPr>
                <w:rStyle w:val="IndexLink"/>
                <w:lang w:val="en-US" w:eastAsia="en-US"/>
              </w:rPr>
              <w:tab/>
            </w:r>
            <w:r>
              <w:rPr>
                <w:rStyle w:val="IndexLink"/>
                <w:bCs/>
                <w:lang w:val="en-US" w:eastAsia="en-US"/>
              </w:rPr>
              <w:t>适用范围</w:t>
            </w:r>
            <w:r>
              <w:rPr>
                <w:rStyle w:val="IndexLink"/>
                <w:lang w:val="en-US" w:eastAsia="en-US"/>
              </w:rPr>
              <w:tab/>
              <w:t>4</w:t>
            </w:r>
          </w:hyperlink>
        </w:p>
        <w:p>
          <w:pPr>
            <w:pStyle w:val="Contents1"/>
            <w:rPr>
              <w:rFonts w:eastAsia="宋体"/>
              <w:sz w:val="21"/>
            </w:rPr>
          </w:pPr>
          <w:hyperlink w:anchor="__RefHeading___Toc216678993">
            <w:r>
              <w:rPr>
                <w:rStyle w:val="IndexLink"/>
              </w:rPr>
              <w:t>第二章</w:t>
            </w:r>
            <w:r>
              <w:rPr>
                <w:rStyle w:val="IndexLink"/>
                <w:rFonts w:eastAsia="Times New Roman"/>
              </w:rPr>
              <w:t xml:space="preserve"> </w:t>
            </w:r>
            <w:r>
              <w:rPr>
                <w:rStyle w:val="IndexLink"/>
              </w:rPr>
              <w:t>公司介绍</w:t>
            </w:r>
            <w:r>
              <w:rPr>
                <w:rStyle w:val="IndexLink"/>
              </w:rPr>
              <w:tab/>
              <w:t>4</w:t>
            </w:r>
          </w:hyperlink>
        </w:p>
        <w:p>
          <w:pPr>
            <w:pStyle w:val="Contents2"/>
            <w:rPr>
              <w:lang w:val="en-US" w:eastAsia="en-US"/>
            </w:rPr>
          </w:pPr>
          <w:hyperlink w:anchor="__RefHeading___Toc216678994">
            <w:r>
              <w:rPr>
                <w:rStyle w:val="IndexLink"/>
                <w:bCs/>
                <w:lang w:val="en-US" w:eastAsia="en-US"/>
              </w:rPr>
              <w:t>第</w:t>
            </w:r>
            <w:r>
              <w:rPr>
                <w:rStyle w:val="IndexLink"/>
                <w:bCs/>
                <w:lang w:val="en-US" w:eastAsia="en-US"/>
              </w:rPr>
              <w:t>3</w:t>
            </w:r>
            <w:r>
              <w:rPr>
                <w:rStyle w:val="IndexLink"/>
                <w:bCs/>
                <w:lang w:val="en-US" w:eastAsia="en-US"/>
              </w:rPr>
              <w:t>条</w:t>
            </w:r>
            <w:r>
              <w:rPr>
                <w:rStyle w:val="IndexLink"/>
                <w:lang w:val="en-US" w:eastAsia="en-US"/>
              </w:rPr>
              <w:tab/>
            </w:r>
            <w:r>
              <w:rPr>
                <w:rStyle w:val="IndexLink"/>
                <w:bCs/>
                <w:lang w:val="en-US" w:eastAsia="en-US"/>
              </w:rPr>
              <w:t>基本情况</w:t>
            </w:r>
            <w:r>
              <w:rPr>
                <w:rStyle w:val="IndexLink"/>
                <w:lang w:val="en-US" w:eastAsia="en-US"/>
              </w:rPr>
              <w:tab/>
              <w:t>4</w:t>
            </w:r>
          </w:hyperlink>
        </w:p>
        <w:p>
          <w:pPr>
            <w:pStyle w:val="Contents2"/>
            <w:rPr>
              <w:lang w:val="en-US" w:eastAsia="en-US"/>
            </w:rPr>
          </w:pPr>
          <w:hyperlink w:anchor="__RefHeading___Toc216678995">
            <w:r>
              <w:rPr>
                <w:rStyle w:val="IndexLink"/>
                <w:bCs/>
                <w:lang w:val="en-US" w:eastAsia="en-US"/>
              </w:rPr>
              <w:t>第</w:t>
            </w:r>
            <w:r>
              <w:rPr>
                <w:rStyle w:val="IndexLink"/>
                <w:bCs/>
                <w:lang w:val="en-US" w:eastAsia="en-US"/>
              </w:rPr>
              <w:t>4</w:t>
            </w:r>
            <w:r>
              <w:rPr>
                <w:rStyle w:val="IndexLink"/>
                <w:bCs/>
                <w:lang w:val="en-US" w:eastAsia="en-US"/>
              </w:rPr>
              <w:t>条</w:t>
            </w:r>
            <w:r>
              <w:rPr>
                <w:rStyle w:val="IndexLink"/>
                <w:lang w:val="en-US" w:eastAsia="en-US"/>
              </w:rPr>
              <w:tab/>
            </w:r>
            <w:r>
              <w:rPr>
                <w:rStyle w:val="IndexLink"/>
                <w:bCs/>
                <w:lang w:val="en-US" w:eastAsia="en-US"/>
              </w:rPr>
              <w:t>企业文化</w:t>
            </w:r>
            <w:r>
              <w:rPr>
                <w:rStyle w:val="IndexLink"/>
                <w:lang w:val="en-US" w:eastAsia="en-US"/>
              </w:rPr>
              <w:tab/>
              <w:t>4</w:t>
            </w:r>
          </w:hyperlink>
        </w:p>
        <w:p>
          <w:pPr>
            <w:pStyle w:val="Contents2"/>
            <w:rPr>
              <w:lang w:val="en-US" w:eastAsia="en-US"/>
            </w:rPr>
          </w:pPr>
          <w:hyperlink w:anchor="__RefHeading___Toc216678996">
            <w:r>
              <w:rPr>
                <w:rStyle w:val="IndexLink"/>
                <w:bCs/>
                <w:lang w:val="en-US" w:eastAsia="en-US"/>
              </w:rPr>
              <w:t>第</w:t>
            </w:r>
            <w:r>
              <w:rPr>
                <w:rStyle w:val="IndexLink"/>
                <w:bCs/>
                <w:lang w:val="en-US" w:eastAsia="en-US"/>
              </w:rPr>
              <w:t>5</w:t>
            </w:r>
            <w:r>
              <w:rPr>
                <w:rStyle w:val="IndexLink"/>
                <w:bCs/>
                <w:lang w:val="en-US" w:eastAsia="en-US"/>
              </w:rPr>
              <w:t>条</w:t>
            </w:r>
            <w:r>
              <w:rPr>
                <w:rStyle w:val="IndexLink"/>
                <w:lang w:val="en-US" w:eastAsia="en-US"/>
              </w:rPr>
              <w:tab/>
            </w:r>
            <w:r>
              <w:rPr>
                <w:rStyle w:val="IndexLink"/>
                <w:bCs/>
                <w:lang w:val="en-US" w:eastAsia="en-US"/>
              </w:rPr>
              <w:t>组织结构</w:t>
            </w:r>
            <w:r>
              <w:rPr>
                <w:rStyle w:val="IndexLink"/>
                <w:lang w:val="en-US" w:eastAsia="en-US"/>
              </w:rPr>
              <w:tab/>
              <w:t>4</w:t>
            </w:r>
          </w:hyperlink>
        </w:p>
        <w:p>
          <w:pPr>
            <w:pStyle w:val="Contents1"/>
            <w:rPr>
              <w:rFonts w:eastAsia="宋体"/>
              <w:sz w:val="21"/>
            </w:rPr>
          </w:pPr>
          <w:hyperlink w:anchor="__RefHeading___Toc216678997">
            <w:r>
              <w:rPr>
                <w:rStyle w:val="IndexLink"/>
              </w:rPr>
              <w:t>第三章</w:t>
            </w:r>
            <w:r>
              <w:rPr>
                <w:rStyle w:val="IndexLink"/>
                <w:rFonts w:eastAsia="Times New Roman"/>
              </w:rPr>
              <w:t xml:space="preserve"> </w:t>
            </w:r>
            <w:r>
              <w:rPr>
                <w:rStyle w:val="IndexLink"/>
              </w:rPr>
              <w:t>对员工的基本要求</w:t>
            </w:r>
            <w:r>
              <w:rPr>
                <w:rStyle w:val="IndexLink"/>
              </w:rPr>
              <w:tab/>
              <w:t>5</w:t>
            </w:r>
          </w:hyperlink>
        </w:p>
        <w:p>
          <w:pPr>
            <w:pStyle w:val="Contents2"/>
            <w:rPr>
              <w:lang w:val="en-US" w:eastAsia="en-US"/>
            </w:rPr>
          </w:pPr>
          <w:hyperlink w:anchor="__RefHeading___Toc216678998">
            <w:r>
              <w:rPr>
                <w:rStyle w:val="IndexLink"/>
                <w:bCs/>
                <w:lang w:val="en-US" w:eastAsia="en-US"/>
              </w:rPr>
              <w:t>第</w:t>
            </w:r>
            <w:r>
              <w:rPr>
                <w:rStyle w:val="IndexLink"/>
                <w:bCs/>
                <w:lang w:val="en-US" w:eastAsia="en-US"/>
              </w:rPr>
              <w:t>6</w:t>
            </w:r>
            <w:r>
              <w:rPr>
                <w:rStyle w:val="IndexLink"/>
                <w:bCs/>
                <w:lang w:val="en-US" w:eastAsia="en-US"/>
              </w:rPr>
              <w:t>条</w:t>
            </w:r>
            <w:r>
              <w:rPr>
                <w:rStyle w:val="IndexLink"/>
                <w:lang w:val="en-US" w:eastAsia="en-US"/>
              </w:rPr>
              <w:tab/>
            </w:r>
            <w:r>
              <w:rPr>
                <w:rStyle w:val="IndexLink"/>
                <w:bCs/>
                <w:lang w:val="en-US" w:eastAsia="en-US"/>
              </w:rPr>
              <w:t>义务</w:t>
            </w:r>
            <w:r>
              <w:rPr>
                <w:rStyle w:val="IndexLink"/>
                <w:lang w:val="en-US" w:eastAsia="en-US"/>
              </w:rPr>
              <w:tab/>
              <w:t>5</w:t>
            </w:r>
          </w:hyperlink>
        </w:p>
        <w:p>
          <w:pPr>
            <w:pStyle w:val="Contents2"/>
            <w:rPr>
              <w:lang w:val="en-US" w:eastAsia="en-US"/>
            </w:rPr>
          </w:pPr>
          <w:hyperlink w:anchor="__RefHeading___Toc216678999">
            <w:r>
              <w:rPr>
                <w:rStyle w:val="IndexLink"/>
                <w:bCs/>
                <w:lang w:val="en-US" w:eastAsia="en-US"/>
              </w:rPr>
              <w:t>第</w:t>
            </w:r>
            <w:r>
              <w:rPr>
                <w:rStyle w:val="IndexLink"/>
                <w:bCs/>
                <w:lang w:val="en-US" w:eastAsia="en-US"/>
              </w:rPr>
              <w:t>7</w:t>
            </w:r>
            <w:r>
              <w:rPr>
                <w:rStyle w:val="IndexLink"/>
                <w:bCs/>
                <w:lang w:val="en-US" w:eastAsia="en-US"/>
              </w:rPr>
              <w:t>条</w:t>
            </w:r>
            <w:r>
              <w:rPr>
                <w:rStyle w:val="IndexLink"/>
                <w:lang w:val="en-US" w:eastAsia="en-US"/>
              </w:rPr>
              <w:tab/>
            </w:r>
            <w:r>
              <w:rPr>
                <w:rStyle w:val="IndexLink"/>
                <w:bCs/>
                <w:lang w:val="en-US" w:eastAsia="en-US"/>
              </w:rPr>
              <w:t>权利</w:t>
            </w:r>
            <w:r>
              <w:rPr>
                <w:rStyle w:val="IndexLink"/>
                <w:lang w:val="en-US" w:eastAsia="en-US"/>
              </w:rPr>
              <w:tab/>
              <w:t>5</w:t>
            </w:r>
          </w:hyperlink>
        </w:p>
        <w:p>
          <w:pPr>
            <w:pStyle w:val="Contents2"/>
            <w:rPr>
              <w:lang w:val="en-US" w:eastAsia="en-US"/>
            </w:rPr>
          </w:pPr>
          <w:hyperlink w:anchor="__RefHeading___Toc216679000">
            <w:r>
              <w:rPr>
                <w:rStyle w:val="IndexLink"/>
                <w:bCs/>
                <w:lang w:val="en-US" w:eastAsia="en-US"/>
              </w:rPr>
              <w:t>第</w:t>
            </w:r>
            <w:r>
              <w:rPr>
                <w:rStyle w:val="IndexLink"/>
                <w:bCs/>
                <w:lang w:val="en-US" w:eastAsia="en-US"/>
              </w:rPr>
              <w:t>8</w:t>
            </w:r>
            <w:r>
              <w:rPr>
                <w:rStyle w:val="IndexLink"/>
                <w:bCs/>
                <w:lang w:val="en-US" w:eastAsia="en-US"/>
              </w:rPr>
              <w:t>条</w:t>
            </w:r>
            <w:r>
              <w:rPr>
                <w:rStyle w:val="IndexLink"/>
                <w:lang w:val="en-US" w:eastAsia="en-US"/>
              </w:rPr>
              <w:tab/>
            </w:r>
            <w:r>
              <w:rPr>
                <w:rStyle w:val="IndexLink"/>
                <w:bCs/>
                <w:lang w:val="en-US" w:eastAsia="en-US"/>
              </w:rPr>
              <w:t>出入公司的规定</w:t>
            </w:r>
            <w:r>
              <w:rPr>
                <w:rStyle w:val="IndexLink"/>
                <w:lang w:val="en-US" w:eastAsia="en-US"/>
              </w:rPr>
              <w:tab/>
              <w:t>5</w:t>
            </w:r>
          </w:hyperlink>
        </w:p>
        <w:p>
          <w:pPr>
            <w:pStyle w:val="Contents2"/>
            <w:rPr>
              <w:lang w:val="en-US" w:eastAsia="en-US"/>
            </w:rPr>
          </w:pPr>
          <w:hyperlink w:anchor="__RefHeading___Toc216679001">
            <w:r>
              <w:rPr>
                <w:rStyle w:val="IndexLink"/>
                <w:bCs/>
                <w:lang w:val="en-US" w:eastAsia="en-US"/>
              </w:rPr>
              <w:t>第</w:t>
            </w:r>
            <w:r>
              <w:rPr>
                <w:rStyle w:val="IndexLink"/>
                <w:bCs/>
                <w:lang w:val="en-US" w:eastAsia="en-US"/>
              </w:rPr>
              <w:t>9</w:t>
            </w:r>
            <w:r>
              <w:rPr>
                <w:rStyle w:val="IndexLink"/>
                <w:bCs/>
                <w:lang w:val="en-US" w:eastAsia="en-US"/>
              </w:rPr>
              <w:t>条</w:t>
            </w:r>
            <w:r>
              <w:rPr>
                <w:rStyle w:val="IndexLink"/>
                <w:lang w:val="en-US" w:eastAsia="en-US"/>
              </w:rPr>
              <w:tab/>
            </w:r>
            <w:r>
              <w:rPr>
                <w:rStyle w:val="IndexLink"/>
                <w:bCs/>
                <w:lang w:val="en-US" w:eastAsia="en-US"/>
              </w:rPr>
              <w:t>劳动纪律</w:t>
            </w:r>
            <w:r>
              <w:rPr>
                <w:rStyle w:val="IndexLink"/>
                <w:lang w:val="en-US" w:eastAsia="en-US"/>
              </w:rPr>
              <w:tab/>
              <w:t>6</w:t>
            </w:r>
          </w:hyperlink>
        </w:p>
        <w:p>
          <w:pPr>
            <w:pStyle w:val="Contents2"/>
            <w:rPr>
              <w:lang w:val="en-US" w:eastAsia="en-US"/>
            </w:rPr>
          </w:pPr>
          <w:hyperlink w:anchor="__RefHeading___Toc216679002">
            <w:r>
              <w:rPr>
                <w:rStyle w:val="IndexLink"/>
                <w:bCs/>
                <w:lang w:val="en-US" w:eastAsia="en-US"/>
              </w:rPr>
              <w:t>第</w:t>
            </w:r>
            <w:r>
              <w:rPr>
                <w:rStyle w:val="IndexLink"/>
                <w:bCs/>
                <w:lang w:val="en-US" w:eastAsia="en-US"/>
              </w:rPr>
              <w:t>10</w:t>
            </w:r>
            <w:r>
              <w:rPr>
                <w:rStyle w:val="IndexLink"/>
                <w:bCs/>
                <w:lang w:val="en-US" w:eastAsia="en-US"/>
              </w:rPr>
              <w:t>条</w:t>
            </w:r>
            <w:r>
              <w:rPr>
                <w:rStyle w:val="IndexLink"/>
                <w:lang w:val="en-US" w:eastAsia="en-US"/>
              </w:rPr>
              <w:tab/>
            </w:r>
            <w:r>
              <w:rPr>
                <w:rStyle w:val="IndexLink"/>
                <w:bCs/>
                <w:lang w:val="en-US" w:eastAsia="en-US"/>
              </w:rPr>
              <w:t>公司物品的管理及维护</w:t>
            </w:r>
            <w:r>
              <w:rPr>
                <w:rStyle w:val="IndexLink"/>
                <w:lang w:val="en-US" w:eastAsia="en-US"/>
              </w:rPr>
              <w:tab/>
              <w:t>6</w:t>
            </w:r>
          </w:hyperlink>
        </w:p>
        <w:p>
          <w:pPr>
            <w:pStyle w:val="Contents1"/>
            <w:rPr>
              <w:rFonts w:eastAsia="宋体"/>
              <w:sz w:val="21"/>
            </w:rPr>
          </w:pPr>
          <w:hyperlink w:anchor="__RefHeading___Toc216679003">
            <w:r>
              <w:rPr>
                <w:rStyle w:val="IndexLink"/>
              </w:rPr>
              <w:t>第四章</w:t>
            </w:r>
            <w:r>
              <w:rPr>
                <w:rStyle w:val="IndexLink"/>
                <w:rFonts w:eastAsia="Times New Roman"/>
              </w:rPr>
              <w:t xml:space="preserve"> </w:t>
            </w:r>
            <w:r>
              <w:rPr>
                <w:rStyle w:val="IndexLink"/>
              </w:rPr>
              <w:t>考</w:t>
            </w:r>
            <w:r>
              <w:rPr>
                <w:rStyle w:val="IndexLink"/>
                <w:rFonts w:eastAsia="Times New Roman"/>
              </w:rPr>
              <w:t xml:space="preserve">   </w:t>
            </w:r>
            <w:r>
              <w:rPr>
                <w:rStyle w:val="IndexLink"/>
              </w:rPr>
              <w:t>勤</w:t>
            </w:r>
            <w:r>
              <w:rPr>
                <w:rStyle w:val="IndexLink"/>
              </w:rPr>
              <w:tab/>
              <w:t>6</w:t>
            </w:r>
          </w:hyperlink>
        </w:p>
        <w:p>
          <w:pPr>
            <w:pStyle w:val="Contents2"/>
            <w:rPr>
              <w:lang w:val="en-US" w:eastAsia="en-US"/>
            </w:rPr>
          </w:pPr>
          <w:hyperlink w:anchor="__RefHeading___Toc216679004">
            <w:r>
              <w:rPr>
                <w:rStyle w:val="IndexLink"/>
                <w:bCs/>
                <w:lang w:val="en-US" w:eastAsia="en-US"/>
              </w:rPr>
              <w:t>第</w:t>
            </w:r>
            <w:r>
              <w:rPr>
                <w:rStyle w:val="IndexLink"/>
                <w:bCs/>
                <w:lang w:val="en-US" w:eastAsia="en-US"/>
              </w:rPr>
              <w:t>11</w:t>
            </w:r>
            <w:r>
              <w:rPr>
                <w:rStyle w:val="IndexLink"/>
                <w:bCs/>
                <w:lang w:val="en-US" w:eastAsia="en-US"/>
              </w:rPr>
              <w:t>条</w:t>
            </w:r>
            <w:r>
              <w:rPr>
                <w:rStyle w:val="IndexLink"/>
                <w:lang w:val="en-US" w:eastAsia="en-US"/>
              </w:rPr>
              <w:tab/>
            </w:r>
            <w:r>
              <w:rPr>
                <w:rStyle w:val="IndexLink"/>
                <w:bCs/>
                <w:lang w:val="en-US" w:eastAsia="en-US"/>
              </w:rPr>
              <w:t>工作时间</w:t>
            </w:r>
            <w:r>
              <w:rPr>
                <w:rStyle w:val="IndexLink"/>
                <w:lang w:val="en-US" w:eastAsia="en-US"/>
              </w:rPr>
              <w:tab/>
              <w:t>6</w:t>
            </w:r>
          </w:hyperlink>
        </w:p>
        <w:p>
          <w:pPr>
            <w:pStyle w:val="Contents2"/>
            <w:rPr>
              <w:lang w:val="en-US" w:eastAsia="en-US"/>
            </w:rPr>
          </w:pPr>
          <w:hyperlink w:anchor="__RefHeading___Toc216679005">
            <w:r>
              <w:rPr>
                <w:rStyle w:val="IndexLink"/>
                <w:bCs/>
                <w:lang w:val="en-US" w:eastAsia="en-US"/>
              </w:rPr>
              <w:t>第</w:t>
            </w:r>
            <w:r>
              <w:rPr>
                <w:rStyle w:val="IndexLink"/>
                <w:bCs/>
                <w:lang w:val="en-US" w:eastAsia="en-US"/>
              </w:rPr>
              <w:t>12</w:t>
            </w:r>
            <w:r>
              <w:rPr>
                <w:rStyle w:val="IndexLink"/>
                <w:bCs/>
                <w:lang w:val="en-US" w:eastAsia="en-US"/>
              </w:rPr>
              <w:t>条</w:t>
            </w:r>
            <w:r>
              <w:rPr>
                <w:rStyle w:val="IndexLink"/>
                <w:lang w:val="en-US" w:eastAsia="en-US"/>
              </w:rPr>
              <w:tab/>
            </w:r>
            <w:r>
              <w:rPr>
                <w:rStyle w:val="IndexLink"/>
                <w:bCs/>
                <w:lang w:val="en-US" w:eastAsia="en-US"/>
              </w:rPr>
              <w:t>考勤规定</w:t>
            </w:r>
            <w:r>
              <w:rPr>
                <w:rStyle w:val="IndexLink"/>
                <w:lang w:val="en-US" w:eastAsia="en-US"/>
              </w:rPr>
              <w:tab/>
              <w:t>7</w:t>
            </w:r>
          </w:hyperlink>
        </w:p>
        <w:p>
          <w:pPr>
            <w:pStyle w:val="Contents2"/>
            <w:rPr>
              <w:lang w:val="en-US" w:eastAsia="en-US"/>
            </w:rPr>
          </w:pPr>
          <w:hyperlink w:anchor="__RefHeading___Toc216679006">
            <w:r>
              <w:rPr>
                <w:rStyle w:val="IndexLink"/>
                <w:bCs/>
                <w:lang w:val="en-US" w:eastAsia="en-US"/>
              </w:rPr>
              <w:t>第</w:t>
            </w:r>
            <w:r>
              <w:rPr>
                <w:rStyle w:val="IndexLink"/>
                <w:bCs/>
                <w:lang w:val="en-US" w:eastAsia="en-US"/>
              </w:rPr>
              <w:t>13</w:t>
            </w:r>
            <w:r>
              <w:rPr>
                <w:rStyle w:val="IndexLink"/>
                <w:bCs/>
                <w:lang w:val="en-US" w:eastAsia="en-US"/>
              </w:rPr>
              <w:t>条</w:t>
            </w:r>
            <w:r>
              <w:rPr>
                <w:rStyle w:val="IndexLink"/>
                <w:lang w:val="en-US" w:eastAsia="en-US"/>
              </w:rPr>
              <w:tab/>
            </w:r>
            <w:r>
              <w:rPr>
                <w:rStyle w:val="IndexLink"/>
                <w:bCs/>
                <w:lang w:val="en-US" w:eastAsia="en-US"/>
              </w:rPr>
              <w:t>员工加班</w:t>
            </w:r>
            <w:r>
              <w:rPr>
                <w:rStyle w:val="IndexLink"/>
                <w:lang w:val="en-US" w:eastAsia="en-US"/>
              </w:rPr>
              <w:tab/>
              <w:t>7</w:t>
            </w:r>
          </w:hyperlink>
        </w:p>
        <w:p>
          <w:pPr>
            <w:pStyle w:val="Contents1"/>
            <w:rPr>
              <w:rFonts w:eastAsia="宋体"/>
              <w:sz w:val="21"/>
            </w:rPr>
          </w:pPr>
          <w:hyperlink w:anchor="__RefHeading___Toc216679007">
            <w:r>
              <w:rPr>
                <w:rStyle w:val="IndexLink"/>
                <w:rFonts w:ascii="仿宋_GB2312" w:hAnsi="仿宋_GB2312"/>
              </w:rPr>
              <w:t>第五章</w:t>
            </w:r>
            <w:r>
              <w:rPr>
                <w:rStyle w:val="IndexLink"/>
                <w:rFonts w:ascii="仿宋_GB2312" w:hAnsi="仿宋_GB2312" w:cs="仿宋_GB2312" w:eastAsia="仿宋_GB2312"/>
              </w:rPr>
              <w:t xml:space="preserve">   </w:t>
            </w:r>
            <w:r>
              <w:rPr>
                <w:rStyle w:val="IndexLink"/>
                <w:rFonts w:ascii="仿宋_GB2312" w:hAnsi="仿宋_GB2312"/>
              </w:rPr>
              <w:t>员工薪酬福利</w:t>
            </w:r>
            <w:r>
              <w:rPr>
                <w:rStyle w:val="IndexLink"/>
              </w:rPr>
              <w:tab/>
              <w:t>8</w:t>
            </w:r>
          </w:hyperlink>
        </w:p>
        <w:p>
          <w:pPr>
            <w:pStyle w:val="Contents2"/>
            <w:rPr>
              <w:lang w:val="en-US" w:eastAsia="en-US"/>
            </w:rPr>
          </w:pPr>
          <w:hyperlink w:anchor="__RefHeading___Toc216679008">
            <w:r>
              <w:rPr>
                <w:rStyle w:val="IndexLink"/>
                <w:bCs/>
                <w:lang w:val="en-US" w:eastAsia="en-US"/>
              </w:rPr>
              <w:t>第</w:t>
            </w:r>
            <w:r>
              <w:rPr>
                <w:rStyle w:val="IndexLink"/>
                <w:bCs/>
                <w:lang w:val="en-US" w:eastAsia="en-US"/>
              </w:rPr>
              <w:t>14</w:t>
            </w:r>
            <w:r>
              <w:rPr>
                <w:rStyle w:val="IndexLink"/>
                <w:bCs/>
                <w:lang w:val="en-US" w:eastAsia="en-US"/>
              </w:rPr>
              <w:t>条</w:t>
            </w:r>
            <w:r>
              <w:rPr>
                <w:rStyle w:val="IndexLink"/>
                <w:lang w:val="en-US" w:eastAsia="en-US"/>
              </w:rPr>
              <w:tab/>
            </w:r>
            <w:r>
              <w:rPr>
                <w:rStyle w:val="IndexLink"/>
                <w:bCs/>
                <w:lang w:val="en-US" w:eastAsia="en-US"/>
              </w:rPr>
              <w:t>病假和事假</w:t>
            </w:r>
            <w:r>
              <w:rPr>
                <w:rStyle w:val="IndexLink"/>
                <w:lang w:val="en-US" w:eastAsia="en-US"/>
              </w:rPr>
              <w:tab/>
              <w:t>8</w:t>
            </w:r>
          </w:hyperlink>
        </w:p>
        <w:p>
          <w:pPr>
            <w:pStyle w:val="Contents2"/>
            <w:rPr>
              <w:lang w:val="en-US" w:eastAsia="en-US"/>
            </w:rPr>
          </w:pPr>
          <w:hyperlink w:anchor="__RefHeading___Toc216679009">
            <w:r>
              <w:rPr>
                <w:rStyle w:val="IndexLink"/>
                <w:bCs/>
                <w:lang w:val="en-US" w:eastAsia="en-US"/>
              </w:rPr>
              <w:t>第</w:t>
            </w:r>
            <w:r>
              <w:rPr>
                <w:rStyle w:val="IndexLink"/>
                <w:bCs/>
                <w:lang w:val="en-US" w:eastAsia="en-US"/>
              </w:rPr>
              <w:t>15</w:t>
            </w:r>
            <w:r>
              <w:rPr>
                <w:rStyle w:val="IndexLink"/>
                <w:bCs/>
                <w:lang w:val="en-US" w:eastAsia="en-US"/>
              </w:rPr>
              <w:t>条</w:t>
            </w:r>
            <w:r>
              <w:rPr>
                <w:rStyle w:val="IndexLink"/>
                <w:lang w:val="en-US" w:eastAsia="en-US"/>
              </w:rPr>
              <w:tab/>
            </w:r>
            <w:r>
              <w:rPr>
                <w:rStyle w:val="IndexLink"/>
                <w:bCs/>
                <w:lang w:val="en-US" w:eastAsia="en-US"/>
              </w:rPr>
              <w:t>公假</w:t>
            </w:r>
            <w:r>
              <w:rPr>
                <w:rStyle w:val="IndexLink"/>
                <w:lang w:val="en-US" w:eastAsia="en-US"/>
              </w:rPr>
              <w:tab/>
              <w:t>8</w:t>
            </w:r>
          </w:hyperlink>
        </w:p>
        <w:p>
          <w:pPr>
            <w:pStyle w:val="Contents2"/>
            <w:rPr>
              <w:lang w:val="en-US" w:eastAsia="en-US"/>
            </w:rPr>
          </w:pPr>
          <w:hyperlink w:anchor="__RefHeading___Toc216679010">
            <w:r>
              <w:rPr>
                <w:rStyle w:val="IndexLink"/>
                <w:bCs/>
                <w:lang w:val="en-US" w:eastAsia="en-US"/>
              </w:rPr>
              <w:t>第</w:t>
            </w:r>
            <w:r>
              <w:rPr>
                <w:rStyle w:val="IndexLink"/>
                <w:bCs/>
                <w:lang w:val="en-US" w:eastAsia="en-US"/>
              </w:rPr>
              <w:t>16</w:t>
            </w:r>
            <w:r>
              <w:rPr>
                <w:rStyle w:val="IndexLink"/>
                <w:bCs/>
                <w:lang w:val="en-US" w:eastAsia="en-US"/>
              </w:rPr>
              <w:t>条</w:t>
            </w:r>
            <w:r>
              <w:rPr>
                <w:rStyle w:val="IndexLink"/>
                <w:lang w:val="en-US" w:eastAsia="en-US"/>
              </w:rPr>
              <w:tab/>
            </w:r>
            <w:r>
              <w:rPr>
                <w:rStyle w:val="IndexLink"/>
                <w:bCs/>
                <w:lang w:val="en-US" w:eastAsia="en-US"/>
              </w:rPr>
              <w:t>国家法定假期</w:t>
            </w:r>
            <w:r>
              <w:rPr>
                <w:rStyle w:val="IndexLink"/>
                <w:lang w:val="en-US" w:eastAsia="en-US"/>
              </w:rPr>
              <w:tab/>
              <w:t>8</w:t>
            </w:r>
          </w:hyperlink>
        </w:p>
        <w:p>
          <w:pPr>
            <w:pStyle w:val="Contents2"/>
            <w:rPr>
              <w:lang w:val="en-US" w:eastAsia="en-US"/>
            </w:rPr>
          </w:pPr>
          <w:hyperlink w:anchor="__RefHeading___Toc216679011">
            <w:r>
              <w:rPr>
                <w:rStyle w:val="IndexLink"/>
                <w:bCs/>
                <w:lang w:val="en-US" w:eastAsia="en-US"/>
              </w:rPr>
              <w:t>第</w:t>
            </w:r>
            <w:r>
              <w:rPr>
                <w:rStyle w:val="IndexLink"/>
                <w:bCs/>
                <w:lang w:val="en-US" w:eastAsia="en-US"/>
              </w:rPr>
              <w:t>17</w:t>
            </w:r>
            <w:r>
              <w:rPr>
                <w:rStyle w:val="IndexLink"/>
                <w:bCs/>
                <w:lang w:val="en-US" w:eastAsia="en-US"/>
              </w:rPr>
              <w:t>条</w:t>
            </w:r>
            <w:r>
              <w:rPr>
                <w:rStyle w:val="IndexLink"/>
                <w:lang w:val="en-US" w:eastAsia="en-US"/>
              </w:rPr>
              <w:tab/>
            </w:r>
            <w:r>
              <w:rPr>
                <w:rStyle w:val="IndexLink"/>
                <w:bCs/>
                <w:lang w:val="en-US" w:eastAsia="en-US"/>
              </w:rPr>
              <w:t>产假、陪产假</w:t>
            </w:r>
            <w:r>
              <w:rPr>
                <w:rStyle w:val="IndexLink"/>
                <w:lang w:val="en-US" w:eastAsia="en-US"/>
              </w:rPr>
              <w:tab/>
              <w:t>8</w:t>
            </w:r>
          </w:hyperlink>
        </w:p>
        <w:p>
          <w:pPr>
            <w:pStyle w:val="Contents2"/>
            <w:rPr>
              <w:lang w:val="en-US" w:eastAsia="en-US"/>
            </w:rPr>
          </w:pPr>
          <w:hyperlink w:anchor="__RefHeading___Toc216679012">
            <w:r>
              <w:rPr>
                <w:rStyle w:val="IndexLink"/>
                <w:bCs/>
                <w:lang w:val="en-US" w:eastAsia="en-US"/>
              </w:rPr>
              <w:t>第</w:t>
            </w:r>
            <w:r>
              <w:rPr>
                <w:rStyle w:val="IndexLink"/>
                <w:bCs/>
                <w:lang w:val="en-US" w:eastAsia="en-US"/>
              </w:rPr>
              <w:t>18</w:t>
            </w:r>
            <w:r>
              <w:rPr>
                <w:rStyle w:val="IndexLink"/>
                <w:bCs/>
                <w:lang w:val="en-US" w:eastAsia="en-US"/>
              </w:rPr>
              <w:t>条</w:t>
            </w:r>
            <w:r>
              <w:rPr>
                <w:rStyle w:val="IndexLink"/>
                <w:lang w:val="en-US" w:eastAsia="en-US"/>
              </w:rPr>
              <w:tab/>
            </w:r>
            <w:r>
              <w:rPr>
                <w:rStyle w:val="IndexLink"/>
                <w:bCs/>
                <w:lang w:val="en-US" w:eastAsia="en-US"/>
              </w:rPr>
              <w:t>女员工孕期检查、哺乳时间</w:t>
            </w:r>
            <w:r>
              <w:rPr>
                <w:rStyle w:val="IndexLink"/>
                <w:lang w:val="en-US" w:eastAsia="en-US"/>
              </w:rPr>
              <w:tab/>
              <w:t>9</w:t>
            </w:r>
          </w:hyperlink>
        </w:p>
        <w:p>
          <w:pPr>
            <w:pStyle w:val="Contents2"/>
            <w:rPr>
              <w:lang w:val="en-US" w:eastAsia="en-US"/>
            </w:rPr>
          </w:pPr>
          <w:hyperlink w:anchor="__RefHeading___Toc216679013">
            <w:r>
              <w:rPr>
                <w:rStyle w:val="IndexLink"/>
                <w:bCs/>
                <w:lang w:val="en-US" w:eastAsia="en-US"/>
              </w:rPr>
              <w:t>第</w:t>
            </w:r>
            <w:r>
              <w:rPr>
                <w:rStyle w:val="IndexLink"/>
                <w:bCs/>
                <w:lang w:val="en-US" w:eastAsia="en-US"/>
              </w:rPr>
              <w:t>19</w:t>
            </w:r>
            <w:r>
              <w:rPr>
                <w:rStyle w:val="IndexLink"/>
                <w:bCs/>
                <w:lang w:val="en-US" w:eastAsia="en-US"/>
              </w:rPr>
              <w:t>条</w:t>
            </w:r>
            <w:r>
              <w:rPr>
                <w:rStyle w:val="IndexLink"/>
                <w:lang w:val="en-US" w:eastAsia="en-US"/>
              </w:rPr>
              <w:tab/>
            </w:r>
            <w:r>
              <w:rPr>
                <w:rStyle w:val="IndexLink"/>
                <w:bCs/>
                <w:lang w:val="en-US" w:eastAsia="en-US"/>
              </w:rPr>
              <w:t>工伤假</w:t>
            </w:r>
            <w:r>
              <w:rPr>
                <w:rStyle w:val="IndexLink"/>
                <w:lang w:val="en-US" w:eastAsia="en-US"/>
              </w:rPr>
              <w:tab/>
              <w:t>9</w:t>
            </w:r>
          </w:hyperlink>
        </w:p>
        <w:p>
          <w:pPr>
            <w:pStyle w:val="Contents2"/>
            <w:rPr>
              <w:lang w:val="en-US" w:eastAsia="en-US"/>
            </w:rPr>
          </w:pPr>
          <w:hyperlink w:anchor="__RefHeading___Toc216679014">
            <w:r>
              <w:rPr>
                <w:rStyle w:val="IndexLink"/>
                <w:bCs/>
                <w:lang w:val="en-US" w:eastAsia="en-US"/>
              </w:rPr>
              <w:t>第</w:t>
            </w:r>
            <w:r>
              <w:rPr>
                <w:rStyle w:val="IndexLink"/>
                <w:bCs/>
                <w:lang w:val="en-US" w:eastAsia="en-US"/>
              </w:rPr>
              <w:t>20</w:t>
            </w:r>
            <w:r>
              <w:rPr>
                <w:rStyle w:val="IndexLink"/>
                <w:bCs/>
                <w:lang w:val="en-US" w:eastAsia="en-US"/>
              </w:rPr>
              <w:t>条</w:t>
            </w:r>
            <w:r>
              <w:rPr>
                <w:rStyle w:val="IndexLink"/>
                <w:lang w:val="en-US" w:eastAsia="en-US"/>
              </w:rPr>
              <w:tab/>
            </w:r>
            <w:r>
              <w:rPr>
                <w:rStyle w:val="IndexLink"/>
                <w:bCs/>
                <w:lang w:val="en-US" w:eastAsia="en-US"/>
              </w:rPr>
              <w:t>婚假、丧假</w:t>
            </w:r>
            <w:r>
              <w:rPr>
                <w:rStyle w:val="IndexLink"/>
                <w:lang w:val="en-US" w:eastAsia="en-US"/>
              </w:rPr>
              <w:tab/>
              <w:t>9</w:t>
            </w:r>
          </w:hyperlink>
        </w:p>
        <w:p>
          <w:pPr>
            <w:pStyle w:val="Contents2"/>
            <w:rPr>
              <w:lang w:val="en-US" w:eastAsia="en-US"/>
            </w:rPr>
          </w:pPr>
          <w:hyperlink w:anchor="__RefHeading___Toc216679015">
            <w:r>
              <w:rPr>
                <w:rStyle w:val="IndexLink"/>
                <w:bCs/>
                <w:lang w:val="en-US" w:eastAsia="en-US"/>
              </w:rPr>
              <w:t>第</w:t>
            </w:r>
            <w:r>
              <w:rPr>
                <w:rStyle w:val="IndexLink"/>
                <w:bCs/>
                <w:lang w:val="en-US" w:eastAsia="en-US"/>
              </w:rPr>
              <w:t>21</w:t>
            </w:r>
            <w:r>
              <w:rPr>
                <w:rStyle w:val="IndexLink"/>
                <w:bCs/>
                <w:lang w:val="en-US" w:eastAsia="en-US"/>
              </w:rPr>
              <w:t>条</w:t>
            </w:r>
            <w:r>
              <w:rPr>
                <w:rStyle w:val="IndexLink"/>
                <w:lang w:val="en-US" w:eastAsia="en-US"/>
              </w:rPr>
              <w:tab/>
            </w:r>
            <w:r>
              <w:rPr>
                <w:rStyle w:val="IndexLink"/>
                <w:bCs/>
                <w:lang w:val="en-US" w:eastAsia="en-US"/>
              </w:rPr>
              <w:t>年休假</w:t>
            </w:r>
            <w:r>
              <w:rPr>
                <w:rStyle w:val="IndexLink"/>
                <w:lang w:val="en-US" w:eastAsia="en-US"/>
              </w:rPr>
              <w:tab/>
              <w:t>9</w:t>
            </w:r>
          </w:hyperlink>
        </w:p>
        <w:p>
          <w:pPr>
            <w:pStyle w:val="Contents2"/>
            <w:rPr>
              <w:lang w:val="en-US" w:eastAsia="en-US"/>
            </w:rPr>
          </w:pPr>
          <w:hyperlink w:anchor="__RefHeading___Toc216679016">
            <w:r>
              <w:rPr>
                <w:rStyle w:val="IndexLink"/>
                <w:bCs/>
                <w:lang w:val="en-US" w:eastAsia="en-US"/>
              </w:rPr>
              <w:t>第</w:t>
            </w:r>
            <w:r>
              <w:rPr>
                <w:rStyle w:val="IndexLink"/>
                <w:bCs/>
                <w:lang w:val="en-US" w:eastAsia="en-US"/>
              </w:rPr>
              <w:t>22</w:t>
            </w:r>
            <w:r>
              <w:rPr>
                <w:rStyle w:val="IndexLink"/>
                <w:bCs/>
                <w:lang w:val="en-US" w:eastAsia="en-US"/>
              </w:rPr>
              <w:t>条</w:t>
            </w:r>
            <w:r>
              <w:rPr>
                <w:rStyle w:val="IndexLink"/>
                <w:lang w:val="en-US" w:eastAsia="en-US"/>
              </w:rPr>
              <w:tab/>
            </w:r>
            <w:r>
              <w:rPr>
                <w:rStyle w:val="IndexLink"/>
                <w:bCs/>
                <w:lang w:val="en-US" w:eastAsia="en-US"/>
              </w:rPr>
              <w:t>员工薪酬管理规定</w:t>
            </w:r>
            <w:r>
              <w:rPr>
                <w:rStyle w:val="IndexLink"/>
                <w:lang w:val="en-US" w:eastAsia="en-US"/>
              </w:rPr>
              <w:tab/>
              <w:t>10</w:t>
            </w:r>
          </w:hyperlink>
        </w:p>
        <w:p>
          <w:pPr>
            <w:pStyle w:val="Contents2"/>
            <w:rPr>
              <w:lang w:val="en-US" w:eastAsia="en-US"/>
            </w:rPr>
          </w:pPr>
          <w:hyperlink w:anchor="__RefHeading___Toc216679017">
            <w:r>
              <w:rPr>
                <w:rStyle w:val="IndexLink"/>
                <w:bCs/>
                <w:lang w:val="en-US" w:eastAsia="en-US"/>
              </w:rPr>
              <w:t>第</w:t>
            </w:r>
            <w:r>
              <w:rPr>
                <w:rStyle w:val="IndexLink"/>
                <w:bCs/>
                <w:lang w:val="en-US" w:eastAsia="en-US"/>
              </w:rPr>
              <w:t>23</w:t>
            </w:r>
            <w:r>
              <w:rPr>
                <w:rStyle w:val="IndexLink"/>
                <w:bCs/>
                <w:lang w:val="en-US" w:eastAsia="en-US"/>
              </w:rPr>
              <w:t>条</w:t>
            </w:r>
            <w:r>
              <w:rPr>
                <w:rStyle w:val="IndexLink"/>
                <w:lang w:val="en-US" w:eastAsia="en-US"/>
              </w:rPr>
              <w:tab/>
            </w:r>
            <w:r>
              <w:rPr>
                <w:rStyle w:val="IndexLink"/>
                <w:bCs/>
                <w:lang w:val="en-US" w:eastAsia="en-US"/>
              </w:rPr>
              <w:t>福利待遇</w:t>
            </w:r>
            <w:r>
              <w:rPr>
                <w:rStyle w:val="IndexLink"/>
                <w:lang w:val="en-US" w:eastAsia="en-US"/>
              </w:rPr>
              <w:tab/>
              <w:t>10</w:t>
            </w:r>
          </w:hyperlink>
        </w:p>
        <w:p>
          <w:pPr>
            <w:pStyle w:val="Contents1"/>
            <w:rPr>
              <w:rFonts w:eastAsia="宋体"/>
              <w:sz w:val="21"/>
            </w:rPr>
          </w:pPr>
          <w:hyperlink w:anchor="__RefHeading___Toc216679018">
            <w:r>
              <w:rPr>
                <w:rStyle w:val="IndexLink"/>
                <w:rFonts w:ascii="仿宋_GB2312" w:hAnsi="仿宋_GB2312"/>
              </w:rPr>
              <w:t>第六章</w:t>
            </w:r>
            <w:r>
              <w:rPr>
                <w:rStyle w:val="IndexLink"/>
                <w:rFonts w:ascii="仿宋_GB2312" w:hAnsi="仿宋_GB2312" w:cs="仿宋_GB2312" w:eastAsia="仿宋_GB2312"/>
              </w:rPr>
              <w:t xml:space="preserve">   </w:t>
            </w:r>
            <w:r>
              <w:rPr>
                <w:rStyle w:val="IndexLink"/>
                <w:rFonts w:ascii="仿宋_GB2312" w:hAnsi="仿宋_GB2312"/>
              </w:rPr>
              <w:t>人事管理制度</w:t>
            </w:r>
            <w:r>
              <w:rPr>
                <w:rStyle w:val="IndexLink"/>
              </w:rPr>
              <w:tab/>
              <w:t>10</w:t>
            </w:r>
          </w:hyperlink>
        </w:p>
        <w:p>
          <w:pPr>
            <w:pStyle w:val="Contents2"/>
            <w:rPr>
              <w:lang w:val="en-US" w:eastAsia="en-US"/>
            </w:rPr>
          </w:pPr>
          <w:hyperlink w:anchor="__RefHeading___Toc216679019">
            <w:r>
              <w:rPr>
                <w:rStyle w:val="IndexLink"/>
                <w:bCs/>
                <w:lang w:val="en-US" w:eastAsia="en-US"/>
              </w:rPr>
              <w:t>第</w:t>
            </w:r>
            <w:r>
              <w:rPr>
                <w:rStyle w:val="IndexLink"/>
                <w:bCs/>
                <w:lang w:val="en-US" w:eastAsia="en-US"/>
              </w:rPr>
              <w:t>24</w:t>
            </w:r>
            <w:r>
              <w:rPr>
                <w:rStyle w:val="IndexLink"/>
                <w:bCs/>
                <w:lang w:val="en-US" w:eastAsia="en-US"/>
              </w:rPr>
              <w:t>条</w:t>
            </w:r>
            <w:r>
              <w:rPr>
                <w:rStyle w:val="IndexLink"/>
                <w:lang w:val="en-US" w:eastAsia="en-US"/>
              </w:rPr>
              <w:tab/>
            </w:r>
            <w:r>
              <w:rPr>
                <w:rStyle w:val="IndexLink"/>
                <w:bCs/>
                <w:lang w:val="en-US" w:eastAsia="en-US"/>
              </w:rPr>
              <w:t>录用规定</w:t>
            </w:r>
            <w:r>
              <w:rPr>
                <w:rStyle w:val="IndexLink"/>
                <w:lang w:val="en-US" w:eastAsia="en-US"/>
              </w:rPr>
              <w:tab/>
              <w:t>10</w:t>
            </w:r>
          </w:hyperlink>
        </w:p>
        <w:p>
          <w:pPr>
            <w:pStyle w:val="Contents2"/>
            <w:rPr>
              <w:lang w:val="en-US" w:eastAsia="en-US"/>
            </w:rPr>
          </w:pPr>
          <w:hyperlink w:anchor="__RefHeading___Toc216679020">
            <w:r>
              <w:rPr>
                <w:rStyle w:val="IndexLink"/>
                <w:bCs/>
                <w:lang w:val="en-US" w:eastAsia="en-US"/>
              </w:rPr>
              <w:t>第</w:t>
            </w:r>
            <w:r>
              <w:rPr>
                <w:rStyle w:val="IndexLink"/>
                <w:bCs/>
                <w:lang w:val="en-US" w:eastAsia="en-US"/>
              </w:rPr>
              <w:t>25</w:t>
            </w:r>
            <w:r>
              <w:rPr>
                <w:rStyle w:val="IndexLink"/>
                <w:bCs/>
                <w:lang w:val="en-US" w:eastAsia="en-US"/>
              </w:rPr>
              <w:t>条</w:t>
            </w:r>
            <w:r>
              <w:rPr>
                <w:rStyle w:val="IndexLink"/>
                <w:lang w:val="en-US" w:eastAsia="en-US"/>
              </w:rPr>
              <w:tab/>
            </w:r>
            <w:r>
              <w:rPr>
                <w:rStyle w:val="IndexLink"/>
                <w:bCs/>
                <w:lang w:val="en-US" w:eastAsia="en-US"/>
              </w:rPr>
              <w:t>凡有下列情形者，不得录用：</w:t>
            </w:r>
            <w:r>
              <w:rPr>
                <w:rStyle w:val="IndexLink"/>
                <w:lang w:val="en-US" w:eastAsia="en-US"/>
              </w:rPr>
              <w:tab/>
              <w:t>11</w:t>
            </w:r>
          </w:hyperlink>
        </w:p>
        <w:p>
          <w:pPr>
            <w:pStyle w:val="Contents2"/>
            <w:rPr>
              <w:lang w:val="en-US" w:eastAsia="en-US"/>
            </w:rPr>
          </w:pPr>
          <w:hyperlink w:anchor="__RefHeading___Toc216679021">
            <w:r>
              <w:rPr>
                <w:rStyle w:val="IndexLink"/>
                <w:bCs/>
                <w:lang w:val="en-US" w:eastAsia="en-US"/>
              </w:rPr>
              <w:t>第</w:t>
            </w:r>
            <w:r>
              <w:rPr>
                <w:rStyle w:val="IndexLink"/>
                <w:bCs/>
                <w:lang w:val="en-US" w:eastAsia="en-US"/>
              </w:rPr>
              <w:t>26</w:t>
            </w:r>
            <w:r>
              <w:rPr>
                <w:rStyle w:val="IndexLink"/>
                <w:bCs/>
                <w:lang w:val="en-US" w:eastAsia="en-US"/>
              </w:rPr>
              <w:t>条</w:t>
            </w:r>
            <w:r>
              <w:rPr>
                <w:rStyle w:val="IndexLink"/>
                <w:lang w:val="en-US" w:eastAsia="en-US"/>
              </w:rPr>
              <w:tab/>
            </w:r>
            <w:r>
              <w:rPr>
                <w:rStyle w:val="IndexLink"/>
                <w:bCs/>
                <w:lang w:val="en-US" w:eastAsia="en-US"/>
              </w:rPr>
              <w:t>试用期</w:t>
            </w:r>
            <w:r>
              <w:rPr>
                <w:rStyle w:val="IndexLink"/>
                <w:lang w:val="en-US" w:eastAsia="en-US"/>
              </w:rPr>
              <w:tab/>
              <w:t>11</w:t>
            </w:r>
          </w:hyperlink>
        </w:p>
        <w:p>
          <w:pPr>
            <w:pStyle w:val="Contents2"/>
            <w:rPr>
              <w:lang w:val="en-US" w:eastAsia="en-US"/>
            </w:rPr>
          </w:pPr>
          <w:hyperlink w:anchor="__RefHeading___Toc216679022">
            <w:r>
              <w:rPr>
                <w:rStyle w:val="IndexLink"/>
                <w:bCs/>
                <w:lang w:val="en-US" w:eastAsia="en-US"/>
              </w:rPr>
              <w:t>第</w:t>
            </w:r>
            <w:r>
              <w:rPr>
                <w:rStyle w:val="IndexLink"/>
                <w:bCs/>
                <w:lang w:val="en-US" w:eastAsia="en-US"/>
              </w:rPr>
              <w:t>27</w:t>
            </w:r>
            <w:r>
              <w:rPr>
                <w:rStyle w:val="IndexLink"/>
                <w:bCs/>
                <w:lang w:val="en-US" w:eastAsia="en-US"/>
              </w:rPr>
              <w:t>条</w:t>
            </w:r>
            <w:r>
              <w:rPr>
                <w:rStyle w:val="IndexLink"/>
                <w:lang w:val="en-US" w:eastAsia="en-US"/>
              </w:rPr>
              <w:tab/>
            </w:r>
            <w:r>
              <w:rPr>
                <w:rStyle w:val="IndexLink"/>
                <w:bCs/>
                <w:lang w:val="en-US" w:eastAsia="en-US"/>
              </w:rPr>
              <w:t>干部的任免</w:t>
            </w:r>
            <w:r>
              <w:rPr>
                <w:rStyle w:val="IndexLink"/>
                <w:lang w:val="en-US" w:eastAsia="en-US"/>
              </w:rPr>
              <w:tab/>
              <w:t>11</w:t>
            </w:r>
          </w:hyperlink>
        </w:p>
        <w:p>
          <w:pPr>
            <w:pStyle w:val="Contents2"/>
            <w:rPr>
              <w:lang w:val="en-US" w:eastAsia="en-US"/>
            </w:rPr>
          </w:pPr>
          <w:hyperlink w:anchor="__RefHeading___Toc216679023">
            <w:r>
              <w:rPr>
                <w:rStyle w:val="IndexLink"/>
                <w:bCs/>
                <w:lang w:val="en-US" w:eastAsia="en-US"/>
              </w:rPr>
              <w:t>第</w:t>
            </w:r>
            <w:r>
              <w:rPr>
                <w:rStyle w:val="IndexLink"/>
                <w:bCs/>
                <w:lang w:val="en-US" w:eastAsia="en-US"/>
              </w:rPr>
              <w:t>28</w:t>
            </w:r>
            <w:r>
              <w:rPr>
                <w:rStyle w:val="IndexLink"/>
                <w:bCs/>
                <w:lang w:val="en-US" w:eastAsia="en-US"/>
              </w:rPr>
              <w:t>条</w:t>
            </w:r>
            <w:r>
              <w:rPr>
                <w:rStyle w:val="IndexLink"/>
                <w:lang w:val="en-US" w:eastAsia="en-US"/>
              </w:rPr>
              <w:tab/>
            </w:r>
            <w:r>
              <w:rPr>
                <w:rStyle w:val="IndexLink"/>
                <w:bCs/>
                <w:lang w:val="en-US" w:eastAsia="en-US"/>
              </w:rPr>
              <w:t>工作调动</w:t>
            </w:r>
            <w:r>
              <w:rPr>
                <w:rStyle w:val="IndexLink"/>
                <w:lang w:val="en-US" w:eastAsia="en-US"/>
              </w:rPr>
              <w:tab/>
              <w:t>11</w:t>
            </w:r>
          </w:hyperlink>
        </w:p>
        <w:p>
          <w:pPr>
            <w:pStyle w:val="Contents2"/>
            <w:rPr>
              <w:lang w:val="en-US" w:eastAsia="en-US"/>
            </w:rPr>
          </w:pPr>
          <w:hyperlink w:anchor="__RefHeading___Toc216679024">
            <w:r>
              <w:rPr>
                <w:rStyle w:val="IndexLink"/>
                <w:bCs/>
                <w:lang w:val="en-US" w:eastAsia="en-US"/>
              </w:rPr>
              <w:t>第</w:t>
            </w:r>
            <w:r>
              <w:rPr>
                <w:rStyle w:val="IndexLink"/>
                <w:bCs/>
                <w:lang w:val="en-US" w:eastAsia="en-US"/>
              </w:rPr>
              <w:t>29</w:t>
            </w:r>
            <w:r>
              <w:rPr>
                <w:rStyle w:val="IndexLink"/>
                <w:bCs/>
                <w:lang w:val="en-US" w:eastAsia="en-US"/>
              </w:rPr>
              <w:t>条</w:t>
            </w:r>
            <w:r>
              <w:rPr>
                <w:rStyle w:val="IndexLink"/>
                <w:lang w:val="en-US" w:eastAsia="en-US"/>
              </w:rPr>
              <w:tab/>
            </w:r>
            <w:r>
              <w:rPr>
                <w:rStyle w:val="IndexLink"/>
                <w:bCs/>
                <w:lang w:val="en-US" w:eastAsia="en-US"/>
              </w:rPr>
              <w:t>签订劳动合同</w:t>
            </w:r>
            <w:r>
              <w:rPr>
                <w:rStyle w:val="IndexLink"/>
                <w:lang w:val="en-US" w:eastAsia="en-US"/>
              </w:rPr>
              <w:tab/>
              <w:t>11</w:t>
            </w:r>
          </w:hyperlink>
        </w:p>
        <w:p>
          <w:pPr>
            <w:pStyle w:val="Contents2"/>
            <w:rPr>
              <w:lang w:val="en-US" w:eastAsia="en-US"/>
            </w:rPr>
          </w:pPr>
          <w:hyperlink w:anchor="__RefHeading___Toc216679025">
            <w:r>
              <w:rPr>
                <w:rStyle w:val="IndexLink"/>
                <w:bCs/>
                <w:lang w:val="en-US" w:eastAsia="en-US"/>
              </w:rPr>
              <w:t>第</w:t>
            </w:r>
            <w:r>
              <w:rPr>
                <w:rStyle w:val="IndexLink"/>
                <w:bCs/>
                <w:lang w:val="en-US" w:eastAsia="en-US"/>
              </w:rPr>
              <w:t>30</w:t>
            </w:r>
            <w:r>
              <w:rPr>
                <w:rStyle w:val="IndexLink"/>
                <w:bCs/>
                <w:lang w:val="en-US" w:eastAsia="en-US"/>
              </w:rPr>
              <w:t>条</w:t>
            </w:r>
            <w:r>
              <w:rPr>
                <w:rStyle w:val="IndexLink"/>
                <w:lang w:val="en-US" w:eastAsia="en-US"/>
              </w:rPr>
              <w:tab/>
            </w:r>
            <w:r>
              <w:rPr>
                <w:rStyle w:val="IndexLink"/>
                <w:bCs/>
                <w:lang w:val="en-US" w:eastAsia="en-US"/>
              </w:rPr>
              <w:t>终止劳动合同</w:t>
            </w:r>
            <w:r>
              <w:rPr>
                <w:rStyle w:val="IndexLink"/>
                <w:lang w:val="en-US" w:eastAsia="en-US"/>
              </w:rPr>
              <w:tab/>
              <w:t>11</w:t>
            </w:r>
          </w:hyperlink>
        </w:p>
        <w:p>
          <w:pPr>
            <w:pStyle w:val="Contents2"/>
            <w:rPr>
              <w:lang w:val="en-US" w:eastAsia="en-US"/>
            </w:rPr>
          </w:pPr>
          <w:hyperlink w:anchor="__RefHeading___Toc216679026">
            <w:r>
              <w:rPr>
                <w:rStyle w:val="IndexLink"/>
                <w:bCs/>
                <w:lang w:val="en-US" w:eastAsia="en-US"/>
              </w:rPr>
              <w:t>第</w:t>
            </w:r>
            <w:r>
              <w:rPr>
                <w:rStyle w:val="IndexLink"/>
                <w:bCs/>
                <w:lang w:val="en-US" w:eastAsia="en-US"/>
              </w:rPr>
              <w:t>31</w:t>
            </w:r>
            <w:r>
              <w:rPr>
                <w:rStyle w:val="IndexLink"/>
                <w:bCs/>
                <w:lang w:val="en-US" w:eastAsia="en-US"/>
              </w:rPr>
              <w:t>条</w:t>
            </w:r>
            <w:r>
              <w:rPr>
                <w:rStyle w:val="IndexLink"/>
                <w:lang w:val="en-US" w:eastAsia="en-US"/>
              </w:rPr>
              <w:tab/>
            </w:r>
            <w:r>
              <w:rPr>
                <w:rStyle w:val="IndexLink"/>
                <w:bCs/>
                <w:lang w:val="en-US" w:eastAsia="en-US"/>
              </w:rPr>
              <w:t>解除劳动合同</w:t>
            </w:r>
            <w:r>
              <w:rPr>
                <w:rStyle w:val="IndexLink"/>
                <w:lang w:val="en-US" w:eastAsia="en-US"/>
              </w:rPr>
              <w:tab/>
              <w:t>12</w:t>
            </w:r>
          </w:hyperlink>
        </w:p>
        <w:p>
          <w:pPr>
            <w:pStyle w:val="Contents2"/>
            <w:rPr>
              <w:lang w:val="en-US" w:eastAsia="en-US"/>
            </w:rPr>
          </w:pPr>
          <w:hyperlink w:anchor="__RefHeading___Toc216679027">
            <w:r>
              <w:rPr>
                <w:rStyle w:val="IndexLink"/>
                <w:bCs/>
                <w:lang w:val="en-US" w:eastAsia="en-US"/>
              </w:rPr>
              <w:t>第</w:t>
            </w:r>
            <w:r>
              <w:rPr>
                <w:rStyle w:val="IndexLink"/>
                <w:bCs/>
                <w:lang w:val="en-US" w:eastAsia="en-US"/>
              </w:rPr>
              <w:t>32</w:t>
            </w:r>
            <w:r>
              <w:rPr>
                <w:rStyle w:val="IndexLink"/>
                <w:bCs/>
                <w:lang w:val="en-US" w:eastAsia="en-US"/>
              </w:rPr>
              <w:t>条</w:t>
            </w:r>
            <w:r>
              <w:rPr>
                <w:rStyle w:val="IndexLink"/>
                <w:lang w:val="en-US" w:eastAsia="en-US"/>
              </w:rPr>
              <w:tab/>
            </w:r>
            <w:r>
              <w:rPr>
                <w:rStyle w:val="IndexLink"/>
                <w:bCs/>
                <w:lang w:val="en-US" w:eastAsia="en-US"/>
              </w:rPr>
              <w:t>不能解除劳动合同</w:t>
            </w:r>
            <w:r>
              <w:rPr>
                <w:rStyle w:val="IndexLink"/>
                <w:lang w:val="en-US" w:eastAsia="en-US"/>
              </w:rPr>
              <w:tab/>
              <w:t>13</w:t>
            </w:r>
          </w:hyperlink>
        </w:p>
        <w:p>
          <w:pPr>
            <w:pStyle w:val="Contents2"/>
            <w:rPr>
              <w:lang w:val="en-US" w:eastAsia="en-US"/>
            </w:rPr>
          </w:pPr>
          <w:hyperlink w:anchor="__RefHeading___Toc216679028">
            <w:r>
              <w:rPr>
                <w:rStyle w:val="IndexLink"/>
                <w:bCs/>
                <w:lang w:val="en-US" w:eastAsia="en-US"/>
              </w:rPr>
              <w:t>第</w:t>
            </w:r>
            <w:r>
              <w:rPr>
                <w:rStyle w:val="IndexLink"/>
                <w:bCs/>
                <w:lang w:val="en-US" w:eastAsia="en-US"/>
              </w:rPr>
              <w:t>33</w:t>
            </w:r>
            <w:r>
              <w:rPr>
                <w:rStyle w:val="IndexLink"/>
                <w:bCs/>
                <w:lang w:val="en-US" w:eastAsia="en-US"/>
              </w:rPr>
              <w:t>条</w:t>
            </w:r>
            <w:r>
              <w:rPr>
                <w:rStyle w:val="IndexLink"/>
                <w:lang w:val="en-US" w:eastAsia="en-US"/>
              </w:rPr>
              <w:tab/>
            </w:r>
            <w:r>
              <w:rPr>
                <w:rStyle w:val="IndexLink"/>
                <w:bCs/>
                <w:lang w:val="en-US" w:eastAsia="en-US"/>
              </w:rPr>
              <w:t>员工培训与拓展</w:t>
            </w:r>
            <w:r>
              <w:rPr>
                <w:rStyle w:val="IndexLink"/>
                <w:lang w:val="en-US" w:eastAsia="en-US"/>
              </w:rPr>
              <w:tab/>
              <w:t>13</w:t>
            </w:r>
          </w:hyperlink>
        </w:p>
        <w:p>
          <w:pPr>
            <w:pStyle w:val="Contents2"/>
            <w:rPr>
              <w:lang w:val="en-US" w:eastAsia="en-US"/>
            </w:rPr>
          </w:pPr>
          <w:hyperlink w:anchor="__RefHeading___Toc216679029">
            <w:r>
              <w:rPr>
                <w:rStyle w:val="IndexLink"/>
                <w:bCs/>
                <w:lang w:val="en-US" w:eastAsia="en-US"/>
              </w:rPr>
              <w:t>第</w:t>
            </w:r>
            <w:r>
              <w:rPr>
                <w:rStyle w:val="IndexLink"/>
                <w:bCs/>
                <w:lang w:val="en-US" w:eastAsia="en-US"/>
              </w:rPr>
              <w:t>34</w:t>
            </w:r>
            <w:r>
              <w:rPr>
                <w:rStyle w:val="IndexLink"/>
                <w:bCs/>
                <w:lang w:val="en-US" w:eastAsia="en-US"/>
              </w:rPr>
              <w:t>条</w:t>
            </w:r>
            <w:r>
              <w:rPr>
                <w:rStyle w:val="IndexLink"/>
                <w:lang w:val="en-US" w:eastAsia="en-US"/>
              </w:rPr>
              <w:tab/>
            </w:r>
            <w:r>
              <w:rPr>
                <w:rStyle w:val="IndexLink"/>
                <w:bCs/>
                <w:lang w:val="en-US" w:eastAsia="en-US"/>
              </w:rPr>
              <w:t>绩效考核评估</w:t>
            </w:r>
            <w:r>
              <w:rPr>
                <w:rStyle w:val="IndexLink"/>
                <w:lang w:val="en-US" w:eastAsia="en-US"/>
              </w:rPr>
              <w:tab/>
              <w:t>13</w:t>
            </w:r>
          </w:hyperlink>
        </w:p>
        <w:p>
          <w:pPr>
            <w:pStyle w:val="Contents1"/>
            <w:rPr>
              <w:rFonts w:eastAsia="宋体"/>
              <w:sz w:val="21"/>
            </w:rPr>
          </w:pPr>
          <w:hyperlink w:anchor="__RefHeading___Toc216679030">
            <w:r>
              <w:rPr>
                <w:rStyle w:val="IndexLink"/>
                <w:rFonts w:ascii="仿宋_GB2312" w:hAnsi="仿宋_GB2312"/>
              </w:rPr>
              <w:t>第七章</w:t>
            </w:r>
            <w:r>
              <w:rPr>
                <w:rStyle w:val="IndexLink"/>
                <w:rFonts w:ascii="仿宋_GB2312" w:hAnsi="仿宋_GB2312" w:cs="仿宋_GB2312" w:eastAsia="仿宋_GB2312"/>
              </w:rPr>
              <w:t xml:space="preserve">   </w:t>
            </w:r>
            <w:r>
              <w:rPr>
                <w:rStyle w:val="IndexLink"/>
                <w:rFonts w:ascii="仿宋_GB2312" w:hAnsi="仿宋_GB2312"/>
              </w:rPr>
              <w:t>医疗安全卫生事项</w:t>
            </w:r>
            <w:r>
              <w:rPr>
                <w:rStyle w:val="IndexLink"/>
              </w:rPr>
              <w:tab/>
              <w:t>14</w:t>
            </w:r>
          </w:hyperlink>
        </w:p>
        <w:p>
          <w:pPr>
            <w:pStyle w:val="Contents2"/>
            <w:rPr>
              <w:lang w:val="en-US" w:eastAsia="en-US"/>
            </w:rPr>
          </w:pPr>
          <w:hyperlink w:anchor="__RefHeading___Toc216679031">
            <w:r>
              <w:rPr>
                <w:rStyle w:val="IndexLink"/>
                <w:bCs/>
                <w:lang w:val="en-US" w:eastAsia="en-US"/>
              </w:rPr>
              <w:t>第</w:t>
            </w:r>
            <w:r>
              <w:rPr>
                <w:rStyle w:val="IndexLink"/>
                <w:bCs/>
                <w:lang w:val="en-US" w:eastAsia="en-US"/>
              </w:rPr>
              <w:t>35</w:t>
            </w:r>
            <w:r>
              <w:rPr>
                <w:rStyle w:val="IndexLink"/>
                <w:bCs/>
                <w:lang w:val="en-US" w:eastAsia="en-US"/>
              </w:rPr>
              <w:t>条</w:t>
            </w:r>
            <w:r>
              <w:rPr>
                <w:rStyle w:val="IndexLink"/>
                <w:lang w:val="en-US" w:eastAsia="en-US"/>
              </w:rPr>
              <w:tab/>
            </w:r>
            <w:r>
              <w:rPr>
                <w:rStyle w:val="IndexLink"/>
                <w:bCs/>
                <w:lang w:val="en-US" w:eastAsia="en-US"/>
              </w:rPr>
              <w:t>医疗</w:t>
            </w:r>
            <w:r>
              <w:rPr>
                <w:rStyle w:val="IndexLink"/>
                <w:lang w:val="en-US" w:eastAsia="en-US"/>
              </w:rPr>
              <w:tab/>
              <w:t>14</w:t>
            </w:r>
          </w:hyperlink>
        </w:p>
        <w:p>
          <w:pPr>
            <w:pStyle w:val="Contents2"/>
            <w:rPr>
              <w:lang w:val="en-US" w:eastAsia="en-US"/>
            </w:rPr>
          </w:pPr>
          <w:hyperlink w:anchor="__RefHeading___Toc216679032">
            <w:r>
              <w:rPr>
                <w:rStyle w:val="IndexLink"/>
                <w:bCs/>
                <w:lang w:val="en-US" w:eastAsia="en-US"/>
              </w:rPr>
              <w:t>第</w:t>
            </w:r>
            <w:r>
              <w:rPr>
                <w:rStyle w:val="IndexLink"/>
                <w:bCs/>
                <w:lang w:val="en-US" w:eastAsia="en-US"/>
              </w:rPr>
              <w:t>36</w:t>
            </w:r>
            <w:r>
              <w:rPr>
                <w:rStyle w:val="IndexLink"/>
                <w:bCs/>
                <w:lang w:val="en-US" w:eastAsia="en-US"/>
              </w:rPr>
              <w:t>条</w:t>
            </w:r>
            <w:r>
              <w:rPr>
                <w:rStyle w:val="IndexLink"/>
                <w:lang w:val="en-US" w:eastAsia="en-US"/>
              </w:rPr>
              <w:tab/>
            </w:r>
            <w:r>
              <w:rPr>
                <w:rStyle w:val="IndexLink"/>
                <w:bCs/>
                <w:lang w:val="en-US" w:eastAsia="en-US"/>
              </w:rPr>
              <w:t>安全、防火</w:t>
            </w:r>
            <w:r>
              <w:rPr>
                <w:rStyle w:val="IndexLink"/>
                <w:lang w:val="en-US" w:eastAsia="en-US"/>
              </w:rPr>
              <w:tab/>
              <w:t>14</w:t>
            </w:r>
          </w:hyperlink>
        </w:p>
        <w:p>
          <w:pPr>
            <w:pStyle w:val="Contents2"/>
            <w:rPr>
              <w:lang w:val="en-US" w:eastAsia="en-US"/>
            </w:rPr>
          </w:pPr>
          <w:hyperlink w:anchor="__RefHeading___Toc216679033">
            <w:r>
              <w:rPr>
                <w:rStyle w:val="IndexLink"/>
                <w:bCs/>
                <w:lang w:val="en-US" w:eastAsia="en-US"/>
              </w:rPr>
              <w:t>第</w:t>
            </w:r>
            <w:r>
              <w:rPr>
                <w:rStyle w:val="IndexLink"/>
                <w:bCs/>
                <w:lang w:val="en-US" w:eastAsia="en-US"/>
              </w:rPr>
              <w:t>37</w:t>
            </w:r>
            <w:r>
              <w:rPr>
                <w:rStyle w:val="IndexLink"/>
                <w:bCs/>
                <w:lang w:val="en-US" w:eastAsia="en-US"/>
              </w:rPr>
              <w:t>条</w:t>
            </w:r>
            <w:r>
              <w:rPr>
                <w:rStyle w:val="IndexLink"/>
                <w:lang w:val="en-US" w:eastAsia="en-US"/>
              </w:rPr>
              <w:tab/>
            </w:r>
            <w:r>
              <w:rPr>
                <w:rStyle w:val="IndexLink"/>
                <w:bCs/>
                <w:lang w:val="en-US" w:eastAsia="en-US"/>
              </w:rPr>
              <w:t>健康检查</w:t>
            </w:r>
            <w:r>
              <w:rPr>
                <w:rStyle w:val="IndexLink"/>
                <w:lang w:val="en-US" w:eastAsia="en-US"/>
              </w:rPr>
              <w:tab/>
              <w:t>14</w:t>
            </w:r>
          </w:hyperlink>
        </w:p>
        <w:p>
          <w:pPr>
            <w:pStyle w:val="Contents2"/>
            <w:rPr>
              <w:lang w:val="en-US" w:eastAsia="en-US"/>
            </w:rPr>
          </w:pPr>
          <w:hyperlink w:anchor="__RefHeading___Toc216679034">
            <w:r>
              <w:rPr>
                <w:rStyle w:val="IndexLink"/>
                <w:bCs/>
                <w:lang w:val="en-US" w:eastAsia="en-US"/>
              </w:rPr>
              <w:t>第</w:t>
            </w:r>
            <w:r>
              <w:rPr>
                <w:rStyle w:val="IndexLink"/>
                <w:bCs/>
                <w:lang w:val="en-US" w:eastAsia="en-US"/>
              </w:rPr>
              <w:t>38</w:t>
            </w:r>
            <w:r>
              <w:rPr>
                <w:rStyle w:val="IndexLink"/>
                <w:bCs/>
                <w:lang w:val="en-US" w:eastAsia="en-US"/>
              </w:rPr>
              <w:t>条</w:t>
            </w:r>
            <w:r>
              <w:rPr>
                <w:rStyle w:val="IndexLink"/>
                <w:lang w:val="en-US" w:eastAsia="en-US"/>
              </w:rPr>
              <w:tab/>
            </w:r>
            <w:r>
              <w:rPr>
                <w:rStyle w:val="IndexLink"/>
                <w:bCs/>
                <w:lang w:val="en-US" w:eastAsia="en-US"/>
              </w:rPr>
              <w:t>传染病申报</w:t>
            </w:r>
            <w:r>
              <w:rPr>
                <w:rStyle w:val="IndexLink"/>
                <w:lang w:val="en-US" w:eastAsia="en-US"/>
              </w:rPr>
              <w:tab/>
              <w:t>14</w:t>
            </w:r>
          </w:hyperlink>
        </w:p>
        <w:p>
          <w:pPr>
            <w:pStyle w:val="Contents2"/>
            <w:rPr>
              <w:lang w:val="en-US" w:eastAsia="en-US"/>
            </w:rPr>
          </w:pPr>
          <w:hyperlink w:anchor="__RefHeading___Toc216679035">
            <w:r>
              <w:rPr>
                <w:rStyle w:val="IndexLink"/>
                <w:bCs/>
                <w:lang w:val="en-US" w:eastAsia="en-US"/>
              </w:rPr>
              <w:t>第</w:t>
            </w:r>
            <w:r>
              <w:rPr>
                <w:rStyle w:val="IndexLink"/>
                <w:bCs/>
                <w:lang w:val="en-US" w:eastAsia="en-US"/>
              </w:rPr>
              <w:t>39</w:t>
            </w:r>
            <w:r>
              <w:rPr>
                <w:rStyle w:val="IndexLink"/>
                <w:bCs/>
                <w:lang w:val="en-US" w:eastAsia="en-US"/>
              </w:rPr>
              <w:t>条</w:t>
            </w:r>
            <w:r>
              <w:rPr>
                <w:rStyle w:val="IndexLink"/>
                <w:lang w:val="en-US" w:eastAsia="en-US"/>
              </w:rPr>
              <w:tab/>
            </w:r>
            <w:r>
              <w:rPr>
                <w:rStyle w:val="IndexLink"/>
                <w:bCs/>
                <w:lang w:val="en-US" w:eastAsia="en-US"/>
              </w:rPr>
              <w:t>公共卫生</w:t>
            </w:r>
            <w:r>
              <w:rPr>
                <w:rStyle w:val="IndexLink"/>
                <w:lang w:val="en-US" w:eastAsia="en-US"/>
              </w:rPr>
              <w:tab/>
              <w:t>14</w:t>
            </w:r>
          </w:hyperlink>
        </w:p>
        <w:p>
          <w:pPr>
            <w:pStyle w:val="Contents1"/>
            <w:rPr>
              <w:rFonts w:eastAsia="宋体"/>
              <w:sz w:val="21"/>
            </w:rPr>
          </w:pPr>
          <w:hyperlink w:anchor="__RefHeading___Toc216679036">
            <w:r>
              <w:rPr>
                <w:rStyle w:val="IndexLink"/>
                <w:rFonts w:ascii="仿宋_GB2312" w:hAnsi="仿宋_GB2312"/>
              </w:rPr>
              <w:t>第八章</w:t>
            </w:r>
            <w:r>
              <w:rPr>
                <w:rStyle w:val="IndexLink"/>
                <w:rFonts w:ascii="仿宋_GB2312" w:hAnsi="仿宋_GB2312" w:cs="仿宋_GB2312" w:eastAsia="仿宋_GB2312"/>
              </w:rPr>
              <w:t xml:space="preserve">  </w:t>
            </w:r>
            <w:r>
              <w:rPr>
                <w:rStyle w:val="IndexLink"/>
                <w:rFonts w:ascii="仿宋_GB2312" w:hAnsi="仿宋_GB2312"/>
              </w:rPr>
              <w:t>附则</w:t>
            </w:r>
            <w:r>
              <w:rPr>
                <w:rStyle w:val="IndexLink"/>
              </w:rPr>
              <w:tab/>
              <w:t>14</w:t>
            </w:r>
          </w:hyperlink>
          <w:r>
            <w:rPr>
              <w:rStyle w:val="IndexLink"/>
            </w:rPr>
            <w:fldChar w:fldCharType="end"/>
          </w:r>
        </w:p>
      </w:sdtContent>
    </w:sdt>
    <w:p>
      <w:pPr>
        <w:pStyle w:val="Normal"/>
        <w:numPr>
          <w:ilvl w:val="0"/>
          <w:numId w:val="0"/>
        </w:numPr>
        <w:spacing w:lineRule="exact" w:line="260"/>
        <w:outlineLvl w:val="0"/>
        <w:rPr>
          <w:rFonts w:eastAsia="黑体"/>
          <w:color w:val="0000FF"/>
          <w:sz w:val="24"/>
          <w:szCs w:val="21"/>
          <w:lang w:val="en-US" w:eastAsia="en-US"/>
        </w:rPr>
      </w:pPr>
      <w:r>
        <w:rPr>
          <w:rFonts w:eastAsia="黑体" w:ascii="SimHei" w:hAnsi="SimHei"/>
          <w:color w:val="0000FF"/>
          <w:sz w:val="24"/>
          <w:szCs w:val="21"/>
          <w:lang w:val="en-US" w:eastAsia="en-US"/>
        </w:rPr>
      </w:r>
      <w:r>
        <w:rPr>
          <w:rFonts w:ascii="SimHei" w:hAnsi="SimHei" w:eastAsia="黑体"/>
        </w:rPr>
      </w:r>
    </w:p>
    <w:p>
      <w:pPr>
        <w:pStyle w:val="Normal"/>
        <w:numPr>
          <w:ilvl w:val="0"/>
          <w:numId w:val="0"/>
        </w:numPr>
        <w:spacing w:lineRule="exact" w:line="260"/>
        <w:outlineLvl w:val="0"/>
        <w:rPr>
          <w:color w:val="0000FF"/>
          <w:sz w:val="24"/>
          <w:szCs w:val="21"/>
        </w:rPr>
      </w:pPr>
      <w:r>
        <w:rPr>
          <w:rFonts w:ascii="SimHei" w:hAnsi="SimHei" w:eastAsia="黑体"/>
          <w:color w:val="0000FF"/>
          <w:sz w:val="24"/>
          <w:szCs w:val="21"/>
        </w:rPr>
      </w:r>
    </w:p>
    <w:p>
      <w:pPr>
        <w:pStyle w:val="Normal"/>
        <w:numPr>
          <w:ilvl w:val="0"/>
          <w:numId w:val="12"/>
        </w:numPr>
        <w:jc w:val="center"/>
        <w:outlineLvl w:val="0"/>
        <w:rPr>
          <w:rFonts w:eastAsia="黑体"/>
          <w:sz w:val="30"/>
        </w:rPr>
      </w:pPr>
      <w:bookmarkStart w:id="4" w:name="__RefHeading___Toc216678990"/>
      <w:bookmarkEnd w:id="4"/>
      <w:r>
        <w:rPr>
          <w:rFonts w:eastAsia="黑体" w:ascii="SimHei" w:hAnsi="SimHei"/>
          <w:sz w:val="30"/>
        </w:rPr>
        <w:t>总</w:t>
      </w:r>
      <w:r>
        <w:rPr>
          <w:rFonts w:eastAsia="黑体" w:ascii="SimHei" w:hAnsi="SimHei"/>
          <w:sz w:val="30"/>
        </w:rPr>
        <w:t xml:space="preserve">   </w:t>
      </w:r>
      <w:r>
        <w:rPr>
          <w:rFonts w:eastAsia="黑体" w:ascii="SimHei" w:hAnsi="SimHei"/>
          <w:sz w:val="30"/>
        </w:rPr>
        <w:t>则</w:t>
      </w:r>
    </w:p>
    <w:p>
      <w:pPr>
        <w:pStyle w:val="Normal"/>
        <w:numPr>
          <w:ilvl w:val="0"/>
          <w:numId w:val="24"/>
        </w:numPr>
        <w:spacing w:lineRule="exact" w:line="360"/>
        <w:outlineLvl w:val="1"/>
        <w:rPr>
          <w:b/>
          <w:b/>
          <w:bCs/>
          <w:szCs w:val="21"/>
        </w:rPr>
      </w:pPr>
      <w:bookmarkStart w:id="5" w:name="__RefHeading___Toc216678991"/>
      <w:bookmarkEnd w:id="5"/>
      <w:r>
        <w:rPr>
          <w:rFonts w:ascii="SimHei" w:hAnsi="SimHei" w:eastAsia="黑体"/>
          <w:b/>
          <w:bCs/>
          <w:szCs w:val="21"/>
        </w:rPr>
        <w:t>目的</w:t>
      </w:r>
    </w:p>
    <w:p>
      <w:pPr>
        <w:pStyle w:val="Normal"/>
        <w:spacing w:lineRule="exact" w:line="360"/>
        <w:ind w:firstLine="420"/>
        <w:rPr>
          <w:b/>
          <w:b/>
          <w:bCs/>
          <w:szCs w:val="21"/>
        </w:rPr>
      </w:pPr>
      <w:r>
        <w:rPr>
          <w:rFonts w:ascii="SimHei" w:hAnsi="SimHei" w:eastAsia="黑体"/>
          <w:szCs w:val="21"/>
        </w:rPr>
        <w:t>为使公司的生产、科研、运营工作得以正常运作，规范员工行为，提高全员素质，以满足企业管理的各项要求，依照国家有关法律、法规，结合公司的经营理念和具体情况，特制定本手册。</w:t>
      </w:r>
    </w:p>
    <w:p>
      <w:pPr>
        <w:pStyle w:val="Normal"/>
        <w:numPr>
          <w:ilvl w:val="0"/>
          <w:numId w:val="24"/>
        </w:numPr>
        <w:spacing w:lineRule="exact" w:line="360"/>
        <w:outlineLvl w:val="1"/>
        <w:rPr>
          <w:b/>
          <w:b/>
          <w:bCs/>
          <w:szCs w:val="21"/>
        </w:rPr>
      </w:pPr>
      <w:bookmarkStart w:id="6" w:name="__RefHeading___Toc216678992"/>
      <w:bookmarkEnd w:id="6"/>
      <w:r>
        <w:rPr>
          <w:rFonts w:ascii="SimHei" w:hAnsi="SimHei" w:eastAsia="黑体"/>
          <w:b/>
          <w:bCs/>
          <w:szCs w:val="21"/>
        </w:rPr>
        <w:t>适用范围</w:t>
      </w:r>
    </w:p>
    <w:p>
      <w:pPr>
        <w:pStyle w:val="Normal"/>
        <w:numPr>
          <w:ilvl w:val="0"/>
          <w:numId w:val="18"/>
        </w:numPr>
        <w:tabs>
          <w:tab w:val="clear" w:pos="420"/>
          <w:tab w:val="left" w:pos="-1320" w:leader="none"/>
          <w:tab w:val="left" w:pos="900" w:leader="none"/>
        </w:tabs>
        <w:spacing w:lineRule="exact" w:line="360"/>
        <w:ind w:start="900" w:hanging="480"/>
        <w:rPr>
          <w:szCs w:val="21"/>
        </w:rPr>
      </w:pPr>
      <w:r>
        <w:rPr>
          <w:rFonts w:ascii="SimHei" w:hAnsi="SimHei" w:eastAsia="黑体"/>
          <w:szCs w:val="21"/>
        </w:rPr>
        <w:t>本手册所称员工，是指本公司聘用的全体从业人员。</w:t>
      </w:r>
    </w:p>
    <w:p>
      <w:pPr>
        <w:pStyle w:val="Normal"/>
        <w:numPr>
          <w:ilvl w:val="0"/>
          <w:numId w:val="18"/>
        </w:numPr>
        <w:tabs>
          <w:tab w:val="clear" w:pos="420"/>
          <w:tab w:val="left" w:pos="-1320" w:leader="none"/>
          <w:tab w:val="left" w:pos="900" w:leader="none"/>
        </w:tabs>
        <w:spacing w:lineRule="exact" w:line="360"/>
        <w:ind w:start="900" w:hanging="480"/>
        <w:rPr>
          <w:szCs w:val="21"/>
        </w:rPr>
      </w:pPr>
      <w:r>
        <w:rPr>
          <w:rFonts w:ascii="SimHei" w:hAnsi="SimHei" w:eastAsia="黑体"/>
          <w:szCs w:val="21"/>
        </w:rPr>
        <w:t>对于试用期和实习人员的管理与本公司聘用的从业人员一致，按本手册执行。</w:t>
      </w:r>
    </w:p>
    <w:p>
      <w:pPr>
        <w:pStyle w:val="Normal"/>
        <w:numPr>
          <w:ilvl w:val="0"/>
          <w:numId w:val="18"/>
        </w:numPr>
        <w:tabs>
          <w:tab w:val="clear" w:pos="420"/>
          <w:tab w:val="left" w:pos="-1320" w:leader="none"/>
          <w:tab w:val="left" w:pos="900" w:leader="none"/>
        </w:tabs>
        <w:spacing w:lineRule="exact" w:line="360"/>
        <w:ind w:start="900" w:hanging="480"/>
        <w:rPr>
          <w:szCs w:val="21"/>
        </w:rPr>
      </w:pPr>
      <w:r>
        <w:rPr>
          <w:rFonts w:ascii="SimHei" w:hAnsi="SimHei" w:eastAsia="黑体"/>
          <w:szCs w:val="21"/>
        </w:rPr>
        <w:t>如因有临时性、短期性、季节性或特定性工作，而聘用的临时员工，其管理依照签订的协议或参照本手册执行。</w:t>
      </w:r>
    </w:p>
    <w:p>
      <w:pPr>
        <w:pStyle w:val="Normal"/>
        <w:numPr>
          <w:ilvl w:val="0"/>
          <w:numId w:val="12"/>
        </w:numPr>
        <w:jc w:val="center"/>
        <w:outlineLvl w:val="0"/>
        <w:rPr>
          <w:rFonts w:eastAsia="黑体"/>
          <w:sz w:val="30"/>
        </w:rPr>
      </w:pPr>
      <w:bookmarkStart w:id="7" w:name="__RefHeading___Toc216678993"/>
      <w:bookmarkEnd w:id="7"/>
      <w:r>
        <w:rPr>
          <w:rFonts w:eastAsia="黑体" w:ascii="SimHei" w:hAnsi="SimHei"/>
          <w:sz w:val="30"/>
        </w:rPr>
        <w:t>公司介绍</w:t>
      </w:r>
    </w:p>
    <w:p>
      <w:pPr>
        <w:pStyle w:val="Normal"/>
        <w:numPr>
          <w:ilvl w:val="0"/>
          <w:numId w:val="24"/>
        </w:numPr>
        <w:spacing w:lineRule="exact" w:line="360"/>
        <w:outlineLvl w:val="1"/>
        <w:rPr>
          <w:b/>
          <w:b/>
          <w:bCs/>
          <w:szCs w:val="21"/>
        </w:rPr>
      </w:pPr>
      <w:bookmarkStart w:id="8" w:name="__RefHeading___Toc216678994"/>
      <w:bookmarkEnd w:id="8"/>
      <w:r>
        <w:rPr>
          <w:rFonts w:ascii="SimHei" w:hAnsi="SimHei" w:eastAsia="黑体"/>
          <w:b/>
          <w:bCs/>
          <w:szCs w:val="21"/>
        </w:rPr>
        <w:t>基本情况</w:t>
      </w:r>
    </w:p>
    <w:p>
      <w:pPr>
        <w:pStyle w:val="TextBodyIndent"/>
        <w:spacing w:lineRule="exact" w:line="360"/>
        <w:ind w:firstLine="420"/>
        <w:rPr>
          <w:color w:val="000000"/>
          <w:szCs w:val="21"/>
        </w:rPr>
      </w:pPr>
      <w:r>
        <w:rPr>
          <w:rFonts w:eastAsia="黑体" w:ascii="SimHei" w:hAnsi="SimHei"/>
          <w:color w:val="000000"/>
          <w:szCs w:val="21"/>
        </w:rPr>
        <w:t xml:space="preserve"> </w:t>
      </w:r>
      <w:r>
        <w:rPr>
          <w:rFonts w:ascii="SimHei" w:hAnsi="SimHei" w:eastAsia="黑体"/>
          <w:color w:val="000000"/>
          <w:szCs w:val="21"/>
        </w:rPr>
        <w:t>是一家专注于热敏电阻器、高性能陶瓷材料以及相关元器件研发和生产的高科技企业。公司凝聚了一批热心陶瓷材料和器件设计研发的工程技术人员。公司产品主要为热敏电阻器、陶瓷介质基片等陶瓷材料和元器件，广泛应用于家用电器、电池保护、光通讯领域。公司逐步建立起一套严格的产品质量管理标准体系及规范的现代化企业管理制度。</w:t>
      </w:r>
    </w:p>
    <w:p>
      <w:pPr>
        <w:pStyle w:val="TextBodyIndent"/>
        <w:spacing w:lineRule="exact" w:line="360"/>
        <w:ind w:firstLine="420"/>
        <w:rPr>
          <w:szCs w:val="21"/>
        </w:rPr>
      </w:pPr>
      <w:r>
        <w:rPr>
          <w:rFonts w:ascii="SimHei" w:hAnsi="SimHei" w:eastAsia="黑体"/>
          <w:szCs w:val="21"/>
        </w:rPr>
        <w:t>我们的目标：</w:t>
      </w:r>
      <w:r>
        <w:rPr>
          <w:rFonts w:ascii="SimHei" w:hAnsi="SimHei" w:eastAsia="黑体"/>
          <w:color w:val="FF0000"/>
          <w:szCs w:val="21"/>
        </w:rPr>
        <w:t>打造具有世界影响力的专业元器件高科技企业</w:t>
      </w:r>
    </w:p>
    <w:p>
      <w:pPr>
        <w:pStyle w:val="Normal"/>
        <w:numPr>
          <w:ilvl w:val="0"/>
          <w:numId w:val="24"/>
        </w:numPr>
        <w:spacing w:lineRule="exact" w:line="360"/>
        <w:outlineLvl w:val="1"/>
        <w:rPr>
          <w:b/>
          <w:b/>
          <w:bCs/>
          <w:szCs w:val="21"/>
        </w:rPr>
      </w:pPr>
      <w:bookmarkStart w:id="9" w:name="__RefHeading___Toc216678995"/>
      <w:bookmarkEnd w:id="9"/>
      <w:r>
        <w:rPr>
          <w:rFonts w:ascii="SimHei" w:hAnsi="SimHei" w:eastAsia="黑体"/>
          <w:b/>
          <w:bCs/>
          <w:szCs w:val="21"/>
        </w:rPr>
        <w:t>企业文化</w:t>
      </w:r>
    </w:p>
    <w:p>
      <w:pPr>
        <w:pStyle w:val="Normal"/>
        <w:numPr>
          <w:ilvl w:val="0"/>
          <w:numId w:val="28"/>
        </w:numPr>
        <w:spacing w:lineRule="exact" w:line="360"/>
        <w:rPr>
          <w:rFonts w:ascii="黑体" w:hAnsi="黑体" w:eastAsia="黑体"/>
          <w:color w:val="FF0000"/>
          <w:szCs w:val="21"/>
        </w:rPr>
      </w:pPr>
      <w:r>
        <w:rPr>
          <w:rFonts w:ascii="SimHei" w:hAnsi="SimHei" w:eastAsia="黑体"/>
          <w:bCs/>
          <w:color w:val="FF0000"/>
          <w:szCs w:val="21"/>
        </w:rPr>
        <w:t>经营理念</w:t>
      </w:r>
      <w:r>
        <w:rPr>
          <w:rFonts w:ascii="SimHei" w:hAnsi="SimHei" w:eastAsia="黑体"/>
          <w:color w:val="FF0000"/>
          <w:szCs w:val="21"/>
        </w:rPr>
        <w:t xml:space="preserve">：生存 发展 奉献 </w:t>
      </w:r>
    </w:p>
    <w:p>
      <w:pPr>
        <w:pStyle w:val="Normal"/>
        <w:numPr>
          <w:ilvl w:val="0"/>
          <w:numId w:val="28"/>
        </w:numPr>
        <w:spacing w:lineRule="exact" w:line="360"/>
        <w:rPr>
          <w:rFonts w:ascii="黑体" w:hAnsi="黑体" w:eastAsia="黑体"/>
          <w:color w:val="FF0000"/>
          <w:szCs w:val="21"/>
        </w:rPr>
      </w:pPr>
      <w:r>
        <w:rPr>
          <w:rFonts w:ascii="SimHei" w:hAnsi="SimHei" w:eastAsia="黑体"/>
          <w:bCs/>
          <w:color w:val="FF0000"/>
          <w:szCs w:val="21"/>
        </w:rPr>
        <w:t>发展目标</w:t>
      </w:r>
      <w:r>
        <w:rPr>
          <w:rFonts w:ascii="SimHei" w:hAnsi="SimHei" w:eastAsia="黑体"/>
          <w:color w:val="FF0000"/>
          <w:szCs w:val="21"/>
        </w:rPr>
        <w:t>：打造具有世界影响力的专业元器件高科技企业</w:t>
      </w:r>
    </w:p>
    <w:p>
      <w:pPr>
        <w:pStyle w:val="Normal"/>
        <w:numPr>
          <w:ilvl w:val="0"/>
          <w:numId w:val="28"/>
        </w:numPr>
        <w:spacing w:lineRule="exact" w:line="360"/>
        <w:rPr>
          <w:rFonts w:ascii="黑体" w:hAnsi="黑体" w:eastAsia="黑体"/>
          <w:color w:val="FF0000"/>
          <w:szCs w:val="21"/>
        </w:rPr>
      </w:pPr>
      <w:r>
        <w:rPr>
          <w:rFonts w:ascii="SimHei" w:hAnsi="SimHei" w:eastAsia="黑体"/>
          <w:bCs/>
          <w:color w:val="FF0000"/>
          <w:szCs w:val="21"/>
        </w:rPr>
        <w:t>公司价值观</w:t>
      </w:r>
      <w:r>
        <w:rPr>
          <w:rFonts w:ascii="SimHei" w:hAnsi="SimHei" w:eastAsia="黑体"/>
          <w:color w:val="FF0000"/>
          <w:szCs w:val="21"/>
        </w:rPr>
        <w:t>：</w:t>
      </w:r>
      <w:r>
        <w:rPr>
          <w:rFonts w:ascii="SimHei" w:hAnsi="SimHei" w:cs="黑体" w:eastAsia="黑体"/>
          <w:color w:val="FF0000"/>
          <w:szCs w:val="21"/>
        </w:rPr>
        <w:t>专注品质、惠己及人</w:t>
      </w:r>
    </w:p>
    <w:p>
      <w:pPr>
        <w:pStyle w:val="Normal"/>
        <w:numPr>
          <w:ilvl w:val="0"/>
          <w:numId w:val="28"/>
        </w:numPr>
        <w:spacing w:lineRule="exact" w:line="360"/>
        <w:rPr>
          <w:rFonts w:ascii="黑体" w:hAnsi="黑体" w:eastAsia="黑体"/>
          <w:color w:val="FF0000"/>
          <w:szCs w:val="21"/>
        </w:rPr>
      </w:pPr>
      <w:r>
        <w:rPr>
          <w:rFonts w:ascii="SimHei" w:hAnsi="SimHei" w:eastAsia="黑体"/>
          <w:bCs/>
          <w:color w:val="FF0000"/>
          <w:szCs w:val="21"/>
        </w:rPr>
        <w:t>行动准则</w:t>
      </w:r>
      <w:r>
        <w:rPr>
          <w:rFonts w:ascii="SimHei" w:hAnsi="SimHei" w:eastAsia="黑体"/>
          <w:color w:val="FF0000"/>
          <w:szCs w:val="21"/>
        </w:rPr>
        <w:t xml:space="preserve">：安全高效 持续改善 </w:t>
      </w:r>
    </w:p>
    <w:p>
      <w:pPr>
        <w:pStyle w:val="Normal"/>
        <w:numPr>
          <w:ilvl w:val="0"/>
          <w:numId w:val="24"/>
        </w:numPr>
        <w:spacing w:lineRule="exact" w:line="360"/>
        <w:outlineLvl w:val="1"/>
        <w:rPr>
          <w:b/>
          <w:b/>
          <w:bCs/>
          <w:szCs w:val="21"/>
        </w:rPr>
      </w:pPr>
      <w:bookmarkStart w:id="10" w:name="__RefHeading___Toc216678996"/>
      <w:bookmarkEnd w:id="10"/>
      <w:r>
        <w:rPr>
          <w:rFonts w:ascii="SimHei" w:hAnsi="SimHei" w:eastAsia="黑体"/>
          <w:b/>
          <w:bCs/>
          <w:szCs w:val="21"/>
        </w:rPr>
        <w:t>组织结构</w:t>
      </w:r>
    </w:p>
    <w:p>
      <w:pPr>
        <w:pStyle w:val="Normal"/>
        <w:spacing w:lineRule="exact" w:line="360"/>
        <w:ind w:firstLine="556"/>
        <w:rPr>
          <w:szCs w:val="21"/>
        </w:rPr>
      </w:pPr>
      <w:r>
        <w:rPr>
          <w:rFonts w:ascii="SimHei" w:hAnsi="SimHei" w:eastAsia="黑体"/>
          <w:szCs w:val="21"/>
        </w:rPr>
        <w:t>公司实行董事会领导下的总经理负责制，董事会负责公司发展战略的制定和企业中长期规划，总经理负责执行董事会的决议和企业日常运营工作。</w:t>
      </w:r>
    </w:p>
    <w:p>
      <w:pPr>
        <w:pStyle w:val="Normal"/>
        <w:spacing w:lineRule="exact" w:line="360"/>
        <w:ind w:firstLine="556"/>
        <w:rPr>
          <w:szCs w:val="21"/>
        </w:rPr>
      </w:pPr>
      <w:r>
        <w:rPr>
          <w:rFonts w:ascii="SimHei" w:hAnsi="SimHei" w:eastAsia="黑体"/>
          <w:szCs w:val="21"/>
        </w:rPr>
        <w:t>公司目前下设管理部、生产部、品保部、技术部等四个部门。</w:t>
      </w:r>
    </w:p>
    <w:p>
      <w:pPr>
        <w:pStyle w:val="Normal"/>
        <w:spacing w:lineRule="exact" w:line="360"/>
        <w:ind w:firstLine="556"/>
        <w:rPr>
          <w:szCs w:val="21"/>
        </w:rPr>
      </w:pPr>
      <w:r>
        <w:rPr>
          <w:rFonts w:ascii="SimHei" w:hAnsi="SimHei" w:eastAsia="黑体"/>
          <w:szCs w:val="21"/>
        </w:rPr>
        <w:t>公司组织架构图：</w:t>
      </w:r>
    </w:p>
    <w:p>
      <w:pPr>
        <w:pStyle w:val="Normal"/>
        <w:spacing w:lineRule="auto" w:line="360" w:before="156" w:after="0"/>
        <w:jc w:val="center"/>
        <w:rPr>
          <w:rFonts w:ascii="隶书;微软雅黑" w:hAnsi="隶书;微软雅黑" w:eastAsia="隶书;微软雅黑"/>
          <w:color w:val="333333"/>
          <w:sz w:val="36"/>
          <w:szCs w:val="36"/>
          <w:lang w:val="en-US" w:eastAsia="en-US"/>
        </w:rPr>
      </w:pPr>
      <w:r>
        <w:rPr>
          <w:rFonts w:eastAsia="黑体" w:ascii="SimHei" w:hAnsi="SimHei"/>
          <w:color w:val="333333"/>
          <w:sz w:val="36"/>
          <w:szCs w:val="36"/>
          <w:lang w:val="en-US" w:eastAsia="en-US"/>
        </w:rPr>
      </w:r>
      <w:r>
        <w:rPr>
          <w:rFonts w:ascii="SimHei" w:hAnsi="SimHei" w:eastAsia="黑体"/>
        </w:rPr>
      </w:r>
    </w:p>
    <w:p>
      <w:pPr>
        <w:pStyle w:val="Normal"/>
        <w:spacing w:lineRule="auto" w:line="360" w:before="156" w:after="0"/>
        <w:rPr>
          <w:rFonts w:ascii="隶书;微软雅黑" w:hAnsi="隶书;微软雅黑" w:eastAsia="隶书;微软雅黑"/>
          <w:color w:val="333333"/>
          <w:sz w:val="36"/>
          <w:szCs w:val="21"/>
        </w:rPr>
      </w:pPr>
      <w:r>
        <w:rPr>
          <w:rFonts w:eastAsia="黑体" w:ascii="SimHei" w:hAnsi="SimHei"/>
          <w:color w:val="333333"/>
          <w:sz w:val="36"/>
          <w:szCs w:val="21"/>
        </w:rPr>
      </w:r>
    </w:p>
    <w:p>
      <w:pPr>
        <w:pStyle w:val="Normal"/>
        <w:numPr>
          <w:ilvl w:val="0"/>
          <w:numId w:val="12"/>
        </w:numPr>
        <w:jc w:val="center"/>
        <w:outlineLvl w:val="0"/>
        <w:rPr>
          <w:rFonts w:eastAsia="黑体"/>
          <w:sz w:val="30"/>
        </w:rPr>
      </w:pPr>
      <w:bookmarkStart w:id="11" w:name="__RefHeading___Toc216678997"/>
      <w:bookmarkEnd w:id="11"/>
      <w:r>
        <w:rPr>
          <w:rFonts w:eastAsia="黑体" w:ascii="SimHei" w:hAnsi="SimHei"/>
          <w:sz w:val="30"/>
        </w:rPr>
        <w:t>对员工的基本要求</w:t>
      </w:r>
    </w:p>
    <w:p>
      <w:pPr>
        <w:pStyle w:val="Normal"/>
        <w:numPr>
          <w:ilvl w:val="0"/>
          <w:numId w:val="24"/>
        </w:numPr>
        <w:spacing w:lineRule="exact" w:line="360"/>
        <w:outlineLvl w:val="1"/>
        <w:rPr>
          <w:b/>
          <w:b/>
          <w:bCs/>
          <w:szCs w:val="21"/>
        </w:rPr>
      </w:pPr>
      <w:bookmarkStart w:id="12" w:name="__RefHeading___Toc216678998"/>
      <w:bookmarkEnd w:id="12"/>
      <w:r>
        <w:rPr>
          <w:rFonts w:ascii="SimHei" w:hAnsi="SimHei" w:eastAsia="黑体"/>
          <w:b/>
          <w:bCs/>
          <w:szCs w:val="21"/>
        </w:rPr>
        <w:t>义务</w:t>
      </w:r>
    </w:p>
    <w:p>
      <w:pPr>
        <w:pStyle w:val="Normal"/>
        <w:numPr>
          <w:ilvl w:val="0"/>
          <w:numId w:val="16"/>
        </w:numPr>
        <w:tabs>
          <w:tab w:val="clear" w:pos="420"/>
          <w:tab w:val="left" w:pos="1080" w:leader="none"/>
        </w:tabs>
        <w:spacing w:lineRule="exact" w:line="360"/>
        <w:ind w:start="1080" w:hanging="540"/>
        <w:rPr>
          <w:szCs w:val="21"/>
        </w:rPr>
      </w:pPr>
      <w:r>
        <w:rPr>
          <w:rFonts w:ascii="SimHei" w:hAnsi="SimHei" w:eastAsia="黑体"/>
          <w:szCs w:val="21"/>
        </w:rPr>
        <w:t>自觉维护公司的正常生产秩序，积极融入企业的文化之中，以公司为家；</w:t>
      </w:r>
    </w:p>
    <w:p>
      <w:pPr>
        <w:pStyle w:val="Normal"/>
        <w:numPr>
          <w:ilvl w:val="0"/>
          <w:numId w:val="16"/>
        </w:numPr>
        <w:tabs>
          <w:tab w:val="clear" w:pos="420"/>
          <w:tab w:val="left" w:pos="1080" w:leader="none"/>
        </w:tabs>
        <w:spacing w:lineRule="exact" w:line="360"/>
        <w:ind w:start="1080" w:hanging="540"/>
        <w:rPr>
          <w:szCs w:val="21"/>
        </w:rPr>
      </w:pPr>
      <w:r>
        <w:rPr>
          <w:rFonts w:ascii="SimHei" w:hAnsi="SimHei" w:eastAsia="黑体"/>
          <w:szCs w:val="21"/>
        </w:rPr>
        <w:t>为企业的发展献计献策，严格要求自己，争当公司的优秀员工；</w:t>
      </w:r>
    </w:p>
    <w:p>
      <w:pPr>
        <w:pStyle w:val="Normal"/>
        <w:numPr>
          <w:ilvl w:val="0"/>
          <w:numId w:val="16"/>
        </w:numPr>
        <w:tabs>
          <w:tab w:val="clear" w:pos="420"/>
          <w:tab w:val="left" w:pos="1080" w:leader="none"/>
        </w:tabs>
        <w:spacing w:lineRule="exact" w:line="360"/>
        <w:ind w:start="1080" w:hanging="540"/>
        <w:rPr>
          <w:szCs w:val="21"/>
        </w:rPr>
      </w:pPr>
      <w:r>
        <w:rPr>
          <w:rFonts w:ascii="SimHei" w:hAnsi="SimHei" w:eastAsia="黑体"/>
          <w:szCs w:val="21"/>
        </w:rPr>
        <w:t>热爱本职工作，遵守职业操守；积极进取，不断学习，不断提升自身价值；</w:t>
      </w:r>
    </w:p>
    <w:p>
      <w:pPr>
        <w:pStyle w:val="Normal"/>
        <w:numPr>
          <w:ilvl w:val="0"/>
          <w:numId w:val="16"/>
        </w:numPr>
        <w:tabs>
          <w:tab w:val="clear" w:pos="420"/>
          <w:tab w:val="left" w:pos="1080" w:leader="none"/>
        </w:tabs>
        <w:spacing w:lineRule="exact" w:line="360"/>
        <w:ind w:start="1080" w:hanging="540"/>
        <w:rPr>
          <w:szCs w:val="21"/>
        </w:rPr>
      </w:pPr>
      <w:r>
        <w:rPr>
          <w:rFonts w:ascii="SimHei" w:hAnsi="SimHei" w:eastAsia="黑体"/>
          <w:szCs w:val="21"/>
        </w:rPr>
        <w:t>以公司利益为重，维护公司声誉，严守公司机密；</w:t>
      </w:r>
    </w:p>
    <w:p>
      <w:pPr>
        <w:pStyle w:val="Normal"/>
        <w:numPr>
          <w:ilvl w:val="0"/>
          <w:numId w:val="16"/>
        </w:numPr>
        <w:tabs>
          <w:tab w:val="clear" w:pos="420"/>
          <w:tab w:val="left" w:pos="1080" w:leader="none"/>
        </w:tabs>
        <w:spacing w:lineRule="exact" w:line="360"/>
        <w:ind w:start="1080" w:hanging="540"/>
        <w:rPr>
          <w:szCs w:val="21"/>
        </w:rPr>
      </w:pPr>
      <w:r>
        <w:rPr>
          <w:rFonts w:ascii="SimHei" w:hAnsi="SimHei" w:eastAsia="黑体"/>
          <w:szCs w:val="21"/>
        </w:rPr>
        <w:t>自觉遵守劳动纪律，服从公司工作安排；</w:t>
      </w:r>
    </w:p>
    <w:p>
      <w:pPr>
        <w:pStyle w:val="Normal"/>
        <w:numPr>
          <w:ilvl w:val="0"/>
          <w:numId w:val="16"/>
        </w:numPr>
        <w:tabs>
          <w:tab w:val="clear" w:pos="420"/>
          <w:tab w:val="left" w:pos="1080" w:leader="none"/>
        </w:tabs>
        <w:spacing w:lineRule="exact" w:line="360"/>
        <w:ind w:start="1080" w:hanging="540"/>
        <w:rPr>
          <w:szCs w:val="21"/>
        </w:rPr>
      </w:pPr>
      <w:r>
        <w:rPr>
          <w:rFonts w:ascii="SimHei" w:hAnsi="SimHei" w:eastAsia="黑体"/>
          <w:szCs w:val="21"/>
        </w:rPr>
        <w:t>相互尊重，讲究礼貌，与同事、上级和谐相处；</w:t>
      </w:r>
    </w:p>
    <w:p>
      <w:pPr>
        <w:pStyle w:val="Normal"/>
        <w:numPr>
          <w:ilvl w:val="0"/>
          <w:numId w:val="16"/>
        </w:numPr>
        <w:tabs>
          <w:tab w:val="clear" w:pos="420"/>
          <w:tab w:val="left" w:pos="1080" w:leader="none"/>
        </w:tabs>
        <w:spacing w:lineRule="exact" w:line="360"/>
        <w:ind w:start="1080" w:hanging="540"/>
        <w:rPr>
          <w:szCs w:val="21"/>
        </w:rPr>
      </w:pPr>
      <w:r>
        <w:rPr>
          <w:rFonts w:ascii="SimHei" w:hAnsi="SimHei" w:eastAsia="黑体"/>
          <w:szCs w:val="21"/>
        </w:rPr>
        <w:t>正确处理工作中的过失和错误，并积极加以改善；</w:t>
      </w:r>
    </w:p>
    <w:p>
      <w:pPr>
        <w:pStyle w:val="Normal"/>
        <w:numPr>
          <w:ilvl w:val="0"/>
          <w:numId w:val="16"/>
        </w:numPr>
        <w:tabs>
          <w:tab w:val="clear" w:pos="420"/>
          <w:tab w:val="left" w:pos="1080" w:leader="none"/>
        </w:tabs>
        <w:spacing w:lineRule="exact" w:line="360"/>
        <w:ind w:start="1080" w:hanging="540"/>
        <w:rPr>
          <w:szCs w:val="21"/>
        </w:rPr>
      </w:pPr>
      <w:r>
        <w:rPr>
          <w:rFonts w:ascii="SimHei" w:hAnsi="SimHei" w:eastAsia="黑体"/>
          <w:szCs w:val="21"/>
        </w:rPr>
        <w:t>自我约束，不利用职权索贿、受贿或谋求其他不正当利益；</w:t>
      </w:r>
    </w:p>
    <w:p>
      <w:pPr>
        <w:pStyle w:val="Normal"/>
        <w:numPr>
          <w:ilvl w:val="0"/>
          <w:numId w:val="16"/>
        </w:numPr>
        <w:tabs>
          <w:tab w:val="clear" w:pos="420"/>
          <w:tab w:val="left" w:pos="1080" w:leader="none"/>
        </w:tabs>
        <w:spacing w:lineRule="exact" w:line="360"/>
        <w:ind w:start="1080" w:hanging="540"/>
        <w:rPr>
          <w:szCs w:val="21"/>
        </w:rPr>
      </w:pPr>
      <w:r>
        <w:rPr>
          <w:rFonts w:ascii="SimHei" w:hAnsi="SimHei" w:eastAsia="黑体"/>
          <w:szCs w:val="21"/>
        </w:rPr>
        <w:t>保持良好心态，自觉维护工作环境清洁。</w:t>
      </w:r>
    </w:p>
    <w:p>
      <w:pPr>
        <w:pStyle w:val="Normal"/>
        <w:numPr>
          <w:ilvl w:val="0"/>
          <w:numId w:val="24"/>
        </w:numPr>
        <w:spacing w:lineRule="exact" w:line="360"/>
        <w:outlineLvl w:val="1"/>
        <w:rPr>
          <w:b/>
          <w:b/>
          <w:bCs/>
          <w:szCs w:val="21"/>
        </w:rPr>
      </w:pPr>
      <w:bookmarkStart w:id="13" w:name="__RefHeading___Toc216678999"/>
      <w:bookmarkEnd w:id="13"/>
      <w:r>
        <w:rPr>
          <w:rFonts w:ascii="SimHei" w:hAnsi="SimHei" w:eastAsia="黑体"/>
          <w:b/>
          <w:bCs/>
          <w:szCs w:val="21"/>
        </w:rPr>
        <w:t>权利</w:t>
      </w:r>
    </w:p>
    <w:p>
      <w:pPr>
        <w:pStyle w:val="Normal"/>
        <w:numPr>
          <w:ilvl w:val="0"/>
          <w:numId w:val="10"/>
        </w:numPr>
        <w:tabs>
          <w:tab w:val="clear" w:pos="420"/>
          <w:tab w:val="left" w:pos="1080" w:leader="none"/>
        </w:tabs>
        <w:spacing w:lineRule="exact" w:line="360"/>
        <w:ind w:start="1080" w:hanging="540"/>
        <w:rPr>
          <w:szCs w:val="21"/>
        </w:rPr>
      </w:pPr>
      <w:r>
        <w:rPr>
          <w:rFonts w:ascii="SimHei" w:hAnsi="SimHei" w:eastAsia="黑体"/>
          <w:szCs w:val="21"/>
        </w:rPr>
        <w:t>享有公司提供的各项福利、接受培训以及外派深造的权利；</w:t>
      </w:r>
    </w:p>
    <w:p>
      <w:pPr>
        <w:pStyle w:val="Normal"/>
        <w:numPr>
          <w:ilvl w:val="0"/>
          <w:numId w:val="10"/>
        </w:numPr>
        <w:tabs>
          <w:tab w:val="clear" w:pos="420"/>
          <w:tab w:val="left" w:pos="1080" w:leader="none"/>
        </w:tabs>
        <w:spacing w:lineRule="exact" w:line="360"/>
        <w:ind w:start="1080" w:hanging="540"/>
        <w:rPr>
          <w:szCs w:val="21"/>
        </w:rPr>
      </w:pPr>
      <w:r>
        <w:rPr>
          <w:rFonts w:ascii="SimHei" w:hAnsi="SimHei" w:eastAsia="黑体"/>
          <w:szCs w:val="21"/>
        </w:rPr>
        <w:t>对公司的管理和各项工作享有提出合理化建议的权利；</w:t>
      </w:r>
    </w:p>
    <w:p>
      <w:pPr>
        <w:pStyle w:val="Normal"/>
        <w:numPr>
          <w:ilvl w:val="0"/>
          <w:numId w:val="10"/>
        </w:numPr>
        <w:tabs>
          <w:tab w:val="clear" w:pos="420"/>
          <w:tab w:val="left" w:pos="1080" w:leader="none"/>
        </w:tabs>
        <w:spacing w:lineRule="exact" w:line="360"/>
        <w:ind w:start="1080" w:hanging="540"/>
        <w:rPr>
          <w:szCs w:val="21"/>
        </w:rPr>
      </w:pPr>
      <w:r>
        <w:rPr>
          <w:rFonts w:ascii="SimHei" w:hAnsi="SimHei" w:eastAsia="黑体"/>
          <w:szCs w:val="21"/>
        </w:rPr>
        <w:t>享有国家规定的公众假期；</w:t>
      </w:r>
    </w:p>
    <w:p>
      <w:pPr>
        <w:pStyle w:val="Normal"/>
        <w:numPr>
          <w:ilvl w:val="0"/>
          <w:numId w:val="10"/>
        </w:numPr>
        <w:tabs>
          <w:tab w:val="clear" w:pos="420"/>
          <w:tab w:val="left" w:pos="1080" w:leader="none"/>
        </w:tabs>
        <w:spacing w:lineRule="exact" w:line="360"/>
        <w:ind w:start="1080" w:hanging="540"/>
        <w:rPr>
          <w:szCs w:val="21"/>
        </w:rPr>
      </w:pPr>
      <w:r>
        <w:rPr>
          <w:rFonts w:ascii="SimHei" w:hAnsi="SimHei" w:eastAsia="黑体"/>
          <w:szCs w:val="21"/>
        </w:rPr>
        <w:t>对损害自己利益、声誉的事情，享有上诉的权利；</w:t>
      </w:r>
    </w:p>
    <w:p>
      <w:pPr>
        <w:pStyle w:val="Normal"/>
        <w:numPr>
          <w:ilvl w:val="0"/>
          <w:numId w:val="10"/>
        </w:numPr>
        <w:tabs>
          <w:tab w:val="clear" w:pos="420"/>
          <w:tab w:val="left" w:pos="1080" w:leader="none"/>
        </w:tabs>
        <w:spacing w:lineRule="exact" w:line="360"/>
        <w:ind w:start="1080" w:hanging="540"/>
        <w:rPr>
          <w:szCs w:val="21"/>
        </w:rPr>
      </w:pPr>
      <w:r>
        <w:rPr>
          <w:rFonts w:ascii="SimHei" w:hAnsi="SimHei" w:eastAsia="黑体"/>
          <w:szCs w:val="21"/>
        </w:rPr>
        <w:t>对危害自身安全的工作，有拒绝执行的权利。</w:t>
      </w:r>
    </w:p>
    <w:p>
      <w:pPr>
        <w:pStyle w:val="Normal"/>
        <w:numPr>
          <w:ilvl w:val="0"/>
          <w:numId w:val="24"/>
        </w:numPr>
        <w:spacing w:lineRule="exact" w:line="360"/>
        <w:outlineLvl w:val="1"/>
        <w:rPr>
          <w:b/>
          <w:b/>
          <w:bCs/>
          <w:szCs w:val="21"/>
        </w:rPr>
      </w:pPr>
      <w:bookmarkStart w:id="14" w:name="__RefHeading___Toc216679000"/>
      <w:bookmarkEnd w:id="14"/>
      <w:r>
        <w:rPr>
          <w:rFonts w:ascii="SimHei" w:hAnsi="SimHei" w:eastAsia="黑体"/>
          <w:b/>
          <w:bCs/>
          <w:szCs w:val="21"/>
        </w:rPr>
        <w:t>出入公司的规定</w:t>
      </w:r>
    </w:p>
    <w:p>
      <w:pPr>
        <w:pStyle w:val="Normal"/>
        <w:numPr>
          <w:ilvl w:val="0"/>
          <w:numId w:val="48"/>
        </w:numPr>
        <w:spacing w:lineRule="exact" w:line="360"/>
        <w:ind w:start="976" w:hanging="420"/>
        <w:rPr>
          <w:szCs w:val="21"/>
        </w:rPr>
      </w:pPr>
      <w:r>
        <w:rPr>
          <w:rFonts w:ascii="SimHei" w:hAnsi="SimHei" w:eastAsia="黑体"/>
          <w:szCs w:val="21"/>
        </w:rPr>
        <w:t>进入公司大门后需按规定更换拖鞋；</w:t>
      </w:r>
    </w:p>
    <w:p>
      <w:pPr>
        <w:pStyle w:val="Normal"/>
        <w:numPr>
          <w:ilvl w:val="0"/>
          <w:numId w:val="48"/>
        </w:numPr>
        <w:spacing w:lineRule="exact" w:line="360"/>
        <w:ind w:start="976" w:hanging="420"/>
        <w:rPr>
          <w:szCs w:val="21"/>
        </w:rPr>
      </w:pPr>
      <w:r>
        <w:rPr>
          <w:rFonts w:ascii="SimHei" w:hAnsi="SimHei" w:eastAsia="黑体"/>
          <w:szCs w:val="21"/>
        </w:rPr>
        <w:t>进入生产工厂范围（特指内走廊黄色虚线以内的区域）的所有人员必须穿戴统一的工作服和工作帽；</w:t>
      </w:r>
    </w:p>
    <w:p>
      <w:pPr>
        <w:pStyle w:val="Normal"/>
        <w:numPr>
          <w:ilvl w:val="0"/>
          <w:numId w:val="48"/>
        </w:numPr>
        <w:spacing w:lineRule="exact" w:line="360"/>
        <w:ind w:start="976" w:hanging="420"/>
        <w:rPr>
          <w:szCs w:val="21"/>
        </w:rPr>
      </w:pPr>
      <w:r>
        <w:rPr>
          <w:rFonts w:ascii="SimHei" w:hAnsi="SimHei" w:eastAsia="黑体"/>
          <w:szCs w:val="21"/>
        </w:rPr>
        <w:t>工作人员应在黄色虚线外更换好工作服、戴好工作帽，长发的女员工应将头发盘起，并收入帽子内；中途需要离开生产现场，应该脱下工作服、工作帽放置在指定位置；</w:t>
      </w:r>
    </w:p>
    <w:p>
      <w:pPr>
        <w:pStyle w:val="Normal"/>
        <w:numPr>
          <w:ilvl w:val="0"/>
          <w:numId w:val="48"/>
        </w:numPr>
        <w:spacing w:lineRule="exact" w:line="360"/>
        <w:ind w:start="976" w:hanging="420"/>
        <w:rPr>
          <w:szCs w:val="21"/>
        </w:rPr>
      </w:pPr>
      <w:r>
        <w:rPr>
          <w:rFonts w:ascii="SimHei" w:hAnsi="SimHei" w:eastAsia="黑体"/>
          <w:szCs w:val="21"/>
        </w:rPr>
        <w:t>原则上，与半成品、成品有接触的工作人员均须佩带口罩、手套、指套等防护用品，禁止手指直接接触产品和半成品的行为。各工作岗位佩带要求如下：</w:t>
      </w:r>
    </w:p>
    <w:tbl>
      <w:tblPr>
        <w:tblW w:w="7323" w:type="dxa"/>
        <w:jc w:val="start"/>
        <w:tblInd w:w="1188" w:type="dxa"/>
        <w:tblLayout w:type="fixed"/>
        <w:tblCellMar>
          <w:top w:w="0" w:type="dxa"/>
          <w:start w:w="108" w:type="dxa"/>
          <w:bottom w:w="0" w:type="dxa"/>
          <w:end w:w="108" w:type="dxa"/>
        </w:tblCellMar>
      </w:tblPr>
      <w:tblGrid>
        <w:gridCol w:w="898"/>
        <w:gridCol w:w="3234"/>
        <w:gridCol w:w="1063"/>
        <w:gridCol w:w="1064"/>
        <w:gridCol w:w="1064"/>
      </w:tblGrid>
      <w:tr>
        <w:trPr/>
        <w:tc>
          <w:tcPr>
            <w:tcW w:w="898" w:type="dxa"/>
            <w:tcBorders>
              <w:top w:val="double" w:sz="4" w:space="0" w:color="000000"/>
              <w:start w:val="double" w:sz="4" w:space="0" w:color="000000"/>
              <w:bottom w:val="single" w:sz="4" w:space="0" w:color="000000"/>
              <w:end w:val="single" w:sz="4" w:space="0" w:color="000000"/>
            </w:tcBorders>
            <w:shd w:fill="D9D9D9" w:val="clear"/>
            <w:vAlign w:val="center"/>
          </w:tcPr>
          <w:p>
            <w:pPr>
              <w:pStyle w:val="Normal"/>
              <w:spacing w:lineRule="auto" w:line="360"/>
              <w:jc w:val="center"/>
              <w:rPr>
                <w:rFonts w:ascii="宋体" w:hAnsi="宋体" w:cs="宋体"/>
                <w:szCs w:val="21"/>
              </w:rPr>
            </w:pPr>
            <w:r>
              <w:rPr>
                <w:rFonts w:ascii="SimHei" w:hAnsi="SimHei" w:cs="宋体" w:eastAsia="黑体"/>
                <w:szCs w:val="21"/>
              </w:rPr>
              <w:t>序号</w:t>
            </w:r>
          </w:p>
        </w:tc>
        <w:tc>
          <w:tcPr>
            <w:tcW w:w="3234" w:type="dxa"/>
            <w:tcBorders>
              <w:top w:val="double" w:sz="4" w:space="0" w:color="000000"/>
              <w:start w:val="single" w:sz="4" w:space="0" w:color="000000"/>
              <w:bottom w:val="single" w:sz="4" w:space="0" w:color="000000"/>
              <w:end w:val="single" w:sz="4" w:space="0" w:color="000000"/>
            </w:tcBorders>
            <w:shd w:fill="D9D9D9" w:val="clear"/>
            <w:vAlign w:val="center"/>
          </w:tcPr>
          <w:p>
            <w:pPr>
              <w:pStyle w:val="Normal"/>
              <w:spacing w:lineRule="auto" w:line="360"/>
              <w:jc w:val="center"/>
              <w:rPr>
                <w:rFonts w:ascii="宋体" w:hAnsi="宋体" w:cs="宋体"/>
                <w:szCs w:val="21"/>
              </w:rPr>
            </w:pPr>
            <w:r>
              <w:rPr>
                <w:rFonts w:ascii="SimHei" w:hAnsi="SimHei" w:cs="宋体" w:eastAsia="黑体"/>
                <w:szCs w:val="21"/>
              </w:rPr>
              <w:t>岗位名称</w:t>
            </w:r>
          </w:p>
        </w:tc>
        <w:tc>
          <w:tcPr>
            <w:tcW w:w="1063" w:type="dxa"/>
            <w:tcBorders>
              <w:top w:val="double" w:sz="4" w:space="0" w:color="000000"/>
              <w:start w:val="single" w:sz="4" w:space="0" w:color="000000"/>
              <w:bottom w:val="single" w:sz="4" w:space="0" w:color="000000"/>
              <w:end w:val="single" w:sz="4" w:space="0" w:color="000000"/>
            </w:tcBorders>
            <w:shd w:fill="D9D9D9" w:val="clear"/>
            <w:vAlign w:val="center"/>
          </w:tcPr>
          <w:p>
            <w:pPr>
              <w:pStyle w:val="Normal"/>
              <w:spacing w:lineRule="auto" w:line="360"/>
              <w:jc w:val="center"/>
              <w:rPr>
                <w:rFonts w:ascii="宋体" w:hAnsi="宋体" w:cs="宋体"/>
                <w:szCs w:val="21"/>
              </w:rPr>
            </w:pPr>
            <w:r>
              <w:rPr>
                <w:rFonts w:ascii="SimHei" w:hAnsi="SimHei" w:cs="宋体" w:eastAsia="黑体"/>
                <w:szCs w:val="21"/>
              </w:rPr>
              <w:t>口罩</w:t>
            </w:r>
          </w:p>
        </w:tc>
        <w:tc>
          <w:tcPr>
            <w:tcW w:w="1064" w:type="dxa"/>
            <w:tcBorders>
              <w:top w:val="double" w:sz="4" w:space="0" w:color="000000"/>
              <w:start w:val="single" w:sz="4" w:space="0" w:color="000000"/>
              <w:bottom w:val="single" w:sz="4" w:space="0" w:color="000000"/>
              <w:end w:val="single" w:sz="4" w:space="0" w:color="000000"/>
            </w:tcBorders>
            <w:shd w:fill="D9D9D9" w:val="clear"/>
            <w:vAlign w:val="center"/>
          </w:tcPr>
          <w:p>
            <w:pPr>
              <w:pStyle w:val="Normal"/>
              <w:spacing w:lineRule="auto" w:line="360"/>
              <w:jc w:val="center"/>
              <w:rPr>
                <w:rFonts w:ascii="宋体" w:hAnsi="宋体" w:cs="宋体"/>
                <w:szCs w:val="21"/>
              </w:rPr>
            </w:pPr>
            <w:r>
              <w:rPr>
                <w:rFonts w:ascii="SimHei" w:hAnsi="SimHei" w:cs="宋体" w:eastAsia="黑体"/>
                <w:szCs w:val="21"/>
              </w:rPr>
              <w:t>手套</w:t>
            </w:r>
          </w:p>
        </w:tc>
        <w:tc>
          <w:tcPr>
            <w:tcW w:w="1064" w:type="dxa"/>
            <w:tcBorders>
              <w:top w:val="double" w:sz="4" w:space="0" w:color="000000"/>
              <w:start w:val="single" w:sz="4" w:space="0" w:color="000000"/>
              <w:bottom w:val="single" w:sz="4" w:space="0" w:color="000000"/>
              <w:end w:val="double" w:sz="4" w:space="0" w:color="000000"/>
            </w:tcBorders>
            <w:shd w:fill="D9D9D9" w:val="clear"/>
            <w:vAlign w:val="center"/>
          </w:tcPr>
          <w:p>
            <w:pPr>
              <w:pStyle w:val="Normal"/>
              <w:spacing w:lineRule="auto" w:line="360"/>
              <w:jc w:val="center"/>
              <w:rPr>
                <w:rFonts w:ascii="宋体" w:hAnsi="宋体" w:cs="宋体"/>
                <w:szCs w:val="21"/>
              </w:rPr>
            </w:pPr>
            <w:r>
              <w:rPr>
                <w:rFonts w:ascii="SimHei" w:hAnsi="SimHei" w:cs="宋体" w:eastAsia="黑体"/>
                <w:szCs w:val="21"/>
              </w:rPr>
              <w:t>指套</w:t>
            </w:r>
          </w:p>
        </w:tc>
      </w:tr>
      <w:tr>
        <w:trPr/>
        <w:tc>
          <w:tcPr>
            <w:tcW w:w="898" w:type="dxa"/>
            <w:tcBorders>
              <w:top w:val="single" w:sz="4" w:space="0" w:color="000000"/>
              <w:start w:val="doub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SimHei" w:hAnsi="SimHei" w:eastAsia="黑体"/>
                <w:szCs w:val="21"/>
              </w:rPr>
              <w:t>1</w:t>
            </w:r>
          </w:p>
        </w:tc>
        <w:tc>
          <w:tcPr>
            <w:tcW w:w="32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color w:val="FF0000"/>
                <w:szCs w:val="21"/>
              </w:rPr>
            </w:pPr>
            <w:r>
              <w:rPr>
                <w:rFonts w:ascii="SimHei" w:hAnsi="SimHei" w:cs="宋体" w:eastAsia="黑体"/>
                <w:color w:val="FF0000"/>
                <w:szCs w:val="21"/>
              </w:rPr>
              <w:t>生产部 基片生产工序</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color w:val="000000"/>
                <w:szCs w:val="21"/>
              </w:rPr>
            </w:pPr>
            <w:r>
              <w:rPr>
                <w:rFonts w:eastAsia="黑体" w:cs="Wingdings" w:ascii="SimHei" w:hAnsi="SimHei"/>
                <w:color w:val="000000"/>
                <w:szCs w:val="21"/>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color w:val="000000"/>
                <w:szCs w:val="21"/>
              </w:rPr>
            </w:pPr>
            <w:r>
              <w:rPr>
                <w:rFonts w:eastAsia="黑体" w:cs="Wingdings" w:ascii="SimHei" w:hAnsi="SimHei"/>
                <w:color w:val="000000"/>
                <w:szCs w:val="21"/>
              </w:rPr>
              <w:t></w:t>
            </w:r>
          </w:p>
        </w:tc>
        <w:tc>
          <w:tcPr>
            <w:tcW w:w="1064" w:type="dxa"/>
            <w:tcBorders>
              <w:top w:val="single" w:sz="4" w:space="0" w:color="000000"/>
              <w:start w:val="single" w:sz="4" w:space="0" w:color="000000"/>
              <w:bottom w:val="single" w:sz="4" w:space="0" w:color="000000"/>
              <w:end w:val="double" w:sz="4" w:space="0" w:color="000000"/>
            </w:tcBorders>
            <w:vAlign w:val="center"/>
          </w:tcPr>
          <w:p>
            <w:pPr>
              <w:pStyle w:val="Normal"/>
              <w:spacing w:lineRule="auto" w:line="360"/>
              <w:jc w:val="center"/>
              <w:rPr>
                <w:rFonts w:ascii="宋体" w:hAnsi="宋体" w:cs="宋体"/>
                <w:color w:val="000000"/>
                <w:szCs w:val="21"/>
              </w:rPr>
            </w:pPr>
            <w:r>
              <w:rPr>
                <w:rFonts w:eastAsia="黑体" w:cs="Wingdings" w:ascii="SimHei" w:hAnsi="SimHei"/>
                <w:color w:val="000000"/>
                <w:szCs w:val="21"/>
              </w:rPr>
              <w:t></w:t>
            </w:r>
          </w:p>
        </w:tc>
      </w:tr>
      <w:tr>
        <w:trPr/>
        <w:tc>
          <w:tcPr>
            <w:tcW w:w="898" w:type="dxa"/>
            <w:tcBorders>
              <w:top w:val="single" w:sz="4" w:space="0" w:color="000000"/>
              <w:start w:val="doub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SimHei" w:hAnsi="SimHei" w:eastAsia="黑体"/>
                <w:szCs w:val="21"/>
              </w:rPr>
              <w:t>2</w:t>
            </w:r>
          </w:p>
        </w:tc>
        <w:tc>
          <w:tcPr>
            <w:tcW w:w="32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color w:val="FF0000"/>
                <w:szCs w:val="21"/>
              </w:rPr>
            </w:pPr>
            <w:r>
              <w:rPr>
                <w:rFonts w:ascii="SimHei" w:hAnsi="SimHei" w:cs="宋体" w:eastAsia="黑体"/>
                <w:color w:val="FF0000"/>
                <w:szCs w:val="21"/>
              </w:rPr>
              <w:t>生产部 溅射工序</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color w:val="000000"/>
                <w:szCs w:val="21"/>
              </w:rPr>
            </w:pPr>
            <w:r>
              <w:rPr>
                <w:rFonts w:cs="宋体" w:ascii="SimHei" w:hAnsi="SimHei" w:eastAsia="黑体"/>
                <w:color w:val="000000"/>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color w:val="000000"/>
                <w:szCs w:val="21"/>
              </w:rPr>
            </w:pPr>
            <w:r>
              <w:rPr>
                <w:rFonts w:eastAsia="黑体" w:cs="Wingdings" w:ascii="SimHei" w:hAnsi="SimHei"/>
                <w:color w:val="000000"/>
                <w:szCs w:val="21"/>
              </w:rPr>
              <w:t></w:t>
            </w:r>
          </w:p>
        </w:tc>
        <w:tc>
          <w:tcPr>
            <w:tcW w:w="1064" w:type="dxa"/>
            <w:tcBorders>
              <w:top w:val="single" w:sz="4" w:space="0" w:color="000000"/>
              <w:start w:val="single" w:sz="4" w:space="0" w:color="000000"/>
              <w:bottom w:val="single" w:sz="4" w:space="0" w:color="000000"/>
              <w:end w:val="double" w:sz="4" w:space="0" w:color="000000"/>
            </w:tcBorders>
            <w:vAlign w:val="center"/>
          </w:tcPr>
          <w:p>
            <w:pPr>
              <w:pStyle w:val="Normal"/>
              <w:spacing w:lineRule="auto" w:line="360"/>
              <w:jc w:val="center"/>
              <w:rPr>
                <w:rFonts w:ascii="宋体" w:hAnsi="宋体" w:cs="宋体"/>
                <w:color w:val="000000"/>
                <w:szCs w:val="21"/>
              </w:rPr>
            </w:pPr>
            <w:r>
              <w:rPr>
                <w:rFonts w:eastAsia="黑体" w:cs="Wingdings" w:ascii="SimHei" w:hAnsi="SimHei"/>
                <w:color w:val="000000"/>
                <w:szCs w:val="21"/>
              </w:rPr>
              <w:t></w:t>
            </w:r>
          </w:p>
        </w:tc>
      </w:tr>
      <w:tr>
        <w:trPr/>
        <w:tc>
          <w:tcPr>
            <w:tcW w:w="898" w:type="dxa"/>
            <w:tcBorders>
              <w:top w:val="single" w:sz="4" w:space="0" w:color="000000"/>
              <w:start w:val="doub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SimHei" w:hAnsi="SimHei" w:eastAsia="黑体"/>
                <w:szCs w:val="21"/>
              </w:rPr>
              <w:t>3</w:t>
            </w:r>
          </w:p>
        </w:tc>
        <w:tc>
          <w:tcPr>
            <w:tcW w:w="32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color w:val="FF0000"/>
                <w:szCs w:val="21"/>
              </w:rPr>
            </w:pPr>
            <w:r>
              <w:rPr>
                <w:rFonts w:ascii="SimHei" w:hAnsi="SimHei" w:cs="宋体" w:eastAsia="黑体"/>
                <w:color w:val="FF0000"/>
                <w:szCs w:val="21"/>
              </w:rPr>
              <w:t>生产部 清洗、光刻</w:t>
            </w:r>
            <w:r>
              <w:rPr>
                <w:rFonts w:cs="宋体" w:ascii="SimHei" w:hAnsi="SimHei" w:eastAsia="黑体"/>
                <w:color w:val="FF0000"/>
                <w:szCs w:val="21"/>
              </w:rPr>
              <w:t>/</w:t>
            </w:r>
            <w:r>
              <w:rPr>
                <w:rFonts w:ascii="SimHei" w:hAnsi="SimHei" w:cs="宋体" w:eastAsia="黑体"/>
                <w:color w:val="FF0000"/>
                <w:szCs w:val="21"/>
              </w:rPr>
              <w:t>蚀刻工序</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color w:val="000000"/>
                <w:szCs w:val="21"/>
              </w:rPr>
            </w:pPr>
            <w:r>
              <w:rPr>
                <w:rFonts w:eastAsia="黑体" w:cs="Wingdings" w:ascii="SimHei" w:hAnsi="SimHei"/>
                <w:color w:val="000000"/>
                <w:szCs w:val="21"/>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color w:val="000000"/>
                <w:szCs w:val="21"/>
              </w:rPr>
            </w:pPr>
            <w:r>
              <w:rPr>
                <w:rFonts w:eastAsia="黑体" w:cs="Wingdings" w:ascii="SimHei" w:hAnsi="SimHei"/>
                <w:color w:val="000000"/>
                <w:szCs w:val="21"/>
              </w:rPr>
              <w:t></w:t>
            </w:r>
          </w:p>
        </w:tc>
        <w:tc>
          <w:tcPr>
            <w:tcW w:w="106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jc w:val="center"/>
              <w:rPr>
                <w:rFonts w:ascii="宋体" w:hAnsi="宋体" w:cs="宋体"/>
                <w:color w:val="000000"/>
                <w:szCs w:val="21"/>
              </w:rPr>
            </w:pPr>
            <w:r>
              <w:rPr>
                <w:rFonts w:cs="宋体" w:ascii="SimHei" w:hAnsi="SimHei" w:eastAsia="黑体"/>
                <w:color w:val="000000"/>
                <w:szCs w:val="21"/>
              </w:rPr>
            </w:r>
          </w:p>
        </w:tc>
      </w:tr>
      <w:tr>
        <w:trPr/>
        <w:tc>
          <w:tcPr>
            <w:tcW w:w="898" w:type="dxa"/>
            <w:tcBorders>
              <w:top w:val="single" w:sz="4" w:space="0" w:color="000000"/>
              <w:start w:val="doub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SimHei" w:hAnsi="SimHei" w:eastAsia="黑体"/>
                <w:szCs w:val="21"/>
              </w:rPr>
              <w:t>4</w:t>
            </w:r>
          </w:p>
        </w:tc>
        <w:tc>
          <w:tcPr>
            <w:tcW w:w="32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color w:val="FF0000"/>
                <w:szCs w:val="21"/>
              </w:rPr>
            </w:pPr>
            <w:r>
              <w:rPr>
                <w:rFonts w:ascii="SimHei" w:hAnsi="SimHei" w:cs="宋体" w:eastAsia="黑体"/>
                <w:color w:val="FF0000"/>
                <w:szCs w:val="21"/>
              </w:rPr>
              <w:t>生产部 划片工序</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color w:val="000000"/>
                <w:szCs w:val="21"/>
              </w:rPr>
            </w:pPr>
            <w:r>
              <w:rPr>
                <w:rFonts w:eastAsia="黑体" w:cs="Wingdings" w:ascii="SimHei" w:hAnsi="SimHei"/>
                <w:color w:val="000000"/>
                <w:szCs w:val="21"/>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color w:val="000000"/>
                <w:szCs w:val="21"/>
              </w:rPr>
            </w:pPr>
            <w:r>
              <w:rPr>
                <w:rFonts w:eastAsia="黑体" w:cs="Wingdings" w:ascii="SimHei" w:hAnsi="SimHei"/>
                <w:color w:val="000000"/>
                <w:szCs w:val="21"/>
              </w:rPr>
              <w:t></w:t>
            </w:r>
          </w:p>
        </w:tc>
        <w:tc>
          <w:tcPr>
            <w:tcW w:w="106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jc w:val="center"/>
              <w:rPr>
                <w:rFonts w:ascii="宋体" w:hAnsi="宋体" w:cs="宋体"/>
                <w:color w:val="000000"/>
                <w:szCs w:val="21"/>
              </w:rPr>
            </w:pPr>
            <w:r>
              <w:rPr>
                <w:rFonts w:cs="宋体" w:ascii="SimHei" w:hAnsi="SimHei" w:eastAsia="黑体"/>
                <w:color w:val="000000"/>
                <w:szCs w:val="21"/>
              </w:rPr>
            </w:r>
          </w:p>
        </w:tc>
      </w:tr>
      <w:tr>
        <w:trPr/>
        <w:tc>
          <w:tcPr>
            <w:tcW w:w="898" w:type="dxa"/>
            <w:tcBorders>
              <w:top w:val="single" w:sz="4" w:space="0" w:color="000000"/>
              <w:start w:val="double" w:sz="4" w:space="0" w:color="000000"/>
              <w:bottom w:val="doub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SimHei" w:hAnsi="SimHei" w:eastAsia="黑体"/>
                <w:szCs w:val="21"/>
              </w:rPr>
              <w:t>5</w:t>
            </w:r>
          </w:p>
        </w:tc>
        <w:tc>
          <w:tcPr>
            <w:tcW w:w="3234" w:type="dxa"/>
            <w:tcBorders>
              <w:top w:val="single" w:sz="4" w:space="0" w:color="000000"/>
              <w:start w:val="single" w:sz="4" w:space="0" w:color="000000"/>
              <w:bottom w:val="double" w:sz="4" w:space="0" w:color="000000"/>
              <w:end w:val="single" w:sz="4" w:space="0" w:color="000000"/>
            </w:tcBorders>
            <w:vAlign w:val="center"/>
          </w:tcPr>
          <w:p>
            <w:pPr>
              <w:pStyle w:val="Normal"/>
              <w:spacing w:lineRule="auto" w:line="360"/>
              <w:rPr>
                <w:rFonts w:ascii="宋体" w:hAnsi="宋体" w:cs="宋体"/>
                <w:color w:val="FF0000"/>
                <w:szCs w:val="21"/>
              </w:rPr>
            </w:pPr>
            <w:r>
              <w:rPr>
                <w:rFonts w:ascii="SimHei" w:hAnsi="SimHei" w:cs="宋体" w:eastAsia="黑体"/>
                <w:color w:val="FF0000"/>
                <w:szCs w:val="21"/>
              </w:rPr>
              <w:t>品保部 检查员</w:t>
            </w:r>
          </w:p>
        </w:tc>
        <w:tc>
          <w:tcPr>
            <w:tcW w:w="1063" w:type="dxa"/>
            <w:tcBorders>
              <w:top w:val="single" w:sz="4" w:space="0" w:color="000000"/>
              <w:start w:val="single" w:sz="4" w:space="0" w:color="000000"/>
              <w:bottom w:val="double" w:sz="4" w:space="0" w:color="000000"/>
              <w:end w:val="single" w:sz="4" w:space="0" w:color="000000"/>
            </w:tcBorders>
            <w:vAlign w:val="center"/>
          </w:tcPr>
          <w:p>
            <w:pPr>
              <w:pStyle w:val="Normal"/>
              <w:snapToGrid w:val="false"/>
              <w:spacing w:lineRule="auto" w:line="360"/>
              <w:jc w:val="center"/>
              <w:rPr>
                <w:rFonts w:ascii="宋体" w:hAnsi="宋体" w:cs="宋体"/>
                <w:color w:val="FF0000"/>
                <w:szCs w:val="21"/>
              </w:rPr>
            </w:pPr>
            <w:r>
              <w:rPr>
                <w:rFonts w:cs="宋体" w:ascii="SimHei" w:hAnsi="SimHei" w:eastAsia="黑体"/>
                <w:color w:val="FF0000"/>
                <w:szCs w:val="21"/>
              </w:rPr>
            </w:r>
          </w:p>
        </w:tc>
        <w:tc>
          <w:tcPr>
            <w:tcW w:w="1064" w:type="dxa"/>
            <w:tcBorders>
              <w:top w:val="single" w:sz="4" w:space="0" w:color="000000"/>
              <w:start w:val="single" w:sz="4" w:space="0" w:color="000000"/>
              <w:bottom w:val="double" w:sz="4" w:space="0" w:color="000000"/>
              <w:end w:val="single" w:sz="4" w:space="0" w:color="000000"/>
            </w:tcBorders>
            <w:vAlign w:val="center"/>
          </w:tcPr>
          <w:p>
            <w:pPr>
              <w:pStyle w:val="Normal"/>
              <w:spacing w:lineRule="auto" w:line="360"/>
              <w:jc w:val="center"/>
              <w:rPr>
                <w:rFonts w:ascii="宋体" w:hAnsi="宋体" w:cs="宋体"/>
                <w:szCs w:val="21"/>
              </w:rPr>
            </w:pPr>
            <w:r>
              <w:rPr>
                <w:rFonts w:eastAsia="黑体" w:cs="Wingdings" w:ascii="SimHei" w:hAnsi="SimHei"/>
                <w:szCs w:val="21"/>
              </w:rPr>
              <w:t></w:t>
            </w:r>
          </w:p>
        </w:tc>
        <w:tc>
          <w:tcPr>
            <w:tcW w:w="1064" w:type="dxa"/>
            <w:tcBorders>
              <w:top w:val="single" w:sz="4" w:space="0" w:color="000000"/>
              <w:start w:val="single" w:sz="4" w:space="0" w:color="000000"/>
              <w:bottom w:val="double" w:sz="4" w:space="0" w:color="000000"/>
              <w:end w:val="double" w:sz="4" w:space="0" w:color="000000"/>
            </w:tcBorders>
            <w:vAlign w:val="center"/>
          </w:tcPr>
          <w:p>
            <w:pPr>
              <w:pStyle w:val="Normal"/>
              <w:snapToGrid w:val="false"/>
              <w:spacing w:lineRule="auto" w:line="360"/>
              <w:jc w:val="center"/>
              <w:rPr>
                <w:rFonts w:ascii="宋体" w:hAnsi="宋体" w:cs="宋体"/>
                <w:szCs w:val="21"/>
              </w:rPr>
            </w:pPr>
            <w:r>
              <w:rPr>
                <w:rFonts w:cs="宋体" w:ascii="SimHei" w:hAnsi="SimHei" w:eastAsia="黑体"/>
                <w:szCs w:val="21"/>
              </w:rPr>
            </w:r>
          </w:p>
        </w:tc>
      </w:tr>
    </w:tbl>
    <w:p>
      <w:pPr>
        <w:pStyle w:val="Normal"/>
        <w:numPr>
          <w:ilvl w:val="0"/>
          <w:numId w:val="48"/>
        </w:numPr>
        <w:spacing w:lineRule="exact" w:line="360"/>
        <w:ind w:start="976" w:hanging="420"/>
        <w:rPr>
          <w:szCs w:val="21"/>
        </w:rPr>
      </w:pPr>
      <w:r>
        <w:rPr>
          <w:rFonts w:ascii="SimHei" w:hAnsi="SimHei" w:eastAsia="黑体"/>
          <w:szCs w:val="21"/>
        </w:rPr>
        <w:t>员工应养成良好的习惯，时刻保持穿戴物干净清洁。要求工作服、工作帽、手套、拖鞋、口罩原则上每周至少清洗一次；</w:t>
      </w:r>
    </w:p>
    <w:p>
      <w:pPr>
        <w:pStyle w:val="Normal"/>
        <w:numPr>
          <w:ilvl w:val="0"/>
          <w:numId w:val="48"/>
        </w:numPr>
        <w:spacing w:lineRule="exact" w:line="360"/>
        <w:ind w:start="976" w:hanging="420"/>
        <w:rPr>
          <w:szCs w:val="21"/>
        </w:rPr>
      </w:pPr>
      <w:r>
        <w:rPr>
          <w:rFonts w:ascii="SimHei" w:hAnsi="SimHei" w:eastAsia="黑体"/>
          <w:szCs w:val="21"/>
        </w:rPr>
        <w:t>为防止把外界灰尘带到生产现场，进入生产现场的工作人员不得携带容易产生灰尘的私人物品（如：梳、纸巾和报纸等）；</w:t>
      </w:r>
    </w:p>
    <w:p>
      <w:pPr>
        <w:pStyle w:val="Normal"/>
        <w:numPr>
          <w:ilvl w:val="0"/>
          <w:numId w:val="48"/>
        </w:numPr>
        <w:spacing w:lineRule="exact" w:line="360"/>
        <w:ind w:start="976" w:hanging="420"/>
        <w:rPr>
          <w:szCs w:val="21"/>
        </w:rPr>
      </w:pPr>
      <w:r>
        <w:rPr>
          <w:rFonts w:ascii="SimHei" w:hAnsi="SimHei" w:eastAsia="黑体"/>
          <w:szCs w:val="21"/>
        </w:rPr>
        <w:t>需带公司的物品离开公司时，必须经总经理批准；</w:t>
      </w:r>
    </w:p>
    <w:p>
      <w:pPr>
        <w:pStyle w:val="Normal"/>
        <w:numPr>
          <w:ilvl w:val="0"/>
          <w:numId w:val="48"/>
        </w:numPr>
        <w:spacing w:lineRule="exact" w:line="360"/>
        <w:ind w:start="976" w:hanging="420"/>
        <w:rPr>
          <w:szCs w:val="21"/>
        </w:rPr>
      </w:pPr>
      <w:r>
        <w:rPr>
          <w:rFonts w:ascii="SimHei" w:hAnsi="SimHei" w:eastAsia="黑体"/>
          <w:szCs w:val="21"/>
        </w:rPr>
        <w:t>被认为扰乱正常生产秩序、醉酒或被停职者禁止进入生产区域。</w:t>
      </w:r>
    </w:p>
    <w:p>
      <w:pPr>
        <w:pStyle w:val="Normal"/>
        <w:numPr>
          <w:ilvl w:val="0"/>
          <w:numId w:val="24"/>
        </w:numPr>
        <w:spacing w:lineRule="exact" w:line="360"/>
        <w:outlineLvl w:val="1"/>
        <w:rPr>
          <w:b/>
          <w:b/>
          <w:bCs/>
          <w:szCs w:val="21"/>
        </w:rPr>
      </w:pPr>
      <w:bookmarkStart w:id="15" w:name="__RefHeading___Toc216679001"/>
      <w:bookmarkEnd w:id="15"/>
      <w:r>
        <w:rPr>
          <w:rFonts w:ascii="SimHei" w:hAnsi="SimHei" w:eastAsia="黑体"/>
          <w:b/>
          <w:bCs/>
          <w:szCs w:val="21"/>
        </w:rPr>
        <w:t>劳动纪律</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工作时必须严格遵守各项安全规定、工艺规范、操作规程；</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上班时不得擅离本职岗位，有事离开工作岗位须经部门经理同意；</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不得在生产区域内饮食、吸烟、工作时间内不安全的区域睡觉；</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不得随手乱丢垃圾，涂鸦墙面、桌面及设备；</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不得在生产区域闲谈、嬉笑、打闹、大声喧哗；</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在公司内，不得有任何暴力、胁迫、伤害、赌博、盗窃等不法行为；</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不得有无理取闹、谩骂、散布流言及妨碍他人工作的行为；</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未经总经理许可，不得在公司内拍照、摄影或带外人参观；</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严格遵守公司防火规定，未经许可不得随意点明火；</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不得使用公司设施来做与本职工作无关的事情；</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不得损坏公共设施，禁止乱放、乱堆、乱倒、任意涂写；</w:t>
      </w:r>
    </w:p>
    <w:p>
      <w:pPr>
        <w:pStyle w:val="Normal"/>
        <w:numPr>
          <w:ilvl w:val="0"/>
          <w:numId w:val="23"/>
        </w:numPr>
        <w:tabs>
          <w:tab w:val="clear" w:pos="420"/>
          <w:tab w:val="left" w:pos="1080" w:leader="none"/>
        </w:tabs>
        <w:spacing w:lineRule="exact" w:line="360"/>
        <w:ind w:start="1080" w:hanging="540"/>
        <w:rPr>
          <w:color w:val="0000FF"/>
          <w:szCs w:val="21"/>
        </w:rPr>
      </w:pPr>
      <w:r>
        <w:rPr>
          <w:rFonts w:ascii="SimHei" w:hAnsi="SimHei" w:eastAsia="黑体"/>
          <w:szCs w:val="21"/>
        </w:rPr>
        <w:t>按规定时间上下班，不得无故迟到或早退；</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严格遵守公司《保密制度》，不得泄露公司秘密；</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工作时间内，不得做与本职工作无关的事情，如：讲私人电话、发手机短信、手机上网、听音乐、打游戏等，生产工厂区域（特指内走廊黄色虚线以内的区域）的员工如因紧急事件需要通过电话处理的，可到内走廊黄色虚线以外区域进行，处理完毕后，应立即返回工作岗位继续工作。发现一次的，公告批评，发现两次以上者，公司有权暂行保管员工物品，直至下班为止。</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手机、数码相机等通讯及拍照摄影等设施未经总经理许可，不得带入生产区域，应放置在公司统一规划的区域妥善保存。</w:t>
      </w:r>
    </w:p>
    <w:p>
      <w:pPr>
        <w:pStyle w:val="Normal"/>
        <w:numPr>
          <w:ilvl w:val="0"/>
          <w:numId w:val="23"/>
        </w:numPr>
        <w:tabs>
          <w:tab w:val="clear" w:pos="420"/>
          <w:tab w:val="left" w:pos="1080" w:leader="none"/>
        </w:tabs>
        <w:spacing w:lineRule="exact" w:line="360"/>
        <w:ind w:start="1080" w:hanging="540"/>
        <w:rPr>
          <w:szCs w:val="21"/>
        </w:rPr>
      </w:pPr>
      <w:r>
        <w:rPr>
          <w:rFonts w:ascii="SimHei" w:hAnsi="SimHei" w:eastAsia="黑体"/>
          <w:szCs w:val="21"/>
        </w:rPr>
        <w:t>为保障公司所有员工的健康、安全及产品质量，公司厂区内的任何区域绝对禁止吸烟，包括进入本公司的电梯内、洗手间、办公区域、维修间等，一经发现违反该项纪律者，一律解除劳动合同。</w:t>
      </w:r>
    </w:p>
    <w:p>
      <w:pPr>
        <w:pStyle w:val="Normal"/>
        <w:numPr>
          <w:ilvl w:val="0"/>
          <w:numId w:val="24"/>
        </w:numPr>
        <w:spacing w:lineRule="exact" w:line="360"/>
        <w:outlineLvl w:val="1"/>
        <w:rPr>
          <w:b/>
          <w:b/>
          <w:bCs/>
          <w:szCs w:val="21"/>
        </w:rPr>
      </w:pPr>
      <w:bookmarkStart w:id="16" w:name="__RefHeading___Toc216679002"/>
      <w:bookmarkEnd w:id="16"/>
      <w:r>
        <w:rPr>
          <w:rFonts w:ascii="SimHei" w:hAnsi="SimHei" w:eastAsia="黑体"/>
          <w:b/>
          <w:bCs/>
          <w:szCs w:val="21"/>
        </w:rPr>
        <w:t>公司物品的管理及维护</w:t>
      </w:r>
    </w:p>
    <w:p>
      <w:pPr>
        <w:pStyle w:val="Normal"/>
        <w:numPr>
          <w:ilvl w:val="0"/>
          <w:numId w:val="42"/>
        </w:numPr>
        <w:tabs>
          <w:tab w:val="clear" w:pos="420"/>
          <w:tab w:val="left" w:pos="975" w:leader="none"/>
          <w:tab w:val="left" w:pos="1050" w:leader="none"/>
        </w:tabs>
        <w:spacing w:lineRule="exact" w:line="360"/>
        <w:ind w:start="976" w:hanging="403"/>
        <w:rPr>
          <w:szCs w:val="21"/>
        </w:rPr>
      </w:pPr>
      <w:r>
        <w:rPr>
          <w:rFonts w:ascii="SimHei" w:hAnsi="SimHei" w:eastAsia="黑体"/>
          <w:szCs w:val="21"/>
        </w:rPr>
        <w:t>合理使用材料、动力、燃料等资源；</w:t>
      </w:r>
    </w:p>
    <w:p>
      <w:pPr>
        <w:pStyle w:val="Normal"/>
        <w:numPr>
          <w:ilvl w:val="0"/>
          <w:numId w:val="42"/>
        </w:numPr>
        <w:tabs>
          <w:tab w:val="clear" w:pos="420"/>
          <w:tab w:val="left" w:pos="975" w:leader="none"/>
          <w:tab w:val="left" w:pos="1155" w:leader="none"/>
        </w:tabs>
        <w:spacing w:lineRule="exact" w:line="360"/>
        <w:ind w:start="976" w:hanging="403"/>
        <w:rPr>
          <w:szCs w:val="21"/>
        </w:rPr>
      </w:pPr>
      <w:r>
        <w:rPr>
          <w:rFonts w:ascii="SimHei" w:hAnsi="SimHei" w:eastAsia="黑体"/>
          <w:szCs w:val="21"/>
        </w:rPr>
        <w:t>公司所有一切物品原则上不得私用；</w:t>
      </w:r>
    </w:p>
    <w:p>
      <w:pPr>
        <w:pStyle w:val="Normal"/>
        <w:numPr>
          <w:ilvl w:val="0"/>
          <w:numId w:val="42"/>
        </w:numPr>
        <w:tabs>
          <w:tab w:val="clear" w:pos="420"/>
          <w:tab w:val="left" w:pos="975" w:leader="none"/>
          <w:tab w:val="left" w:pos="1155" w:leader="none"/>
        </w:tabs>
        <w:spacing w:lineRule="exact" w:line="360"/>
        <w:ind w:start="976" w:hanging="403"/>
        <w:rPr>
          <w:szCs w:val="21"/>
        </w:rPr>
      </w:pPr>
      <w:r>
        <w:rPr>
          <w:rFonts w:ascii="SimHei" w:hAnsi="SimHei" w:eastAsia="黑体"/>
          <w:szCs w:val="21"/>
        </w:rPr>
        <w:t>公司物品未经许可不得任意移动；</w:t>
      </w:r>
    </w:p>
    <w:p>
      <w:pPr>
        <w:pStyle w:val="Normal"/>
        <w:numPr>
          <w:ilvl w:val="0"/>
          <w:numId w:val="42"/>
        </w:numPr>
        <w:tabs>
          <w:tab w:val="clear" w:pos="420"/>
          <w:tab w:val="left" w:pos="975" w:leader="none"/>
          <w:tab w:val="left" w:pos="1155" w:leader="none"/>
        </w:tabs>
        <w:spacing w:lineRule="exact" w:line="360"/>
        <w:ind w:start="976" w:hanging="403"/>
        <w:rPr>
          <w:szCs w:val="21"/>
        </w:rPr>
      </w:pPr>
      <w:r>
        <w:rPr>
          <w:rFonts w:ascii="SimHei" w:hAnsi="SimHei" w:eastAsia="黑体"/>
          <w:szCs w:val="21"/>
        </w:rPr>
        <w:t>不得隐藏或随意将公物带出公司；</w:t>
      </w:r>
    </w:p>
    <w:p>
      <w:pPr>
        <w:pStyle w:val="Normal"/>
        <w:numPr>
          <w:ilvl w:val="0"/>
          <w:numId w:val="42"/>
        </w:numPr>
        <w:tabs>
          <w:tab w:val="clear" w:pos="420"/>
          <w:tab w:val="left" w:pos="975" w:leader="none"/>
          <w:tab w:val="left" w:pos="1155" w:leader="none"/>
        </w:tabs>
        <w:spacing w:lineRule="exact" w:line="360"/>
        <w:rPr>
          <w:szCs w:val="21"/>
        </w:rPr>
      </w:pPr>
      <w:r>
        <w:rPr>
          <w:rFonts w:ascii="SimHei" w:hAnsi="SimHei" w:eastAsia="黑体"/>
          <w:szCs w:val="21"/>
        </w:rPr>
        <w:t>易燃、易爆及化学有害物品，必须在规定地点存放。</w:t>
      </w:r>
    </w:p>
    <w:p>
      <w:pPr>
        <w:pStyle w:val="Normal"/>
        <w:tabs>
          <w:tab w:val="clear" w:pos="420"/>
          <w:tab w:val="left" w:pos="1155" w:leader="none"/>
        </w:tabs>
        <w:spacing w:lineRule="exact" w:line="360"/>
        <w:rPr>
          <w:szCs w:val="21"/>
        </w:rPr>
      </w:pPr>
      <w:r>
        <w:rPr>
          <w:rFonts w:ascii="SimHei" w:hAnsi="SimHei" w:eastAsia="黑体"/>
          <w:szCs w:val="21"/>
        </w:rPr>
      </w:r>
    </w:p>
    <w:p>
      <w:pPr>
        <w:pStyle w:val="Normal"/>
        <w:numPr>
          <w:ilvl w:val="0"/>
          <w:numId w:val="12"/>
        </w:numPr>
        <w:jc w:val="center"/>
        <w:outlineLvl w:val="0"/>
        <w:rPr>
          <w:rFonts w:eastAsia="黑体"/>
          <w:sz w:val="30"/>
        </w:rPr>
      </w:pPr>
      <w:bookmarkStart w:id="17" w:name="__RefHeading___Toc216679003"/>
      <w:bookmarkEnd w:id="17"/>
      <w:r>
        <w:rPr>
          <w:rFonts w:eastAsia="黑体" w:ascii="SimHei" w:hAnsi="SimHei"/>
          <w:sz w:val="30"/>
        </w:rPr>
        <w:t>考</w:t>
      </w:r>
      <w:r>
        <w:rPr>
          <w:rFonts w:eastAsia="黑体" w:ascii="SimHei" w:hAnsi="SimHei"/>
          <w:sz w:val="30"/>
        </w:rPr>
        <w:t xml:space="preserve">   </w:t>
      </w:r>
      <w:r>
        <w:rPr>
          <w:rFonts w:eastAsia="黑体" w:ascii="SimHei" w:hAnsi="SimHei"/>
          <w:sz w:val="30"/>
        </w:rPr>
        <w:t>勤</w:t>
      </w:r>
    </w:p>
    <w:p>
      <w:pPr>
        <w:pStyle w:val="Normal"/>
        <w:numPr>
          <w:ilvl w:val="0"/>
          <w:numId w:val="24"/>
        </w:numPr>
        <w:spacing w:lineRule="exact" w:line="360"/>
        <w:outlineLvl w:val="1"/>
        <w:rPr>
          <w:b/>
          <w:b/>
          <w:bCs/>
          <w:szCs w:val="21"/>
        </w:rPr>
      </w:pPr>
      <w:bookmarkStart w:id="18" w:name="__RefHeading___Toc216679004"/>
      <w:bookmarkEnd w:id="18"/>
      <w:r>
        <w:rPr>
          <w:rFonts w:ascii="SimHei" w:hAnsi="SimHei" w:eastAsia="黑体"/>
          <w:b/>
          <w:bCs/>
          <w:szCs w:val="21"/>
        </w:rPr>
        <w:t>工作时间</w:t>
      </w:r>
    </w:p>
    <w:p>
      <w:pPr>
        <w:pStyle w:val="Normal"/>
        <w:numPr>
          <w:ilvl w:val="0"/>
          <w:numId w:val="45"/>
        </w:numPr>
        <w:spacing w:lineRule="exact" w:line="360"/>
        <w:rPr>
          <w:rFonts w:ascii="宋体" w:hAnsi="宋体" w:cs="宋体"/>
          <w:szCs w:val="21"/>
        </w:rPr>
      </w:pPr>
      <w:r>
        <w:rPr>
          <w:rFonts w:ascii="SimHei" w:hAnsi="SimHei" w:cs="宋体" w:eastAsia="黑体"/>
          <w:szCs w:val="21"/>
        </w:rPr>
        <w:t>每周工作五天，每天八小时工作，周一至周五，上午：</w:t>
      </w:r>
      <w:r>
        <w:rPr>
          <w:rFonts w:cs="宋体" w:ascii="SimHei" w:hAnsi="SimHei" w:eastAsia="黑体"/>
          <w:szCs w:val="21"/>
        </w:rPr>
        <w:t>8:30-12:00</w:t>
      </w:r>
      <w:r>
        <w:rPr>
          <w:rFonts w:ascii="SimHei" w:hAnsi="SimHei" w:cs="宋体" w:eastAsia="黑体"/>
          <w:szCs w:val="21"/>
        </w:rPr>
        <w:t>，下午：</w:t>
      </w:r>
      <w:r>
        <w:rPr>
          <w:rFonts w:cs="宋体" w:ascii="SimHei" w:hAnsi="SimHei" w:eastAsia="黑体"/>
          <w:szCs w:val="21"/>
        </w:rPr>
        <w:t>13:00-17:30</w:t>
      </w:r>
      <w:r>
        <w:rPr>
          <w:rFonts w:ascii="SimHei" w:hAnsi="SimHei" w:cs="宋体" w:eastAsia="黑体"/>
          <w:szCs w:val="21"/>
        </w:rPr>
        <w:t>；</w:t>
      </w:r>
      <w:r>
        <w:rPr>
          <w:rFonts w:ascii="SimHei" w:hAnsi="SimHei" w:cs="宋体" w:eastAsia="黑体"/>
          <w:color w:val="000000"/>
          <w:szCs w:val="21"/>
        </w:rPr>
        <w:t>其中，</w:t>
      </w:r>
      <w:r>
        <w:rPr>
          <w:rFonts w:cs="宋体" w:ascii="SimHei" w:hAnsi="SimHei" w:eastAsia="黑体"/>
          <w:color w:val="000000"/>
          <w:szCs w:val="21"/>
        </w:rPr>
        <w:t>10</w:t>
      </w:r>
      <w:r>
        <w:rPr>
          <w:rFonts w:ascii="SimHei" w:hAnsi="SimHei" w:cs="宋体" w:eastAsia="黑体"/>
          <w:color w:val="000000"/>
          <w:szCs w:val="21"/>
        </w:rPr>
        <w:t>：</w:t>
      </w:r>
      <w:r>
        <w:rPr>
          <w:rFonts w:cs="宋体" w:ascii="SimHei" w:hAnsi="SimHei" w:eastAsia="黑体"/>
          <w:color w:val="000000"/>
          <w:szCs w:val="21"/>
        </w:rPr>
        <w:t>00-10</w:t>
      </w:r>
      <w:r>
        <w:rPr>
          <w:rFonts w:ascii="SimHei" w:hAnsi="SimHei" w:cs="宋体" w:eastAsia="黑体"/>
          <w:color w:val="000000"/>
          <w:szCs w:val="21"/>
        </w:rPr>
        <w:t>：</w:t>
      </w:r>
      <w:r>
        <w:rPr>
          <w:rFonts w:cs="宋体" w:ascii="SimHei" w:hAnsi="SimHei" w:eastAsia="黑体"/>
          <w:color w:val="000000"/>
          <w:szCs w:val="21"/>
        </w:rPr>
        <w:t>10</w:t>
      </w:r>
      <w:r>
        <w:rPr>
          <w:rFonts w:ascii="SimHei" w:hAnsi="SimHei" w:cs="宋体" w:eastAsia="黑体"/>
          <w:color w:val="000000"/>
          <w:szCs w:val="21"/>
        </w:rPr>
        <w:t>及</w:t>
      </w:r>
      <w:r>
        <w:rPr>
          <w:rFonts w:cs="宋体" w:ascii="SimHei" w:hAnsi="SimHei" w:eastAsia="黑体"/>
          <w:color w:val="000000"/>
          <w:szCs w:val="21"/>
        </w:rPr>
        <w:t>15</w:t>
      </w:r>
      <w:r>
        <w:rPr>
          <w:rFonts w:ascii="SimHei" w:hAnsi="SimHei" w:cs="宋体" w:eastAsia="黑体"/>
          <w:color w:val="000000"/>
          <w:szCs w:val="21"/>
        </w:rPr>
        <w:t>：</w:t>
      </w:r>
      <w:r>
        <w:rPr>
          <w:rFonts w:cs="宋体" w:ascii="SimHei" w:hAnsi="SimHei" w:eastAsia="黑体"/>
          <w:color w:val="000000"/>
          <w:szCs w:val="21"/>
        </w:rPr>
        <w:t>30-15</w:t>
      </w:r>
      <w:r>
        <w:rPr>
          <w:rFonts w:ascii="SimHei" w:hAnsi="SimHei" w:cs="宋体" w:eastAsia="黑体"/>
          <w:color w:val="000000"/>
          <w:szCs w:val="21"/>
        </w:rPr>
        <w:t>：</w:t>
      </w:r>
      <w:r>
        <w:rPr>
          <w:rFonts w:cs="宋体" w:ascii="SimHei" w:hAnsi="SimHei" w:eastAsia="黑体"/>
          <w:color w:val="000000"/>
          <w:szCs w:val="21"/>
        </w:rPr>
        <w:t>40</w:t>
      </w:r>
      <w:r>
        <w:rPr>
          <w:rFonts w:ascii="SimHei" w:hAnsi="SimHei" w:cs="宋体" w:eastAsia="黑体"/>
          <w:color w:val="000000"/>
          <w:szCs w:val="21"/>
        </w:rPr>
        <w:t>为生产一线员工中途休息时间，以铃声为准；</w:t>
      </w:r>
    </w:p>
    <w:p>
      <w:pPr>
        <w:pStyle w:val="Normal"/>
        <w:numPr>
          <w:ilvl w:val="0"/>
          <w:numId w:val="45"/>
        </w:numPr>
        <w:spacing w:lineRule="exact" w:line="360"/>
        <w:rPr>
          <w:rFonts w:ascii="宋体" w:hAnsi="宋体" w:cs="宋体"/>
          <w:szCs w:val="21"/>
        </w:rPr>
      </w:pPr>
      <w:r>
        <w:rPr>
          <w:rFonts w:ascii="SimHei" w:hAnsi="SimHei" w:cs="宋体" w:eastAsia="黑体"/>
          <w:szCs w:val="21"/>
        </w:rPr>
        <w:t>因生产、工作需要，经与员工协商一致后，可延长工作时间。除《中华人民共和国劳动法》第四十二条规定的情形外，一般每日不超过一小时，因特殊原因最长每日不超过三小时，每月不超过三十六小时。</w:t>
      </w:r>
    </w:p>
    <w:p>
      <w:pPr>
        <w:pStyle w:val="Normal"/>
        <w:numPr>
          <w:ilvl w:val="0"/>
          <w:numId w:val="45"/>
        </w:numPr>
        <w:spacing w:lineRule="exact" w:line="360"/>
        <w:rPr>
          <w:rFonts w:ascii="宋体" w:hAnsi="宋体" w:cs="宋体"/>
          <w:szCs w:val="21"/>
        </w:rPr>
      </w:pPr>
      <w:r>
        <w:rPr>
          <w:rFonts w:ascii="SimHei" w:hAnsi="SimHei" w:cs="宋体" w:eastAsia="黑体"/>
          <w:szCs w:val="21"/>
        </w:rPr>
        <w:t>由于生产关系，安排员工加班，在办理加班申请手续并获批准后，公司将按国家有关法律法规，给予补休或加班工资，加班工资的计算方法请参照本手册第</w:t>
      </w:r>
      <w:r>
        <w:rPr>
          <w:rFonts w:cs="宋体" w:ascii="SimHei" w:hAnsi="SimHei" w:eastAsia="黑体"/>
          <w:szCs w:val="21"/>
        </w:rPr>
        <w:t>13</w:t>
      </w:r>
      <w:r>
        <w:rPr>
          <w:rFonts w:ascii="SimHei" w:hAnsi="SimHei" w:cs="宋体" w:eastAsia="黑体"/>
          <w:szCs w:val="21"/>
        </w:rPr>
        <w:t>条；</w:t>
      </w:r>
    </w:p>
    <w:p>
      <w:pPr>
        <w:pStyle w:val="Normal"/>
        <w:numPr>
          <w:ilvl w:val="0"/>
          <w:numId w:val="45"/>
        </w:numPr>
        <w:spacing w:lineRule="exact" w:line="360"/>
        <w:rPr>
          <w:rFonts w:ascii="宋体" w:hAnsi="宋体" w:cs="宋体"/>
          <w:szCs w:val="21"/>
        </w:rPr>
      </w:pPr>
      <w:r>
        <w:rPr>
          <w:rFonts w:ascii="SimHei" w:hAnsi="SimHei" w:cs="宋体" w:eastAsia="黑体"/>
          <w:szCs w:val="21"/>
        </w:rPr>
        <w:t>因电力供应、设备维护等原因需临时调整工作时间时，以公司通知为准。工作时间内，如遇停电、自然灾害或其他特殊情况暂时中止工作时，如公司安排离岗休息，则将此时间视为休息时间，可用正规休息时间及规定劳动时间以外的时间补回。</w:t>
      </w:r>
    </w:p>
    <w:p>
      <w:pPr>
        <w:pStyle w:val="Normal"/>
        <w:numPr>
          <w:ilvl w:val="0"/>
          <w:numId w:val="24"/>
        </w:numPr>
        <w:spacing w:lineRule="exact" w:line="360"/>
        <w:outlineLvl w:val="1"/>
        <w:rPr>
          <w:b/>
          <w:b/>
          <w:bCs/>
          <w:szCs w:val="21"/>
        </w:rPr>
      </w:pPr>
      <w:bookmarkStart w:id="19" w:name="__RefHeading___Toc216679005"/>
      <w:bookmarkEnd w:id="19"/>
      <w:r>
        <w:rPr>
          <w:rFonts w:ascii="SimHei" w:hAnsi="SimHei" w:eastAsia="黑体"/>
          <w:b/>
          <w:bCs/>
          <w:szCs w:val="21"/>
        </w:rPr>
        <w:t>考勤规定</w:t>
      </w:r>
    </w:p>
    <w:p>
      <w:pPr>
        <w:pStyle w:val="Normal"/>
        <w:numPr>
          <w:ilvl w:val="0"/>
          <w:numId w:val="36"/>
        </w:numPr>
        <w:spacing w:lineRule="exact" w:line="360"/>
        <w:rPr>
          <w:rFonts w:ascii="宋体" w:hAnsi="宋体" w:cs="宋体"/>
          <w:color w:val="000000"/>
          <w:szCs w:val="21"/>
        </w:rPr>
      </w:pPr>
      <w:r>
        <w:rPr>
          <w:rFonts w:ascii="SimHei" w:hAnsi="SimHei" w:cs="宋体" w:eastAsia="黑体"/>
          <w:szCs w:val="21"/>
        </w:rPr>
        <w:t>为鼓励员工积极认真投入工作，减少以致杜绝迟到、早退和不必要的请假现象，公司设立</w:t>
      </w:r>
      <w:r>
        <w:rPr>
          <w:rFonts w:ascii="SimHei" w:hAnsi="SimHei" w:cs="宋体" w:eastAsia="黑体"/>
          <w:color w:val="000000"/>
          <w:szCs w:val="21"/>
        </w:rPr>
        <w:t>全勤奖。奖励办法如下：</w:t>
      </w:r>
    </w:p>
    <w:p>
      <w:pPr>
        <w:pStyle w:val="Normal"/>
        <w:numPr>
          <w:ilvl w:val="2"/>
          <w:numId w:val="45"/>
        </w:numPr>
        <w:spacing w:lineRule="exact" w:line="360"/>
        <w:rPr>
          <w:rFonts w:ascii="宋体" w:hAnsi="宋体" w:cs="宋体"/>
          <w:color w:val="000000"/>
          <w:szCs w:val="21"/>
        </w:rPr>
      </w:pPr>
      <w:r>
        <w:rPr>
          <w:rFonts w:ascii="SimHei" w:hAnsi="SimHei" w:cs="宋体" w:eastAsia="黑体"/>
          <w:color w:val="000000"/>
          <w:szCs w:val="21"/>
        </w:rPr>
        <w:t>考核时间：按月考核，不累计到下个月；</w:t>
      </w:r>
    </w:p>
    <w:p>
      <w:pPr>
        <w:pStyle w:val="Normal"/>
        <w:numPr>
          <w:ilvl w:val="2"/>
          <w:numId w:val="45"/>
        </w:numPr>
        <w:spacing w:lineRule="exact" w:line="360"/>
        <w:rPr>
          <w:rFonts w:ascii="宋体" w:hAnsi="宋体" w:cs="宋体"/>
          <w:color w:val="000000"/>
          <w:szCs w:val="21"/>
        </w:rPr>
      </w:pPr>
      <w:r>
        <w:rPr>
          <w:rFonts w:ascii="SimHei" w:hAnsi="SimHei" w:cs="宋体" w:eastAsia="黑体"/>
          <w:color w:val="000000"/>
          <w:szCs w:val="21"/>
        </w:rPr>
        <w:t>奖励对象：公司全体员工（含：试用期员工和实习生）；</w:t>
      </w:r>
    </w:p>
    <w:p>
      <w:pPr>
        <w:pStyle w:val="Normal"/>
        <w:numPr>
          <w:ilvl w:val="2"/>
          <w:numId w:val="45"/>
        </w:numPr>
        <w:spacing w:lineRule="exact" w:line="360"/>
        <w:rPr>
          <w:rFonts w:ascii="宋体" w:hAnsi="宋体" w:cs="宋体"/>
          <w:color w:val="000000"/>
          <w:szCs w:val="21"/>
        </w:rPr>
      </w:pPr>
      <w:r>
        <w:rPr>
          <w:rFonts w:ascii="SimHei" w:hAnsi="SimHei" w:cs="宋体" w:eastAsia="黑体"/>
          <w:color w:val="000000"/>
          <w:szCs w:val="21"/>
        </w:rPr>
        <w:t>奖励金额：每月每人</w:t>
      </w:r>
      <w:r>
        <w:rPr>
          <w:rFonts w:cs="宋体" w:ascii="SimHei" w:hAnsi="SimHei" w:eastAsia="黑体"/>
          <w:color w:val="000000"/>
          <w:szCs w:val="21"/>
        </w:rPr>
        <w:t>100</w:t>
      </w:r>
      <w:r>
        <w:rPr>
          <w:rFonts w:ascii="SimHei" w:hAnsi="SimHei" w:cs="宋体" w:eastAsia="黑体"/>
          <w:color w:val="000000"/>
          <w:szCs w:val="21"/>
        </w:rPr>
        <w:t>元，与当月工资一同发放；</w:t>
      </w:r>
    </w:p>
    <w:p>
      <w:pPr>
        <w:pStyle w:val="Normal"/>
        <w:numPr>
          <w:ilvl w:val="2"/>
          <w:numId w:val="45"/>
        </w:numPr>
        <w:spacing w:lineRule="exact" w:line="360"/>
        <w:rPr>
          <w:rFonts w:ascii="宋体" w:hAnsi="宋体" w:cs="宋体"/>
          <w:color w:val="000000"/>
          <w:szCs w:val="21"/>
        </w:rPr>
      </w:pPr>
      <w:r>
        <w:rPr>
          <w:rFonts w:ascii="SimHei" w:hAnsi="SimHei" w:cs="宋体" w:eastAsia="黑体"/>
          <w:color w:val="000000"/>
          <w:szCs w:val="21"/>
        </w:rPr>
        <w:t>出现迟到和早退现象，或收到《考勤异常报告书》，及有请假（包括：年假、事假、病假、婚假、丧假等）的员工，一律不享受全勤奖；</w:t>
      </w:r>
    </w:p>
    <w:p>
      <w:pPr>
        <w:pStyle w:val="Normal"/>
        <w:numPr>
          <w:ilvl w:val="2"/>
          <w:numId w:val="45"/>
        </w:numPr>
        <w:spacing w:lineRule="exact" w:line="360"/>
        <w:rPr>
          <w:rFonts w:ascii="宋体" w:hAnsi="宋体" w:cs="宋体"/>
          <w:color w:val="000000"/>
          <w:szCs w:val="21"/>
        </w:rPr>
      </w:pPr>
      <w:r>
        <w:rPr>
          <w:rFonts w:ascii="SimHei" w:hAnsi="SimHei" w:cs="宋体" w:eastAsia="黑体"/>
          <w:color w:val="000000"/>
          <w:szCs w:val="21"/>
        </w:rPr>
        <w:t>公司安排员工休年休假，将视同正常上班，若无其他请假，将享受全勤奖。</w:t>
      </w:r>
    </w:p>
    <w:p>
      <w:pPr>
        <w:pStyle w:val="Normal"/>
        <w:numPr>
          <w:ilvl w:val="0"/>
          <w:numId w:val="36"/>
        </w:numPr>
        <w:spacing w:lineRule="exact" w:line="360"/>
        <w:rPr>
          <w:rFonts w:ascii="宋体" w:hAnsi="宋体" w:cs="宋体"/>
          <w:color w:val="000000"/>
          <w:szCs w:val="21"/>
        </w:rPr>
      </w:pPr>
      <w:r>
        <w:rPr>
          <w:rFonts w:ascii="SimHei" w:hAnsi="SimHei" w:cs="宋体" w:eastAsia="黑体"/>
          <w:color w:val="000000"/>
          <w:szCs w:val="21"/>
        </w:rPr>
        <w:t>出现以下异常情况：忘记带卡、未打卡或打卡不成功，需填写《漏打卡原因说明》由部门经理和总经理签名确认后，交考勤负责人统计、存档，并作为绩效考核依据；因忘记带卡而导致打卡不成功的员工，应当天提交《漏打卡原因说明》，月底时再补交的，当迟到处理；</w:t>
      </w:r>
    </w:p>
    <w:p>
      <w:pPr>
        <w:pStyle w:val="Normal"/>
        <w:numPr>
          <w:ilvl w:val="0"/>
          <w:numId w:val="36"/>
        </w:numPr>
        <w:spacing w:lineRule="exact" w:line="360"/>
        <w:rPr>
          <w:rFonts w:ascii="宋体" w:hAnsi="宋体" w:cs="宋体"/>
          <w:color w:val="000000"/>
          <w:szCs w:val="21"/>
        </w:rPr>
      </w:pPr>
      <w:r>
        <w:rPr>
          <w:rFonts w:ascii="SimHei" w:hAnsi="SimHei" w:cs="宋体" w:eastAsia="黑体"/>
          <w:color w:val="000000"/>
          <w:szCs w:val="21"/>
        </w:rPr>
        <w:t>若一月内出现</w:t>
      </w:r>
      <w:r>
        <w:rPr>
          <w:rFonts w:cs="宋体" w:ascii="SimHei" w:hAnsi="SimHei" w:eastAsia="黑体"/>
          <w:color w:val="000000"/>
          <w:szCs w:val="21"/>
        </w:rPr>
        <w:t>3</w:t>
      </w:r>
      <w:r>
        <w:rPr>
          <w:rFonts w:ascii="SimHei" w:hAnsi="SimHei" w:cs="宋体" w:eastAsia="黑体"/>
          <w:color w:val="000000"/>
          <w:szCs w:val="21"/>
        </w:rPr>
        <w:t>次异常（未打卡或打卡不成功、迟到或早退），相关员工需要提交《考勤异常报告书》由部门经理和总经理确认，并交考勤负责人统计、保管，并作为年终考核依据；</w:t>
      </w:r>
    </w:p>
    <w:p>
      <w:pPr>
        <w:pStyle w:val="Normal"/>
        <w:numPr>
          <w:ilvl w:val="0"/>
          <w:numId w:val="36"/>
        </w:numPr>
        <w:spacing w:lineRule="exact" w:line="360"/>
        <w:rPr>
          <w:rFonts w:ascii="宋体" w:hAnsi="宋体" w:cs="宋体"/>
          <w:szCs w:val="21"/>
        </w:rPr>
      </w:pPr>
      <w:r>
        <w:rPr>
          <w:rFonts w:ascii="SimHei" w:hAnsi="SimHei" w:cs="宋体" w:eastAsia="黑体"/>
          <w:szCs w:val="21"/>
        </w:rPr>
        <w:t>员工请假需填写《员工请假单》交组长、部门经理、总经理批准后，方可离开工作岗位；原则上不接受先请假，后补办手续的行为；</w:t>
      </w:r>
    </w:p>
    <w:p>
      <w:pPr>
        <w:pStyle w:val="Normal"/>
        <w:numPr>
          <w:ilvl w:val="0"/>
          <w:numId w:val="36"/>
        </w:numPr>
        <w:spacing w:lineRule="exact" w:line="360"/>
        <w:rPr>
          <w:rFonts w:ascii="宋体" w:hAnsi="宋体" w:cs="宋体"/>
          <w:szCs w:val="21"/>
        </w:rPr>
      </w:pPr>
      <w:r>
        <w:rPr>
          <w:rFonts w:ascii="SimHei" w:hAnsi="SimHei" w:cs="宋体" w:eastAsia="黑体"/>
          <w:szCs w:val="21"/>
        </w:rPr>
        <w:t>由公司派往驻地以外的地方执行工作或接受培训的，视同公差处理，员工需先填写《员工外勤单》交组长、部门经理、总经理批准后，方可离开；</w:t>
      </w:r>
    </w:p>
    <w:p>
      <w:pPr>
        <w:pStyle w:val="Normal"/>
        <w:numPr>
          <w:ilvl w:val="0"/>
          <w:numId w:val="36"/>
        </w:numPr>
        <w:spacing w:lineRule="exact" w:line="360"/>
        <w:rPr>
          <w:rFonts w:ascii="宋体" w:hAnsi="宋体" w:cs="宋体"/>
          <w:szCs w:val="21"/>
        </w:rPr>
      </w:pPr>
      <w:r>
        <w:rPr>
          <w:rFonts w:ascii="SimHei" w:hAnsi="SimHei" w:cs="宋体" w:eastAsia="黑体"/>
          <w:szCs w:val="21"/>
        </w:rPr>
        <w:t>有下列情况之一者按旷工处理；除不计算旷工时间的工资外，另扣除</w:t>
      </w:r>
      <w:r>
        <w:rPr>
          <w:rFonts w:cs="宋体" w:ascii="SimHei" w:hAnsi="SimHei" w:eastAsia="黑体"/>
          <w:szCs w:val="21"/>
        </w:rPr>
        <w:t>50</w:t>
      </w:r>
      <w:r>
        <w:rPr>
          <w:rFonts w:ascii="SimHei" w:hAnsi="SimHei" w:cs="宋体" w:eastAsia="黑体"/>
          <w:szCs w:val="21"/>
        </w:rPr>
        <w:t>元</w:t>
      </w:r>
      <w:r>
        <w:rPr>
          <w:rFonts w:cs="宋体" w:ascii="SimHei" w:hAnsi="SimHei" w:eastAsia="黑体"/>
          <w:szCs w:val="21"/>
        </w:rPr>
        <w:t>/</w:t>
      </w:r>
      <w:r>
        <w:rPr>
          <w:rFonts w:ascii="SimHei" w:hAnsi="SimHei" w:cs="宋体" w:eastAsia="黑体"/>
          <w:szCs w:val="21"/>
        </w:rPr>
        <w:t>次</w:t>
      </w:r>
      <w:r>
        <w:rPr>
          <w:rFonts w:cs="宋体" w:ascii="SimHei" w:hAnsi="SimHei" w:eastAsia="黑体"/>
          <w:szCs w:val="21"/>
        </w:rPr>
        <w:t>/</w:t>
      </w:r>
      <w:r>
        <w:rPr>
          <w:rFonts w:ascii="SimHei" w:hAnsi="SimHei" w:cs="宋体" w:eastAsia="黑体"/>
          <w:szCs w:val="21"/>
        </w:rPr>
        <w:t>天；若连续旷工</w:t>
      </w:r>
      <w:r>
        <w:rPr>
          <w:rFonts w:cs="宋体" w:ascii="SimHei" w:hAnsi="SimHei" w:eastAsia="黑体"/>
          <w:szCs w:val="21"/>
        </w:rPr>
        <w:t>3</w:t>
      </w:r>
      <w:r>
        <w:rPr>
          <w:rFonts w:ascii="SimHei" w:hAnsi="SimHei" w:cs="宋体" w:eastAsia="黑体"/>
          <w:szCs w:val="21"/>
        </w:rPr>
        <w:t>天，或一年内累计旷工</w:t>
      </w:r>
      <w:r>
        <w:rPr>
          <w:rFonts w:cs="宋体" w:ascii="SimHei" w:hAnsi="SimHei" w:eastAsia="黑体"/>
          <w:szCs w:val="21"/>
        </w:rPr>
        <w:t>5</w:t>
      </w:r>
      <w:r>
        <w:rPr>
          <w:rFonts w:ascii="SimHei" w:hAnsi="SimHei" w:cs="宋体" w:eastAsia="黑体"/>
          <w:szCs w:val="21"/>
        </w:rPr>
        <w:t>天，给予解除劳动合同处理，不作经济补偿。</w:t>
      </w:r>
    </w:p>
    <w:p>
      <w:pPr>
        <w:pStyle w:val="Normal"/>
        <w:numPr>
          <w:ilvl w:val="0"/>
          <w:numId w:val="6"/>
        </w:numPr>
        <w:spacing w:lineRule="exact" w:line="360"/>
        <w:rPr>
          <w:rFonts w:ascii="宋体" w:hAnsi="宋体" w:cs="宋体"/>
          <w:szCs w:val="21"/>
        </w:rPr>
      </w:pPr>
      <w:r>
        <w:rPr>
          <w:rFonts w:ascii="SimHei" w:hAnsi="SimHei" w:cs="宋体" w:eastAsia="黑体"/>
          <w:szCs w:val="21"/>
        </w:rPr>
        <w:t>无正当理由或未经领导批准，擅自不上班或假期期满不按时上班者；</w:t>
      </w:r>
    </w:p>
    <w:p>
      <w:pPr>
        <w:pStyle w:val="Normal"/>
        <w:numPr>
          <w:ilvl w:val="0"/>
          <w:numId w:val="6"/>
        </w:numPr>
        <w:spacing w:lineRule="exact" w:line="360"/>
        <w:rPr>
          <w:rFonts w:ascii="宋体" w:hAnsi="宋体" w:cs="宋体"/>
          <w:szCs w:val="21"/>
        </w:rPr>
      </w:pPr>
      <w:r>
        <w:rPr>
          <w:rFonts w:ascii="SimHei" w:hAnsi="SimHei" w:cs="宋体" w:eastAsia="黑体"/>
          <w:szCs w:val="21"/>
        </w:rPr>
        <w:t>工作时间内未经允许，擅自离开本职岗位者；</w:t>
      </w:r>
    </w:p>
    <w:p>
      <w:pPr>
        <w:pStyle w:val="Normal"/>
        <w:numPr>
          <w:ilvl w:val="0"/>
          <w:numId w:val="6"/>
        </w:numPr>
        <w:spacing w:lineRule="exact" w:line="360"/>
        <w:rPr>
          <w:rFonts w:ascii="宋体" w:hAnsi="宋体" w:cs="宋体"/>
          <w:szCs w:val="21"/>
        </w:rPr>
      </w:pPr>
      <w:r>
        <w:rPr>
          <w:rFonts w:ascii="SimHei" w:hAnsi="SimHei" w:cs="宋体" w:eastAsia="黑体"/>
          <w:szCs w:val="21"/>
        </w:rPr>
        <w:t>请假手续不全或未及时补办手续者；</w:t>
      </w:r>
    </w:p>
    <w:p>
      <w:pPr>
        <w:pStyle w:val="Normal"/>
        <w:numPr>
          <w:ilvl w:val="0"/>
          <w:numId w:val="6"/>
        </w:numPr>
        <w:spacing w:lineRule="exact" w:line="360"/>
        <w:rPr>
          <w:rFonts w:ascii="宋体" w:hAnsi="宋体" w:cs="宋体"/>
          <w:color w:val="000000"/>
          <w:szCs w:val="21"/>
        </w:rPr>
      </w:pPr>
      <w:r>
        <w:rPr>
          <w:rFonts w:ascii="SimHei" w:hAnsi="SimHei" w:cs="宋体" w:eastAsia="黑体"/>
          <w:color w:val="000000"/>
          <w:szCs w:val="21"/>
        </w:rPr>
        <w:t>迟到</w:t>
      </w:r>
      <w:r>
        <w:rPr>
          <w:rFonts w:cs="宋体" w:ascii="SimHei" w:hAnsi="SimHei" w:eastAsia="黑体"/>
          <w:color w:val="000000"/>
          <w:szCs w:val="21"/>
        </w:rPr>
        <w:t>/</w:t>
      </w:r>
      <w:r>
        <w:rPr>
          <w:rFonts w:ascii="SimHei" w:hAnsi="SimHei" w:cs="宋体" w:eastAsia="黑体"/>
          <w:color w:val="000000"/>
          <w:szCs w:val="21"/>
        </w:rPr>
        <w:t>早退</w:t>
      </w:r>
      <w:r>
        <w:rPr>
          <w:rFonts w:cs="宋体" w:ascii="SimHei" w:hAnsi="SimHei" w:eastAsia="黑体"/>
          <w:color w:val="000000"/>
          <w:szCs w:val="21"/>
        </w:rPr>
        <w:t>20</w:t>
      </w:r>
      <w:r>
        <w:rPr>
          <w:rFonts w:ascii="SimHei" w:hAnsi="SimHei" w:cs="宋体" w:eastAsia="黑体"/>
          <w:color w:val="000000"/>
          <w:szCs w:val="21"/>
        </w:rPr>
        <w:t>分钟者。</w:t>
      </w:r>
    </w:p>
    <w:p>
      <w:pPr>
        <w:pStyle w:val="Normal"/>
        <w:numPr>
          <w:ilvl w:val="0"/>
          <w:numId w:val="24"/>
        </w:numPr>
        <w:spacing w:lineRule="exact" w:line="360"/>
        <w:outlineLvl w:val="1"/>
        <w:rPr>
          <w:b/>
          <w:b/>
          <w:bCs/>
          <w:szCs w:val="21"/>
        </w:rPr>
      </w:pPr>
      <w:bookmarkStart w:id="20" w:name="__RefHeading___Toc216679006"/>
      <w:bookmarkEnd w:id="20"/>
      <w:r>
        <w:rPr>
          <w:rFonts w:ascii="SimHei" w:hAnsi="SimHei" w:eastAsia="黑体"/>
          <w:b/>
          <w:bCs/>
          <w:szCs w:val="21"/>
        </w:rPr>
        <w:t>员工加班</w:t>
      </w:r>
    </w:p>
    <w:p>
      <w:pPr>
        <w:pStyle w:val="Normal"/>
        <w:numPr>
          <w:ilvl w:val="0"/>
          <w:numId w:val="9"/>
        </w:numPr>
        <w:spacing w:lineRule="exact" w:line="360"/>
        <w:rPr>
          <w:rFonts w:ascii="宋体" w:hAnsi="宋体" w:cs="宋体"/>
          <w:szCs w:val="21"/>
        </w:rPr>
      </w:pPr>
      <w:r>
        <w:rPr>
          <w:rFonts w:ascii="SimHei" w:hAnsi="SimHei" w:cs="宋体" w:eastAsia="黑体"/>
          <w:szCs w:val="21"/>
        </w:rPr>
        <w:t>公司可根据生产任务安排加班，员工应给予积极配合；</w:t>
      </w:r>
    </w:p>
    <w:p>
      <w:pPr>
        <w:pStyle w:val="Normal"/>
        <w:numPr>
          <w:ilvl w:val="0"/>
          <w:numId w:val="9"/>
        </w:numPr>
        <w:tabs>
          <w:tab w:val="clear" w:pos="420"/>
          <w:tab w:val="left" w:pos="780" w:leader="none"/>
          <w:tab w:val="left" w:pos="1050" w:leader="none"/>
        </w:tabs>
        <w:spacing w:lineRule="exact" w:line="360"/>
        <w:rPr>
          <w:rFonts w:ascii="宋体" w:hAnsi="宋体" w:cs="宋体"/>
          <w:color w:val="000000"/>
          <w:szCs w:val="21"/>
        </w:rPr>
      </w:pPr>
      <w:r>
        <w:rPr>
          <w:rFonts w:ascii="SimHei" w:hAnsi="SimHei" w:cs="宋体" w:eastAsia="黑体"/>
          <w:szCs w:val="21"/>
        </w:rPr>
        <w:t>生产部安排员工加班的，由部门经理填写《员工加班单》后由员工本人签名确认，总经理审批后，交考勤负责人统计及归档，</w:t>
      </w:r>
      <w:r>
        <w:rPr>
          <w:rFonts w:ascii="SimHei" w:hAnsi="SimHei" w:cs="宋体" w:eastAsia="黑体"/>
          <w:color w:val="000000"/>
          <w:szCs w:val="21"/>
        </w:rPr>
        <w:t>方可记作加班；《员工加班单》将作为计算加班工资和伙食补贴的依据；</w:t>
      </w:r>
    </w:p>
    <w:p>
      <w:pPr>
        <w:pStyle w:val="Normal"/>
        <w:numPr>
          <w:ilvl w:val="0"/>
          <w:numId w:val="9"/>
        </w:numPr>
        <w:tabs>
          <w:tab w:val="clear" w:pos="420"/>
          <w:tab w:val="left" w:pos="780" w:leader="none"/>
          <w:tab w:val="left" w:pos="1050" w:leader="none"/>
        </w:tabs>
        <w:spacing w:lineRule="exact" w:line="360"/>
        <w:rPr>
          <w:rFonts w:ascii="宋体" w:hAnsi="宋体" w:cs="宋体"/>
          <w:szCs w:val="21"/>
        </w:rPr>
      </w:pPr>
      <w:r>
        <w:rPr>
          <w:rFonts w:ascii="SimHei" w:hAnsi="SimHei" w:cs="宋体" w:eastAsia="黑体"/>
          <w:szCs w:val="21"/>
        </w:rPr>
        <w:t>安排全体人员加班的，以公司通知为准，无需员工个人提交加班申请；</w:t>
      </w:r>
    </w:p>
    <w:p>
      <w:pPr>
        <w:pStyle w:val="Normal"/>
        <w:numPr>
          <w:ilvl w:val="0"/>
          <w:numId w:val="9"/>
        </w:numPr>
        <w:tabs>
          <w:tab w:val="clear" w:pos="420"/>
          <w:tab w:val="left" w:pos="780" w:leader="none"/>
          <w:tab w:val="left" w:pos="1050" w:leader="none"/>
        </w:tabs>
        <w:spacing w:lineRule="exact" w:line="360"/>
        <w:rPr>
          <w:rFonts w:ascii="宋体" w:hAnsi="宋体" w:cs="宋体"/>
          <w:szCs w:val="21"/>
        </w:rPr>
      </w:pPr>
      <w:r>
        <w:rPr>
          <w:rFonts w:ascii="SimHei" w:hAnsi="SimHei" w:cs="宋体" w:eastAsia="黑体"/>
          <w:szCs w:val="21"/>
        </w:rPr>
        <w:t>加班时间超过晚上七点的，期间安排半个小时吃饭时间，吃饭时间不作加班计算，同时公司将补助</w:t>
      </w:r>
      <w:r>
        <w:rPr>
          <w:rFonts w:cs="宋体" w:ascii="SimHei" w:hAnsi="SimHei" w:eastAsia="黑体"/>
          <w:szCs w:val="21"/>
        </w:rPr>
        <w:t>7</w:t>
      </w:r>
      <w:r>
        <w:rPr>
          <w:rFonts w:ascii="SimHei" w:hAnsi="SimHei" w:cs="宋体" w:eastAsia="黑体"/>
          <w:szCs w:val="21"/>
        </w:rPr>
        <w:t>元伙食补贴；</w:t>
      </w:r>
    </w:p>
    <w:p>
      <w:pPr>
        <w:pStyle w:val="Normal"/>
        <w:numPr>
          <w:ilvl w:val="0"/>
          <w:numId w:val="9"/>
        </w:numPr>
        <w:tabs>
          <w:tab w:val="clear" w:pos="420"/>
          <w:tab w:val="left" w:pos="780" w:leader="none"/>
          <w:tab w:val="left" w:pos="1050" w:leader="none"/>
        </w:tabs>
        <w:spacing w:lineRule="exact" w:line="360"/>
        <w:rPr>
          <w:rFonts w:ascii="宋体" w:hAnsi="宋体" w:cs="宋体"/>
          <w:szCs w:val="21"/>
        </w:rPr>
      </w:pPr>
      <w:r>
        <w:rPr>
          <w:rFonts w:ascii="SimHei" w:hAnsi="SimHei" w:cs="宋体" w:eastAsia="黑体"/>
          <w:szCs w:val="21"/>
        </w:rPr>
        <w:t>周六、日安排的加班，公司将视情况在正常工作时间，安排员工补休，补休时间比例是</w:t>
      </w:r>
      <w:r>
        <w:rPr>
          <w:rFonts w:cs="宋体" w:ascii="SimHei" w:hAnsi="SimHei" w:eastAsia="黑体"/>
          <w:szCs w:val="21"/>
        </w:rPr>
        <w:t>1</w:t>
      </w:r>
      <w:r>
        <w:rPr>
          <w:rFonts w:ascii="SimHei" w:hAnsi="SimHei" w:cs="宋体" w:eastAsia="黑体"/>
          <w:szCs w:val="21"/>
        </w:rPr>
        <w:t>：</w:t>
      </w:r>
      <w:r>
        <w:rPr>
          <w:rFonts w:cs="宋体" w:ascii="SimHei" w:hAnsi="SimHei" w:eastAsia="黑体"/>
          <w:szCs w:val="21"/>
        </w:rPr>
        <w:t>1</w:t>
      </w:r>
      <w:r>
        <w:rPr>
          <w:rFonts w:ascii="SimHei" w:hAnsi="SimHei" w:cs="宋体" w:eastAsia="黑体"/>
          <w:szCs w:val="21"/>
        </w:rPr>
        <w:t>；若公司不能安排补休的，将按以下公式来计算加班工资；</w:t>
      </w:r>
    </w:p>
    <w:p>
      <w:pPr>
        <w:pStyle w:val="Normal"/>
        <w:numPr>
          <w:ilvl w:val="0"/>
          <w:numId w:val="9"/>
        </w:numPr>
        <w:tabs>
          <w:tab w:val="clear" w:pos="420"/>
          <w:tab w:val="left" w:pos="780" w:leader="none"/>
          <w:tab w:val="left" w:pos="1050" w:leader="none"/>
        </w:tabs>
        <w:spacing w:lineRule="exact" w:line="360"/>
        <w:rPr>
          <w:rFonts w:ascii="宋体" w:hAnsi="宋体" w:cs="宋体"/>
          <w:szCs w:val="21"/>
        </w:rPr>
      </w:pPr>
      <w:r>
        <w:rPr>
          <w:rFonts w:ascii="SimHei" w:hAnsi="SimHei" w:eastAsia="黑体"/>
          <w:szCs w:val="21"/>
        </w:rPr>
        <w:t>加班工资的计算：平日加班，按照时薪的</w:t>
      </w:r>
      <w:r>
        <w:rPr>
          <w:rFonts w:ascii="SimHei" w:hAnsi="SimHei" w:eastAsia="黑体"/>
          <w:szCs w:val="21"/>
        </w:rPr>
        <w:t>1.5</w:t>
      </w:r>
      <w:r>
        <w:rPr>
          <w:rFonts w:ascii="SimHei" w:hAnsi="SimHei" w:eastAsia="黑体"/>
          <w:szCs w:val="21"/>
        </w:rPr>
        <w:t>倍核算；周六、日加班，按照时薪的</w:t>
      </w:r>
      <w:r>
        <w:rPr>
          <w:rFonts w:ascii="SimHei" w:hAnsi="SimHei" w:eastAsia="黑体"/>
          <w:szCs w:val="21"/>
        </w:rPr>
        <w:t>2</w:t>
      </w:r>
      <w:r>
        <w:rPr>
          <w:rFonts w:ascii="SimHei" w:hAnsi="SimHei" w:eastAsia="黑体"/>
          <w:szCs w:val="21"/>
        </w:rPr>
        <w:t>倍核算；法定节假日加班，按照时薪的</w:t>
      </w:r>
      <w:r>
        <w:rPr>
          <w:rFonts w:ascii="SimHei" w:hAnsi="SimHei" w:eastAsia="黑体"/>
          <w:szCs w:val="21"/>
        </w:rPr>
        <w:t>3</w:t>
      </w:r>
      <w:r>
        <w:rPr>
          <w:rFonts w:ascii="SimHei" w:hAnsi="SimHei" w:eastAsia="黑体"/>
          <w:szCs w:val="21"/>
        </w:rPr>
        <w:t>倍核算，</w:t>
      </w:r>
      <w:r>
        <w:rPr>
          <w:rFonts w:ascii="SimHei" w:hAnsi="SimHei" w:eastAsia="黑体"/>
          <w:color w:val="000000"/>
          <w:szCs w:val="21"/>
        </w:rPr>
        <w:t>详见《</w:t>
      </w:r>
      <w:r>
        <w:rPr>
          <w:rFonts w:ascii="SimHei" w:hAnsi="SimHei" w:eastAsia="黑体"/>
          <w:color w:val="000000"/>
          <w:szCs w:val="21"/>
        </w:rPr>
        <w:t>公司工资制度</w:t>
      </w:r>
      <w:r>
        <w:rPr>
          <w:rFonts w:ascii="SimHei" w:hAnsi="SimHei" w:eastAsia="黑体"/>
          <w:color w:val="000000"/>
          <w:szCs w:val="21"/>
        </w:rPr>
        <w:t>》；</w:t>
      </w:r>
    </w:p>
    <w:p>
      <w:pPr>
        <w:pStyle w:val="Normal"/>
        <w:numPr>
          <w:ilvl w:val="0"/>
          <w:numId w:val="9"/>
        </w:numPr>
        <w:tabs>
          <w:tab w:val="clear" w:pos="420"/>
          <w:tab w:val="left" w:pos="780" w:leader="none"/>
          <w:tab w:val="left" w:pos="1050" w:leader="none"/>
        </w:tabs>
        <w:spacing w:lineRule="exact" w:line="360"/>
        <w:rPr>
          <w:rFonts w:ascii="宋体" w:hAnsi="宋体" w:cs="宋体"/>
          <w:szCs w:val="21"/>
        </w:rPr>
      </w:pPr>
      <w:r>
        <w:rPr>
          <w:rFonts w:ascii="SimHei" w:hAnsi="SimHei" w:eastAsia="黑体"/>
          <w:szCs w:val="21"/>
        </w:rPr>
        <w:t>以调休方式补加班的，在一个月内若因生产</w:t>
      </w:r>
      <w:r>
        <w:rPr>
          <w:rFonts w:ascii="SimHei" w:hAnsi="SimHei" w:eastAsia="黑体"/>
          <w:szCs w:val="21"/>
        </w:rPr>
        <w:t>/</w:t>
      </w:r>
      <w:r>
        <w:rPr>
          <w:rFonts w:ascii="SimHei" w:hAnsi="SimHei" w:eastAsia="黑体"/>
          <w:szCs w:val="21"/>
        </w:rPr>
        <w:t>工作原因员工不能被安排调休的（此类调休可由员工自行提出或由公司安排，总经理批准），公司将在下个月补发未调休加班时间的工资，支付标准按上述加班工资计算公式计算。此类调休不影响员工当月全勤奖发放。</w:t>
      </w:r>
    </w:p>
    <w:p>
      <w:pPr>
        <w:pStyle w:val="Normal"/>
        <w:tabs>
          <w:tab w:val="clear" w:pos="420"/>
          <w:tab w:val="left" w:pos="1050" w:leader="none"/>
        </w:tabs>
        <w:spacing w:lineRule="exact" w:line="360"/>
        <w:ind w:start="420" w:hanging="0"/>
        <w:rPr>
          <w:rFonts w:ascii="宋体" w:hAnsi="宋体" w:cs="宋体"/>
          <w:szCs w:val="21"/>
        </w:rPr>
      </w:pPr>
      <w:r>
        <w:rPr>
          <w:rFonts w:cs="宋体" w:ascii="SimHei" w:hAnsi="SimHei" w:eastAsia="黑体"/>
          <w:szCs w:val="21"/>
        </w:rPr>
      </w:r>
    </w:p>
    <w:p>
      <w:pPr>
        <w:pStyle w:val="Normal"/>
        <w:numPr>
          <w:ilvl w:val="0"/>
          <w:numId w:val="12"/>
        </w:numPr>
        <w:jc w:val="center"/>
        <w:outlineLvl w:val="0"/>
        <w:rPr>
          <w:rFonts w:eastAsia="黑体"/>
          <w:sz w:val="30"/>
        </w:rPr>
      </w:pPr>
      <w:bookmarkStart w:id="21" w:name="__RefHeading___Toc216679007"/>
      <w:bookmarkEnd w:id="21"/>
      <w:r>
        <w:rPr>
          <w:rFonts w:eastAsia="黑体" w:ascii="SimHei" w:hAnsi="SimHei"/>
          <w:sz w:val="30"/>
        </w:rPr>
        <w:t>员工薪酬福利</w:t>
      </w:r>
    </w:p>
    <w:p>
      <w:pPr>
        <w:pStyle w:val="Normal"/>
        <w:numPr>
          <w:ilvl w:val="0"/>
          <w:numId w:val="24"/>
        </w:numPr>
        <w:spacing w:lineRule="exact" w:line="360"/>
        <w:outlineLvl w:val="1"/>
        <w:rPr>
          <w:b/>
          <w:b/>
          <w:bCs/>
          <w:szCs w:val="21"/>
        </w:rPr>
      </w:pPr>
      <w:bookmarkStart w:id="22" w:name="__RefHeading___Toc216679008"/>
      <w:bookmarkEnd w:id="22"/>
      <w:r>
        <w:rPr>
          <w:rFonts w:ascii="SimHei" w:hAnsi="SimHei" w:eastAsia="黑体"/>
          <w:b/>
          <w:bCs/>
          <w:szCs w:val="21"/>
        </w:rPr>
        <w:t>病假和事假</w:t>
      </w:r>
    </w:p>
    <w:p>
      <w:pPr>
        <w:pStyle w:val="Normal"/>
        <w:numPr>
          <w:ilvl w:val="0"/>
          <w:numId w:val="33"/>
        </w:numPr>
        <w:spacing w:lineRule="exact" w:line="360"/>
        <w:ind w:start="777" w:hanging="357"/>
        <w:rPr>
          <w:rFonts w:ascii="宋体" w:hAnsi="宋体" w:cs="宋体"/>
          <w:color w:val="000000"/>
          <w:szCs w:val="21"/>
        </w:rPr>
      </w:pPr>
      <w:r>
        <w:rPr>
          <w:rFonts w:ascii="SimHei" w:hAnsi="SimHei" w:cs="宋体" w:eastAsia="黑体"/>
          <w:color w:val="000000"/>
          <w:szCs w:val="21"/>
        </w:rPr>
        <w:t>一个月内请事假、病假、年假、婚假、丧假、产假、陪产假超过</w:t>
      </w:r>
      <w:r>
        <w:rPr>
          <w:rFonts w:cs="宋体" w:ascii="SimHei" w:hAnsi="SimHei" w:eastAsia="黑体"/>
          <w:color w:val="000000"/>
          <w:szCs w:val="21"/>
        </w:rPr>
        <w:t>10</w:t>
      </w:r>
      <w:r>
        <w:rPr>
          <w:rFonts w:ascii="SimHei" w:hAnsi="SimHei" w:cs="宋体" w:eastAsia="黑体"/>
          <w:color w:val="000000"/>
          <w:szCs w:val="21"/>
        </w:rPr>
        <w:t>个工作日（不含</w:t>
      </w:r>
      <w:r>
        <w:rPr>
          <w:rFonts w:cs="宋体" w:ascii="SimHei" w:hAnsi="SimHei" w:eastAsia="黑体"/>
          <w:color w:val="000000"/>
          <w:szCs w:val="21"/>
        </w:rPr>
        <w:t>10</w:t>
      </w:r>
      <w:r>
        <w:rPr>
          <w:rFonts w:ascii="SimHei" w:hAnsi="SimHei" w:cs="宋体" w:eastAsia="黑体"/>
          <w:color w:val="000000"/>
          <w:szCs w:val="21"/>
        </w:rPr>
        <w:t>个工作日），取消当月通讯、交通、住房津贴；</w:t>
      </w:r>
    </w:p>
    <w:p>
      <w:pPr>
        <w:pStyle w:val="TextBody"/>
        <w:numPr>
          <w:ilvl w:val="0"/>
          <w:numId w:val="33"/>
        </w:numPr>
        <w:tabs>
          <w:tab w:val="left" w:pos="780" w:leader="none"/>
          <w:tab w:val="left" w:pos="1050" w:leader="none"/>
        </w:tabs>
        <w:spacing w:lineRule="exact" w:line="360"/>
        <w:rPr>
          <w:sz w:val="21"/>
          <w:szCs w:val="21"/>
        </w:rPr>
      </w:pPr>
      <w:r>
        <w:rPr>
          <w:rFonts w:ascii="SimHei" w:hAnsi="SimHei" w:eastAsia="黑体"/>
          <w:sz w:val="21"/>
          <w:szCs w:val="21"/>
        </w:rPr>
        <w:t>员工非因工受伤、患病不能上班时，需持医院证明，经所属部门领导及总经理批准后方可按病假处理；</w:t>
      </w:r>
    </w:p>
    <w:p>
      <w:pPr>
        <w:pStyle w:val="TextBody"/>
        <w:numPr>
          <w:ilvl w:val="0"/>
          <w:numId w:val="33"/>
        </w:numPr>
        <w:tabs>
          <w:tab w:val="left" w:pos="780" w:leader="none"/>
          <w:tab w:val="left" w:pos="1050" w:leader="none"/>
        </w:tabs>
        <w:spacing w:lineRule="exact" w:line="360"/>
        <w:rPr>
          <w:sz w:val="21"/>
          <w:szCs w:val="21"/>
        </w:rPr>
      </w:pPr>
      <w:r>
        <w:rPr>
          <w:rFonts w:ascii="SimHei" w:hAnsi="SimHei" w:eastAsia="黑体"/>
          <w:sz w:val="21"/>
          <w:szCs w:val="21"/>
        </w:rPr>
        <w:t>病假工资扣减方式：</w:t>
      </w:r>
      <w:r>
        <w:rPr>
          <w:rFonts w:ascii="SimHei" w:hAnsi="SimHei" w:eastAsia="黑体"/>
          <w:color w:val="000000"/>
          <w:sz w:val="21"/>
          <w:szCs w:val="21"/>
        </w:rPr>
        <w:t>工资（不含任何津贴和加班工资）</w:t>
      </w:r>
      <w:r>
        <w:rPr>
          <w:rFonts w:cs="Vineta BT;Courier New" w:ascii="SimHei" w:hAnsi="SimHei" w:eastAsia="黑体"/>
          <w:sz w:val="21"/>
          <w:szCs w:val="21"/>
        </w:rPr>
        <w:t>÷</w:t>
      </w:r>
      <w:r>
        <w:rPr>
          <w:rFonts w:ascii="SimHei" w:hAnsi="SimHei" w:eastAsia="黑体"/>
          <w:sz w:val="21"/>
          <w:szCs w:val="21"/>
        </w:rPr>
        <w:t>21.75</w:t>
      </w:r>
      <w:r>
        <w:rPr>
          <w:rFonts w:cs="Vineta BT;Courier New" w:ascii="SimHei" w:hAnsi="SimHei" w:eastAsia="黑体"/>
          <w:sz w:val="21"/>
          <w:szCs w:val="21"/>
        </w:rPr>
        <w:t>÷</w:t>
      </w:r>
      <w:r>
        <w:rPr>
          <w:rFonts w:ascii="SimHei" w:hAnsi="SimHei" w:eastAsia="黑体"/>
          <w:sz w:val="21"/>
          <w:szCs w:val="21"/>
        </w:rPr>
        <w:t>8</w:t>
      </w:r>
      <w:r>
        <w:rPr>
          <w:rFonts w:ascii="SimHei" w:hAnsi="SimHei" w:eastAsia="黑体"/>
          <w:sz w:val="21"/>
          <w:szCs w:val="21"/>
        </w:rPr>
        <w:t>小时</w:t>
      </w:r>
      <w:r>
        <w:rPr>
          <w:rFonts w:ascii="SimHei" w:hAnsi="SimHei" w:eastAsia="黑体"/>
          <w:sz w:val="21"/>
          <w:szCs w:val="21"/>
        </w:rPr>
        <w:t>×</w:t>
      </w:r>
      <w:r>
        <w:rPr>
          <w:rFonts w:ascii="SimHei" w:hAnsi="SimHei" w:eastAsia="黑体"/>
          <w:sz w:val="21"/>
          <w:szCs w:val="21"/>
        </w:rPr>
        <w:t>病假小时数</w:t>
      </w:r>
      <w:r>
        <w:rPr>
          <w:rFonts w:ascii="SimHei" w:hAnsi="SimHei" w:eastAsia="黑体"/>
          <w:sz w:val="21"/>
          <w:szCs w:val="21"/>
        </w:rPr>
        <w:t>×50%</w:t>
      </w:r>
      <w:r>
        <w:rPr>
          <w:rFonts w:ascii="SimHei" w:hAnsi="SimHei" w:eastAsia="黑体"/>
          <w:sz w:val="21"/>
          <w:szCs w:val="21"/>
        </w:rPr>
        <w:t>；</w:t>
      </w:r>
    </w:p>
    <w:p>
      <w:pPr>
        <w:pStyle w:val="TextBody"/>
        <w:numPr>
          <w:ilvl w:val="0"/>
          <w:numId w:val="33"/>
        </w:numPr>
        <w:tabs>
          <w:tab w:val="left" w:pos="780" w:leader="none"/>
          <w:tab w:val="left" w:pos="1050" w:leader="none"/>
        </w:tabs>
        <w:spacing w:lineRule="exact" w:line="360"/>
        <w:rPr>
          <w:sz w:val="21"/>
          <w:szCs w:val="21"/>
        </w:rPr>
      </w:pPr>
      <w:r>
        <w:rPr>
          <w:rFonts w:ascii="SimHei" w:hAnsi="SimHei" w:eastAsia="黑体"/>
          <w:sz w:val="21"/>
          <w:szCs w:val="21"/>
        </w:rPr>
        <w:t>员工因个人原因不能上班或上班时因私事外出、私人会面等，事先应填写《员工请假单》，经所属部门领导及总经理批准后方按事假处理；</w:t>
      </w:r>
    </w:p>
    <w:p>
      <w:pPr>
        <w:pStyle w:val="TextBody"/>
        <w:numPr>
          <w:ilvl w:val="0"/>
          <w:numId w:val="33"/>
        </w:numPr>
        <w:tabs>
          <w:tab w:val="left" w:pos="780" w:leader="none"/>
          <w:tab w:val="left" w:pos="1050" w:leader="none"/>
        </w:tabs>
        <w:spacing w:lineRule="exact" w:line="360"/>
        <w:rPr>
          <w:sz w:val="21"/>
          <w:szCs w:val="21"/>
        </w:rPr>
      </w:pPr>
      <w:r>
        <w:rPr>
          <w:rFonts w:ascii="SimHei" w:hAnsi="SimHei" w:eastAsia="黑体"/>
          <w:sz w:val="21"/>
          <w:szCs w:val="21"/>
        </w:rPr>
        <w:t>员工连续休事假超过半个月，将视具体情况要求其办理离职手续；</w:t>
      </w:r>
    </w:p>
    <w:p>
      <w:pPr>
        <w:pStyle w:val="TextBody"/>
        <w:numPr>
          <w:ilvl w:val="0"/>
          <w:numId w:val="33"/>
        </w:numPr>
        <w:tabs>
          <w:tab w:val="left" w:pos="780" w:leader="none"/>
          <w:tab w:val="left" w:pos="1050" w:leader="none"/>
        </w:tabs>
        <w:spacing w:lineRule="exact" w:line="360"/>
        <w:rPr>
          <w:sz w:val="21"/>
          <w:szCs w:val="21"/>
        </w:rPr>
      </w:pPr>
      <w:r>
        <w:rPr>
          <w:rFonts w:ascii="SimHei" w:hAnsi="SimHei" w:eastAsia="黑体"/>
          <w:sz w:val="21"/>
          <w:szCs w:val="21"/>
        </w:rPr>
        <w:t>事假工资扣减方式：</w:t>
      </w:r>
      <w:r>
        <w:rPr>
          <w:rFonts w:ascii="SimHei" w:hAnsi="SimHei" w:eastAsia="黑体"/>
          <w:color w:val="000000"/>
          <w:sz w:val="21"/>
          <w:szCs w:val="21"/>
        </w:rPr>
        <w:t>工资（不含任何津贴和加班工资）</w:t>
      </w:r>
      <w:r>
        <w:rPr>
          <w:rFonts w:cs="Vineta BT;Courier New" w:ascii="SimHei" w:hAnsi="SimHei" w:eastAsia="黑体"/>
          <w:sz w:val="21"/>
          <w:szCs w:val="21"/>
        </w:rPr>
        <w:t>÷</w:t>
      </w:r>
      <w:r>
        <w:rPr>
          <w:rFonts w:ascii="SimHei" w:hAnsi="SimHei" w:eastAsia="黑体"/>
          <w:sz w:val="21"/>
          <w:szCs w:val="21"/>
        </w:rPr>
        <w:t>21.75</w:t>
      </w:r>
      <w:r>
        <w:rPr>
          <w:rFonts w:cs="Vineta BT;Courier New" w:ascii="SimHei" w:hAnsi="SimHei" w:eastAsia="黑体"/>
          <w:sz w:val="21"/>
          <w:szCs w:val="21"/>
        </w:rPr>
        <w:t>÷</w:t>
      </w:r>
      <w:r>
        <w:rPr>
          <w:rFonts w:ascii="SimHei" w:hAnsi="SimHei" w:eastAsia="黑体"/>
          <w:sz w:val="21"/>
          <w:szCs w:val="21"/>
        </w:rPr>
        <w:t>8</w:t>
      </w:r>
      <w:r>
        <w:rPr>
          <w:rFonts w:ascii="SimHei" w:hAnsi="SimHei" w:eastAsia="黑体"/>
          <w:sz w:val="21"/>
          <w:szCs w:val="21"/>
        </w:rPr>
        <w:t>小时</w:t>
      </w:r>
      <w:r>
        <w:rPr>
          <w:rFonts w:ascii="SimHei" w:hAnsi="SimHei" w:eastAsia="黑体"/>
          <w:sz w:val="21"/>
          <w:szCs w:val="21"/>
        </w:rPr>
        <w:t>×</w:t>
      </w:r>
      <w:r>
        <w:rPr>
          <w:rFonts w:ascii="SimHei" w:hAnsi="SimHei" w:eastAsia="黑体"/>
          <w:sz w:val="21"/>
          <w:szCs w:val="21"/>
        </w:rPr>
        <w:t>事假小时数</w:t>
      </w:r>
      <w:r>
        <w:rPr>
          <w:rFonts w:ascii="SimHei" w:hAnsi="SimHei" w:eastAsia="黑体"/>
          <w:sz w:val="21"/>
          <w:szCs w:val="21"/>
        </w:rPr>
        <w:t>×100%</w:t>
      </w:r>
      <w:r>
        <w:rPr>
          <w:rFonts w:ascii="SimHei" w:hAnsi="SimHei" w:eastAsia="黑体"/>
          <w:sz w:val="21"/>
          <w:szCs w:val="21"/>
        </w:rPr>
        <w:t>；</w:t>
      </w:r>
    </w:p>
    <w:p>
      <w:pPr>
        <w:pStyle w:val="TextBody"/>
        <w:numPr>
          <w:ilvl w:val="0"/>
          <w:numId w:val="33"/>
        </w:numPr>
        <w:tabs>
          <w:tab w:val="left" w:pos="780" w:leader="none"/>
          <w:tab w:val="left" w:pos="1050" w:leader="none"/>
        </w:tabs>
        <w:spacing w:lineRule="exact" w:line="360"/>
        <w:rPr>
          <w:color w:val="000000"/>
          <w:sz w:val="21"/>
          <w:szCs w:val="21"/>
        </w:rPr>
      </w:pPr>
      <w:r>
        <w:rPr>
          <w:rFonts w:ascii="SimHei" w:hAnsi="SimHei" w:eastAsia="黑体"/>
          <w:color w:val="000000"/>
          <w:sz w:val="21"/>
          <w:szCs w:val="21"/>
        </w:rPr>
        <w:t>原则上，国家法定假期前后，不允许员工请事假；</w:t>
      </w:r>
    </w:p>
    <w:p>
      <w:pPr>
        <w:pStyle w:val="TextBody"/>
        <w:numPr>
          <w:ilvl w:val="0"/>
          <w:numId w:val="33"/>
        </w:numPr>
        <w:tabs>
          <w:tab w:val="left" w:pos="780" w:leader="none"/>
          <w:tab w:val="left" w:pos="1050" w:leader="none"/>
        </w:tabs>
        <w:spacing w:lineRule="exact" w:line="360"/>
        <w:rPr>
          <w:sz w:val="21"/>
          <w:szCs w:val="21"/>
        </w:rPr>
      </w:pPr>
      <w:r>
        <w:rPr>
          <w:rFonts w:ascii="SimHei" w:hAnsi="SimHei" w:eastAsia="黑体"/>
          <w:sz w:val="21"/>
          <w:szCs w:val="21"/>
        </w:rPr>
        <w:t>请假的最小单位为</w:t>
      </w:r>
      <w:r>
        <w:rPr>
          <w:rFonts w:ascii="SimHei" w:hAnsi="SimHei" w:eastAsia="黑体"/>
          <w:sz w:val="21"/>
          <w:szCs w:val="21"/>
        </w:rPr>
        <w:t>0.5</w:t>
      </w:r>
      <w:r>
        <w:rPr>
          <w:rFonts w:ascii="SimHei" w:hAnsi="SimHei" w:eastAsia="黑体"/>
          <w:sz w:val="21"/>
          <w:szCs w:val="21"/>
        </w:rPr>
        <w:t>天</w:t>
      </w:r>
      <w:r>
        <w:rPr>
          <w:rFonts w:ascii="SimHei" w:hAnsi="SimHei" w:eastAsia="黑体"/>
          <w:sz w:val="21"/>
          <w:szCs w:val="21"/>
        </w:rPr>
        <w:t>/</w:t>
      </w:r>
      <w:r>
        <w:rPr>
          <w:rFonts w:ascii="SimHei" w:hAnsi="SimHei" w:eastAsia="黑体"/>
          <w:sz w:val="21"/>
          <w:szCs w:val="21"/>
        </w:rPr>
        <w:t>次，即每次请假的天数最少为半天，上午或下午请假都按</w:t>
      </w:r>
      <w:r>
        <w:rPr>
          <w:rFonts w:ascii="SimHei" w:hAnsi="SimHei" w:eastAsia="黑体"/>
          <w:sz w:val="21"/>
          <w:szCs w:val="21"/>
        </w:rPr>
        <w:t>0.5</w:t>
      </w:r>
      <w:r>
        <w:rPr>
          <w:rFonts w:ascii="SimHei" w:hAnsi="SimHei" w:eastAsia="黑体"/>
          <w:sz w:val="21"/>
          <w:szCs w:val="21"/>
        </w:rPr>
        <w:t>天算，若少于</w:t>
      </w:r>
      <w:r>
        <w:rPr>
          <w:rFonts w:ascii="SimHei" w:hAnsi="SimHei" w:eastAsia="黑体"/>
          <w:sz w:val="21"/>
          <w:szCs w:val="21"/>
        </w:rPr>
        <w:t>4</w:t>
      </w:r>
      <w:r>
        <w:rPr>
          <w:rFonts w:ascii="SimHei" w:hAnsi="SimHei" w:eastAsia="黑体"/>
          <w:sz w:val="21"/>
          <w:szCs w:val="21"/>
        </w:rPr>
        <w:t>小时</w:t>
      </w:r>
      <w:r>
        <w:rPr>
          <w:rFonts w:ascii="SimHei" w:hAnsi="SimHei" w:eastAsia="黑体"/>
          <w:sz w:val="21"/>
          <w:szCs w:val="21"/>
        </w:rPr>
        <w:t>/</w:t>
      </w:r>
      <w:r>
        <w:rPr>
          <w:rFonts w:ascii="SimHei" w:hAnsi="SimHei" w:eastAsia="黑体"/>
          <w:sz w:val="21"/>
          <w:szCs w:val="21"/>
        </w:rPr>
        <w:t>天的，按</w:t>
      </w:r>
      <w:r>
        <w:rPr>
          <w:rFonts w:ascii="SimHei" w:hAnsi="SimHei" w:eastAsia="黑体"/>
          <w:sz w:val="21"/>
          <w:szCs w:val="21"/>
        </w:rPr>
        <w:t>0.5</w:t>
      </w:r>
      <w:r>
        <w:rPr>
          <w:rFonts w:ascii="SimHei" w:hAnsi="SimHei" w:eastAsia="黑体"/>
          <w:sz w:val="21"/>
          <w:szCs w:val="21"/>
        </w:rPr>
        <w:t>天算；若大于</w:t>
      </w:r>
      <w:r>
        <w:rPr>
          <w:rFonts w:ascii="SimHei" w:hAnsi="SimHei" w:eastAsia="黑体"/>
          <w:sz w:val="21"/>
          <w:szCs w:val="21"/>
        </w:rPr>
        <w:t>4</w:t>
      </w:r>
      <w:r>
        <w:rPr>
          <w:rFonts w:ascii="SimHei" w:hAnsi="SimHei" w:eastAsia="黑体"/>
          <w:sz w:val="21"/>
          <w:szCs w:val="21"/>
        </w:rPr>
        <w:t>小时，且少于</w:t>
      </w:r>
      <w:r>
        <w:rPr>
          <w:rFonts w:ascii="SimHei" w:hAnsi="SimHei" w:eastAsia="黑体"/>
          <w:sz w:val="21"/>
          <w:szCs w:val="21"/>
        </w:rPr>
        <w:t>8</w:t>
      </w:r>
      <w:r>
        <w:rPr>
          <w:rFonts w:ascii="SimHei" w:hAnsi="SimHei" w:eastAsia="黑体"/>
          <w:sz w:val="21"/>
          <w:szCs w:val="21"/>
        </w:rPr>
        <w:t>小时的，按</w:t>
      </w:r>
      <w:r>
        <w:rPr>
          <w:rFonts w:ascii="SimHei" w:hAnsi="SimHei" w:eastAsia="黑体"/>
          <w:sz w:val="21"/>
          <w:szCs w:val="21"/>
        </w:rPr>
        <w:t>1</w:t>
      </w:r>
      <w:r>
        <w:rPr>
          <w:rFonts w:ascii="SimHei" w:hAnsi="SimHei" w:eastAsia="黑体"/>
          <w:sz w:val="21"/>
          <w:szCs w:val="21"/>
        </w:rPr>
        <w:t>天算。</w:t>
      </w:r>
    </w:p>
    <w:p>
      <w:pPr>
        <w:pStyle w:val="Normal"/>
        <w:numPr>
          <w:ilvl w:val="0"/>
          <w:numId w:val="24"/>
        </w:numPr>
        <w:spacing w:lineRule="exact" w:line="360"/>
        <w:outlineLvl w:val="1"/>
        <w:rPr>
          <w:b/>
          <w:b/>
          <w:bCs/>
          <w:szCs w:val="21"/>
        </w:rPr>
      </w:pPr>
      <w:bookmarkStart w:id="23" w:name="__RefHeading___Toc216679009"/>
      <w:bookmarkEnd w:id="23"/>
      <w:r>
        <w:rPr>
          <w:rFonts w:ascii="SimHei" w:hAnsi="SimHei" w:eastAsia="黑体"/>
          <w:b/>
          <w:bCs/>
          <w:szCs w:val="21"/>
        </w:rPr>
        <w:t>公假</w:t>
      </w:r>
    </w:p>
    <w:p>
      <w:pPr>
        <w:pStyle w:val="Normal"/>
        <w:spacing w:lineRule="exact" w:line="360"/>
        <w:ind w:firstLine="420"/>
        <w:rPr>
          <w:szCs w:val="21"/>
        </w:rPr>
      </w:pPr>
      <w:r>
        <w:rPr>
          <w:rFonts w:ascii="SimHei" w:hAnsi="SimHei" w:eastAsia="黑体"/>
          <w:szCs w:val="21"/>
        </w:rPr>
        <w:t>由于以下原因致使员工不能上班时，经所属领导审核，按公假处理：</w:t>
      </w:r>
    </w:p>
    <w:p>
      <w:pPr>
        <w:pStyle w:val="Normal"/>
        <w:numPr>
          <w:ilvl w:val="0"/>
          <w:numId w:val="46"/>
        </w:numPr>
        <w:spacing w:lineRule="exact" w:line="360"/>
        <w:rPr>
          <w:szCs w:val="21"/>
        </w:rPr>
      </w:pPr>
      <w:r>
        <w:rPr>
          <w:rFonts w:ascii="SimHei" w:hAnsi="SimHei" w:eastAsia="黑体"/>
          <w:szCs w:val="21"/>
        </w:rPr>
        <w:t>由于所在区域内发生天灾、传染病等致使交通中断或隔离时；</w:t>
      </w:r>
    </w:p>
    <w:p>
      <w:pPr>
        <w:pStyle w:val="Normal"/>
        <w:numPr>
          <w:ilvl w:val="0"/>
          <w:numId w:val="46"/>
        </w:numPr>
        <w:spacing w:lineRule="exact" w:line="360"/>
        <w:rPr>
          <w:szCs w:val="21"/>
        </w:rPr>
      </w:pPr>
      <w:r>
        <w:rPr>
          <w:rFonts w:ascii="SimHei" w:hAnsi="SimHei" w:eastAsia="黑体"/>
          <w:szCs w:val="21"/>
        </w:rPr>
        <w:t>由于天灾、火灾及其它未预料到的灾害发生，使本人的居所受到破坏时；</w:t>
      </w:r>
    </w:p>
    <w:p>
      <w:pPr>
        <w:pStyle w:val="Normal"/>
        <w:numPr>
          <w:ilvl w:val="0"/>
          <w:numId w:val="46"/>
        </w:numPr>
        <w:spacing w:lineRule="exact" w:line="360"/>
        <w:rPr>
          <w:szCs w:val="21"/>
        </w:rPr>
      </w:pPr>
      <w:r>
        <w:rPr>
          <w:rFonts w:ascii="SimHei" w:hAnsi="SimHei" w:eastAsia="黑体"/>
          <w:szCs w:val="21"/>
        </w:rPr>
        <w:t>地方政府及公司规定的其它原因</w:t>
      </w:r>
      <w:r>
        <w:rPr>
          <w:rFonts w:ascii="SimHei" w:hAnsi="SimHei" w:eastAsia="黑体"/>
          <w:szCs w:val="21"/>
        </w:rPr>
        <w:t>。</w:t>
      </w:r>
    </w:p>
    <w:p>
      <w:pPr>
        <w:pStyle w:val="Normal"/>
        <w:numPr>
          <w:ilvl w:val="0"/>
          <w:numId w:val="24"/>
        </w:numPr>
        <w:spacing w:lineRule="exact" w:line="360"/>
        <w:outlineLvl w:val="1"/>
        <w:rPr>
          <w:b/>
          <w:b/>
          <w:bCs/>
          <w:szCs w:val="21"/>
        </w:rPr>
      </w:pPr>
      <w:bookmarkStart w:id="24" w:name="__RefHeading___Toc216679010"/>
      <w:bookmarkEnd w:id="24"/>
      <w:r>
        <w:rPr>
          <w:rFonts w:ascii="SimHei" w:hAnsi="SimHei" w:eastAsia="黑体"/>
          <w:b/>
          <w:bCs/>
          <w:szCs w:val="21"/>
        </w:rPr>
        <w:t>国家法定假期</w:t>
      </w:r>
    </w:p>
    <w:p>
      <w:pPr>
        <w:pStyle w:val="Normal"/>
        <w:numPr>
          <w:ilvl w:val="0"/>
          <w:numId w:val="32"/>
        </w:numPr>
        <w:spacing w:lineRule="exact" w:line="360"/>
        <w:rPr>
          <w:rFonts w:ascii="宋体" w:hAnsi="宋体"/>
          <w:szCs w:val="21"/>
        </w:rPr>
      </w:pPr>
      <w:r>
        <w:rPr>
          <w:rFonts w:ascii="SimHei" w:hAnsi="SimHei" w:eastAsia="黑体"/>
          <w:szCs w:val="21"/>
        </w:rPr>
        <w:t>元旦：</w:t>
      </w:r>
      <w:r>
        <w:rPr>
          <w:rFonts w:ascii="SimHei" w:hAnsi="SimHei" w:eastAsia="黑体"/>
          <w:szCs w:val="21"/>
        </w:rPr>
        <w:t>放假</w:t>
      </w:r>
      <w:r>
        <w:rPr>
          <w:rFonts w:ascii="SimHei" w:hAnsi="SimHei" w:eastAsia="黑体"/>
          <w:szCs w:val="21"/>
        </w:rPr>
        <w:t>1</w:t>
      </w:r>
      <w:r>
        <w:rPr>
          <w:rFonts w:ascii="SimHei" w:hAnsi="SimHei" w:eastAsia="黑体"/>
          <w:szCs w:val="21"/>
        </w:rPr>
        <w:t>天（</w:t>
      </w:r>
      <w:r>
        <w:rPr>
          <w:rFonts w:ascii="SimHei" w:hAnsi="SimHei" w:eastAsia="黑体"/>
          <w:szCs w:val="21"/>
        </w:rPr>
        <w:t>1</w:t>
      </w:r>
      <w:r>
        <w:rPr>
          <w:rFonts w:ascii="SimHei" w:hAnsi="SimHei" w:eastAsia="黑体"/>
          <w:szCs w:val="21"/>
        </w:rPr>
        <w:t>月</w:t>
      </w:r>
      <w:r>
        <w:rPr>
          <w:rFonts w:ascii="SimHei" w:hAnsi="SimHei" w:eastAsia="黑体"/>
          <w:szCs w:val="21"/>
        </w:rPr>
        <w:t>1</w:t>
      </w:r>
      <w:r>
        <w:rPr>
          <w:rFonts w:ascii="SimHei" w:hAnsi="SimHei" w:eastAsia="黑体"/>
          <w:szCs w:val="21"/>
        </w:rPr>
        <w:t>日）；</w:t>
      </w:r>
    </w:p>
    <w:p>
      <w:pPr>
        <w:pStyle w:val="Normal"/>
        <w:numPr>
          <w:ilvl w:val="0"/>
          <w:numId w:val="32"/>
        </w:numPr>
        <w:spacing w:lineRule="exact" w:line="360"/>
        <w:rPr>
          <w:rFonts w:ascii="宋体" w:hAnsi="宋体"/>
          <w:szCs w:val="21"/>
        </w:rPr>
      </w:pPr>
      <w:r>
        <w:rPr>
          <w:rFonts w:ascii="SimHei" w:hAnsi="SimHei" w:eastAsia="黑体"/>
          <w:szCs w:val="21"/>
        </w:rPr>
        <w:t>春节</w:t>
      </w:r>
      <w:r>
        <w:rPr>
          <w:rFonts w:ascii="SimHei" w:hAnsi="SimHei" w:eastAsia="黑体"/>
          <w:szCs w:val="21"/>
        </w:rPr>
        <w:t>：</w:t>
      </w:r>
      <w:r>
        <w:rPr>
          <w:rFonts w:ascii="SimHei" w:hAnsi="SimHei" w:eastAsia="黑体"/>
          <w:szCs w:val="21"/>
        </w:rPr>
        <w:t>放假</w:t>
      </w:r>
      <w:r>
        <w:rPr>
          <w:rFonts w:ascii="SimHei" w:hAnsi="SimHei" w:eastAsia="黑体"/>
          <w:szCs w:val="21"/>
        </w:rPr>
        <w:t>3</w:t>
      </w:r>
      <w:r>
        <w:rPr>
          <w:rFonts w:ascii="SimHei" w:hAnsi="SimHei" w:eastAsia="黑体"/>
          <w:szCs w:val="21"/>
        </w:rPr>
        <w:t>天（农历除夕、正月初一、初二）；</w:t>
      </w:r>
    </w:p>
    <w:p>
      <w:pPr>
        <w:pStyle w:val="Normal"/>
        <w:numPr>
          <w:ilvl w:val="0"/>
          <w:numId w:val="32"/>
        </w:numPr>
        <w:spacing w:lineRule="exact" w:line="360"/>
        <w:rPr>
          <w:rFonts w:ascii="宋体" w:hAnsi="宋体"/>
          <w:szCs w:val="21"/>
        </w:rPr>
      </w:pPr>
      <w:r>
        <w:rPr>
          <w:rFonts w:ascii="SimHei" w:hAnsi="SimHei" w:eastAsia="黑体"/>
          <w:szCs w:val="21"/>
        </w:rPr>
        <w:t>清明节</w:t>
      </w:r>
      <w:r>
        <w:rPr>
          <w:rFonts w:ascii="SimHei" w:hAnsi="SimHei" w:eastAsia="黑体"/>
          <w:szCs w:val="21"/>
        </w:rPr>
        <w:t>：</w:t>
      </w:r>
      <w:r>
        <w:rPr>
          <w:rFonts w:ascii="SimHei" w:hAnsi="SimHei" w:eastAsia="黑体"/>
          <w:szCs w:val="21"/>
        </w:rPr>
        <w:t>放假</w:t>
      </w:r>
      <w:r>
        <w:rPr>
          <w:rFonts w:ascii="SimHei" w:hAnsi="SimHei" w:eastAsia="黑体"/>
          <w:szCs w:val="21"/>
        </w:rPr>
        <w:t>1</w:t>
      </w:r>
      <w:r>
        <w:rPr>
          <w:rFonts w:ascii="SimHei" w:hAnsi="SimHei" w:eastAsia="黑体"/>
          <w:szCs w:val="21"/>
        </w:rPr>
        <w:t>天（农历清明当日）；</w:t>
      </w:r>
    </w:p>
    <w:p>
      <w:pPr>
        <w:pStyle w:val="Normal"/>
        <w:numPr>
          <w:ilvl w:val="0"/>
          <w:numId w:val="32"/>
        </w:numPr>
        <w:spacing w:lineRule="exact" w:line="360"/>
        <w:rPr>
          <w:rFonts w:ascii="宋体" w:hAnsi="宋体"/>
          <w:szCs w:val="21"/>
        </w:rPr>
      </w:pPr>
      <w:r>
        <w:rPr>
          <w:rFonts w:ascii="SimHei" w:hAnsi="SimHei" w:eastAsia="黑体"/>
          <w:szCs w:val="21"/>
        </w:rPr>
        <w:t>劳动节</w:t>
      </w:r>
      <w:r>
        <w:rPr>
          <w:rFonts w:ascii="SimHei" w:hAnsi="SimHei" w:eastAsia="黑体"/>
          <w:szCs w:val="21"/>
        </w:rPr>
        <w:t>：</w:t>
      </w:r>
      <w:r>
        <w:rPr>
          <w:rFonts w:ascii="SimHei" w:hAnsi="SimHei" w:eastAsia="黑体"/>
          <w:szCs w:val="21"/>
        </w:rPr>
        <w:t>放假</w:t>
      </w:r>
      <w:r>
        <w:rPr>
          <w:rFonts w:ascii="SimHei" w:hAnsi="SimHei" w:eastAsia="黑体"/>
          <w:szCs w:val="21"/>
        </w:rPr>
        <w:t>1</w:t>
      </w:r>
      <w:r>
        <w:rPr>
          <w:rFonts w:ascii="SimHei" w:hAnsi="SimHei" w:eastAsia="黑体"/>
          <w:szCs w:val="21"/>
        </w:rPr>
        <w:t>天（</w:t>
      </w:r>
      <w:r>
        <w:rPr>
          <w:rFonts w:ascii="SimHei" w:hAnsi="SimHei" w:eastAsia="黑体"/>
          <w:szCs w:val="21"/>
        </w:rPr>
        <w:t>5</w:t>
      </w:r>
      <w:r>
        <w:rPr>
          <w:rFonts w:ascii="SimHei" w:hAnsi="SimHei" w:eastAsia="黑体"/>
          <w:szCs w:val="21"/>
        </w:rPr>
        <w:t>月</w:t>
      </w:r>
      <w:r>
        <w:rPr>
          <w:rFonts w:ascii="SimHei" w:hAnsi="SimHei" w:eastAsia="黑体"/>
          <w:szCs w:val="21"/>
        </w:rPr>
        <w:t>1</w:t>
      </w:r>
      <w:r>
        <w:rPr>
          <w:rFonts w:ascii="SimHei" w:hAnsi="SimHei" w:eastAsia="黑体"/>
          <w:szCs w:val="21"/>
        </w:rPr>
        <w:t>日）；</w:t>
      </w:r>
    </w:p>
    <w:p>
      <w:pPr>
        <w:pStyle w:val="Normal"/>
        <w:numPr>
          <w:ilvl w:val="0"/>
          <w:numId w:val="32"/>
        </w:numPr>
        <w:spacing w:lineRule="exact" w:line="360"/>
        <w:rPr>
          <w:rFonts w:ascii="宋体" w:hAnsi="宋体"/>
          <w:szCs w:val="21"/>
        </w:rPr>
      </w:pPr>
      <w:r>
        <w:rPr>
          <w:rFonts w:ascii="SimHei" w:hAnsi="SimHei" w:eastAsia="黑体"/>
          <w:szCs w:val="21"/>
        </w:rPr>
        <w:t>端午节</w:t>
      </w:r>
      <w:r>
        <w:rPr>
          <w:rFonts w:ascii="SimHei" w:hAnsi="SimHei" w:eastAsia="黑体"/>
          <w:szCs w:val="21"/>
        </w:rPr>
        <w:t>：</w:t>
      </w:r>
      <w:r>
        <w:rPr>
          <w:rFonts w:ascii="SimHei" w:hAnsi="SimHei" w:eastAsia="黑体"/>
          <w:szCs w:val="21"/>
        </w:rPr>
        <w:t>放假</w:t>
      </w:r>
      <w:r>
        <w:rPr>
          <w:rFonts w:ascii="SimHei" w:hAnsi="SimHei" w:eastAsia="黑体"/>
          <w:szCs w:val="21"/>
        </w:rPr>
        <w:t>1</w:t>
      </w:r>
      <w:r>
        <w:rPr>
          <w:rFonts w:ascii="SimHei" w:hAnsi="SimHei" w:eastAsia="黑体"/>
          <w:szCs w:val="21"/>
        </w:rPr>
        <w:t>天（农历端午当日）；</w:t>
      </w:r>
    </w:p>
    <w:p>
      <w:pPr>
        <w:pStyle w:val="Normal"/>
        <w:numPr>
          <w:ilvl w:val="0"/>
          <w:numId w:val="32"/>
        </w:numPr>
        <w:spacing w:lineRule="exact" w:line="360"/>
        <w:rPr>
          <w:rFonts w:ascii="宋体" w:hAnsi="宋体"/>
          <w:szCs w:val="21"/>
        </w:rPr>
      </w:pPr>
      <w:r>
        <w:rPr>
          <w:rFonts w:ascii="SimHei" w:hAnsi="SimHei" w:eastAsia="黑体"/>
          <w:szCs w:val="21"/>
        </w:rPr>
        <w:t>中秋节</w:t>
      </w:r>
      <w:r>
        <w:rPr>
          <w:rFonts w:ascii="SimHei" w:hAnsi="SimHei" w:eastAsia="黑体"/>
          <w:szCs w:val="21"/>
        </w:rPr>
        <w:t>：</w:t>
      </w:r>
      <w:r>
        <w:rPr>
          <w:rFonts w:ascii="SimHei" w:hAnsi="SimHei" w:eastAsia="黑体"/>
          <w:szCs w:val="21"/>
        </w:rPr>
        <w:t>放假</w:t>
      </w:r>
      <w:r>
        <w:rPr>
          <w:rFonts w:ascii="SimHei" w:hAnsi="SimHei" w:eastAsia="黑体"/>
          <w:szCs w:val="21"/>
        </w:rPr>
        <w:t>1</w:t>
      </w:r>
      <w:r>
        <w:rPr>
          <w:rFonts w:ascii="SimHei" w:hAnsi="SimHei" w:eastAsia="黑体"/>
          <w:szCs w:val="21"/>
        </w:rPr>
        <w:t>天（农历中秋当日）；</w:t>
      </w:r>
    </w:p>
    <w:p>
      <w:pPr>
        <w:pStyle w:val="Normal"/>
        <w:numPr>
          <w:ilvl w:val="0"/>
          <w:numId w:val="32"/>
        </w:numPr>
        <w:spacing w:lineRule="exact" w:line="360"/>
        <w:rPr>
          <w:rFonts w:ascii="宋体" w:hAnsi="宋体"/>
          <w:szCs w:val="21"/>
        </w:rPr>
      </w:pPr>
      <w:r>
        <w:rPr>
          <w:rFonts w:ascii="SimHei" w:hAnsi="SimHei" w:eastAsia="黑体"/>
          <w:szCs w:val="21"/>
        </w:rPr>
        <w:t>国庆节</w:t>
      </w:r>
      <w:r>
        <w:rPr>
          <w:rFonts w:ascii="SimHei" w:hAnsi="SimHei" w:eastAsia="黑体"/>
          <w:szCs w:val="21"/>
        </w:rPr>
        <w:t>：</w:t>
      </w:r>
      <w:r>
        <w:rPr>
          <w:rFonts w:ascii="SimHei" w:hAnsi="SimHei" w:eastAsia="黑体"/>
          <w:szCs w:val="21"/>
        </w:rPr>
        <w:t>放假</w:t>
      </w:r>
      <w:r>
        <w:rPr>
          <w:rFonts w:ascii="SimHei" w:hAnsi="SimHei" w:eastAsia="黑体"/>
          <w:szCs w:val="21"/>
        </w:rPr>
        <w:t>3</w:t>
      </w:r>
      <w:r>
        <w:rPr>
          <w:rFonts w:ascii="SimHei" w:hAnsi="SimHei" w:eastAsia="黑体"/>
          <w:szCs w:val="21"/>
        </w:rPr>
        <w:t>天（</w:t>
      </w:r>
      <w:r>
        <w:rPr>
          <w:rFonts w:ascii="SimHei" w:hAnsi="SimHei" w:eastAsia="黑体"/>
          <w:szCs w:val="21"/>
        </w:rPr>
        <w:t>10</w:t>
      </w:r>
      <w:r>
        <w:rPr>
          <w:rFonts w:ascii="SimHei" w:hAnsi="SimHei" w:eastAsia="黑体"/>
          <w:szCs w:val="21"/>
        </w:rPr>
        <w:t>月</w:t>
      </w:r>
      <w:r>
        <w:rPr>
          <w:rFonts w:ascii="SimHei" w:hAnsi="SimHei" w:eastAsia="黑体"/>
          <w:szCs w:val="21"/>
        </w:rPr>
        <w:t>1</w:t>
      </w:r>
      <w:r>
        <w:rPr>
          <w:rFonts w:ascii="SimHei" w:hAnsi="SimHei" w:eastAsia="黑体"/>
          <w:szCs w:val="21"/>
        </w:rPr>
        <w:t>日、</w:t>
      </w:r>
      <w:r>
        <w:rPr>
          <w:rFonts w:ascii="SimHei" w:hAnsi="SimHei" w:eastAsia="黑体"/>
          <w:szCs w:val="21"/>
        </w:rPr>
        <w:t>2</w:t>
      </w:r>
      <w:r>
        <w:rPr>
          <w:rFonts w:ascii="SimHei" w:hAnsi="SimHei" w:eastAsia="黑体"/>
          <w:szCs w:val="21"/>
        </w:rPr>
        <w:t>日、</w:t>
      </w:r>
      <w:r>
        <w:rPr>
          <w:rFonts w:ascii="SimHei" w:hAnsi="SimHei" w:eastAsia="黑体"/>
          <w:szCs w:val="21"/>
        </w:rPr>
        <w:t>3</w:t>
      </w:r>
      <w:r>
        <w:rPr>
          <w:rFonts w:ascii="SimHei" w:hAnsi="SimHei" w:eastAsia="黑体"/>
          <w:szCs w:val="21"/>
        </w:rPr>
        <w:t>日）。</w:t>
      </w:r>
    </w:p>
    <w:p>
      <w:pPr>
        <w:pStyle w:val="Normal"/>
        <w:numPr>
          <w:ilvl w:val="0"/>
          <w:numId w:val="24"/>
        </w:numPr>
        <w:spacing w:lineRule="exact" w:line="360"/>
        <w:outlineLvl w:val="1"/>
        <w:rPr>
          <w:b/>
          <w:b/>
          <w:bCs/>
          <w:szCs w:val="21"/>
        </w:rPr>
      </w:pPr>
      <w:bookmarkStart w:id="25" w:name="__RefHeading___Toc216679011"/>
      <w:bookmarkEnd w:id="25"/>
      <w:r>
        <w:rPr>
          <w:rFonts w:ascii="SimHei" w:hAnsi="SimHei" w:eastAsia="黑体"/>
          <w:b/>
          <w:bCs/>
          <w:szCs w:val="21"/>
        </w:rPr>
        <w:t>产假、陪产假</w:t>
      </w:r>
    </w:p>
    <w:p>
      <w:pPr>
        <w:pStyle w:val="Normal"/>
        <w:numPr>
          <w:ilvl w:val="0"/>
          <w:numId w:val="2"/>
        </w:numPr>
        <w:spacing w:lineRule="exact" w:line="360"/>
        <w:rPr>
          <w:szCs w:val="21"/>
        </w:rPr>
      </w:pPr>
      <w:r>
        <w:rPr>
          <w:rFonts w:ascii="SimHei" w:hAnsi="SimHei" w:eastAsia="黑体"/>
          <w:szCs w:val="21"/>
        </w:rPr>
        <w:t>女员工符合计划生育条件：</w:t>
      </w:r>
    </w:p>
    <w:p>
      <w:pPr>
        <w:pStyle w:val="Normal"/>
        <w:numPr>
          <w:ilvl w:val="1"/>
          <w:numId w:val="2"/>
        </w:numPr>
        <w:tabs>
          <w:tab w:val="clear" w:pos="420"/>
          <w:tab w:val="left" w:pos="1080" w:leader="none"/>
        </w:tabs>
        <w:spacing w:lineRule="exact" w:line="360"/>
        <w:ind w:start="1080" w:hanging="660"/>
        <w:rPr>
          <w:szCs w:val="21"/>
        </w:rPr>
      </w:pPr>
      <w:r>
        <w:rPr>
          <w:rFonts w:ascii="SimHei" w:hAnsi="SimHei" w:eastAsia="黑体"/>
          <w:szCs w:val="21"/>
        </w:rPr>
        <w:t>享有</w:t>
      </w:r>
      <w:r>
        <w:rPr>
          <w:rFonts w:ascii="SimHei" w:hAnsi="SimHei" w:eastAsia="黑体"/>
          <w:szCs w:val="21"/>
        </w:rPr>
        <w:t>90</w:t>
      </w:r>
      <w:r>
        <w:rPr>
          <w:rFonts w:ascii="SimHei" w:hAnsi="SimHei" w:eastAsia="黑体"/>
          <w:szCs w:val="21"/>
        </w:rPr>
        <w:t>天正常产假（包括产前检查</w:t>
      </w:r>
      <w:r>
        <w:rPr>
          <w:rFonts w:ascii="SimHei" w:hAnsi="SimHei" w:eastAsia="黑体"/>
          <w:szCs w:val="21"/>
        </w:rPr>
        <w:t>15</w:t>
      </w:r>
      <w:r>
        <w:rPr>
          <w:rFonts w:ascii="SimHei" w:hAnsi="SimHei" w:eastAsia="黑体"/>
          <w:szCs w:val="21"/>
        </w:rPr>
        <w:t>天）；</w:t>
      </w:r>
    </w:p>
    <w:p>
      <w:pPr>
        <w:pStyle w:val="Normal"/>
        <w:numPr>
          <w:ilvl w:val="1"/>
          <w:numId w:val="2"/>
        </w:numPr>
        <w:tabs>
          <w:tab w:val="clear" w:pos="420"/>
          <w:tab w:val="left" w:pos="1080" w:leader="none"/>
        </w:tabs>
        <w:spacing w:lineRule="exact" w:line="360"/>
        <w:ind w:start="1080" w:hanging="660"/>
        <w:rPr>
          <w:szCs w:val="21"/>
        </w:rPr>
      </w:pPr>
      <w:r>
        <w:rPr>
          <w:rFonts w:ascii="SimHei" w:hAnsi="SimHei" w:eastAsia="黑体"/>
          <w:szCs w:val="21"/>
        </w:rPr>
        <w:t>独生子女，增加</w:t>
      </w:r>
      <w:r>
        <w:rPr>
          <w:rFonts w:ascii="SimHei" w:hAnsi="SimHei" w:eastAsia="黑体"/>
          <w:szCs w:val="21"/>
        </w:rPr>
        <w:t>35</w:t>
      </w:r>
      <w:r>
        <w:rPr>
          <w:rFonts w:ascii="SimHei" w:hAnsi="SimHei" w:eastAsia="黑体"/>
          <w:szCs w:val="21"/>
        </w:rPr>
        <w:t>天；</w:t>
      </w:r>
    </w:p>
    <w:p>
      <w:pPr>
        <w:pStyle w:val="Normal"/>
        <w:numPr>
          <w:ilvl w:val="1"/>
          <w:numId w:val="2"/>
        </w:numPr>
        <w:tabs>
          <w:tab w:val="clear" w:pos="420"/>
          <w:tab w:val="left" w:pos="1080" w:leader="none"/>
        </w:tabs>
        <w:spacing w:lineRule="exact" w:line="360"/>
        <w:ind w:start="1080" w:hanging="660"/>
        <w:rPr>
          <w:szCs w:val="21"/>
        </w:rPr>
      </w:pPr>
      <w:r>
        <w:rPr>
          <w:rFonts w:ascii="SimHei" w:hAnsi="SimHei" w:eastAsia="黑体"/>
          <w:szCs w:val="21"/>
        </w:rPr>
        <w:t>晚育</w:t>
      </w:r>
      <w:r>
        <w:rPr>
          <w:rFonts w:ascii="SimHei" w:hAnsi="SimHei" w:cs="宋体" w:eastAsia="黑体"/>
          <w:color w:val="000000"/>
          <w:szCs w:val="21"/>
        </w:rPr>
        <w:t>（</w:t>
      </w:r>
      <w:r>
        <w:rPr>
          <w:rFonts w:ascii="SimHei" w:hAnsi="SimHei" w:cs="宋体" w:eastAsia="黑体"/>
          <w:color w:val="000000"/>
        </w:rPr>
        <w:t>已婚妇女</w:t>
      </w:r>
      <w:r>
        <w:rPr>
          <w:rFonts w:cs="宋体" w:ascii="SimHei" w:hAnsi="SimHei" w:eastAsia="黑体"/>
          <w:color w:val="000000"/>
        </w:rPr>
        <w:t>24</w:t>
      </w:r>
      <w:r>
        <w:rPr>
          <w:rFonts w:ascii="SimHei" w:hAnsi="SimHei" w:cs="宋体" w:eastAsia="黑体"/>
          <w:color w:val="000000"/>
        </w:rPr>
        <w:t>周岁以上或晚婚后怀孕生育第一个孩子为晚育</w:t>
      </w:r>
      <w:r>
        <w:rPr>
          <w:rFonts w:ascii="SimHei" w:hAnsi="SimHei" w:cs="宋体" w:eastAsia="黑体"/>
          <w:color w:val="000000"/>
        </w:rPr>
        <w:t>）</w:t>
      </w:r>
      <w:r>
        <w:rPr>
          <w:rFonts w:ascii="SimHei" w:hAnsi="SimHei" w:eastAsia="黑体"/>
          <w:szCs w:val="21"/>
        </w:rPr>
        <w:t>增加</w:t>
      </w:r>
      <w:r>
        <w:rPr>
          <w:rFonts w:ascii="SimHei" w:hAnsi="SimHei" w:eastAsia="黑体"/>
          <w:szCs w:val="21"/>
        </w:rPr>
        <w:t>15</w:t>
      </w:r>
      <w:r>
        <w:rPr>
          <w:rFonts w:ascii="SimHei" w:hAnsi="SimHei" w:eastAsia="黑体"/>
          <w:szCs w:val="21"/>
        </w:rPr>
        <w:t>天；</w:t>
      </w:r>
    </w:p>
    <w:p>
      <w:pPr>
        <w:pStyle w:val="Normal"/>
        <w:numPr>
          <w:ilvl w:val="1"/>
          <w:numId w:val="2"/>
        </w:numPr>
        <w:tabs>
          <w:tab w:val="clear" w:pos="420"/>
          <w:tab w:val="left" w:pos="1080" w:leader="none"/>
        </w:tabs>
        <w:spacing w:lineRule="exact" w:line="360"/>
        <w:ind w:start="1080" w:hanging="660"/>
        <w:rPr>
          <w:szCs w:val="21"/>
        </w:rPr>
      </w:pPr>
      <w:r>
        <w:rPr>
          <w:rFonts w:ascii="SimHei" w:hAnsi="SimHei" w:eastAsia="黑体"/>
          <w:szCs w:val="21"/>
        </w:rPr>
        <w:t>难产：</w:t>
      </w:r>
      <w:r>
        <w:rPr>
          <w:rFonts w:ascii="SimHei" w:hAnsi="SimHei" w:eastAsia="黑体"/>
          <w:szCs w:val="21"/>
        </w:rPr>
        <w:t>a.</w:t>
      </w:r>
      <w:r>
        <w:rPr>
          <w:rFonts w:ascii="SimHei" w:hAnsi="SimHei" w:eastAsia="黑体"/>
          <w:szCs w:val="21"/>
        </w:rPr>
        <w:t>剖腹产、Ⅲ度会阴破裂增加</w:t>
      </w:r>
      <w:r>
        <w:rPr>
          <w:rFonts w:ascii="SimHei" w:hAnsi="SimHei" w:eastAsia="黑体"/>
          <w:szCs w:val="21"/>
        </w:rPr>
        <w:t>30</w:t>
      </w:r>
      <w:r>
        <w:rPr>
          <w:rFonts w:ascii="SimHei" w:hAnsi="SimHei" w:eastAsia="黑体"/>
          <w:szCs w:val="21"/>
        </w:rPr>
        <w:t>天；</w:t>
      </w:r>
      <w:r>
        <w:rPr>
          <w:rFonts w:ascii="SimHei" w:hAnsi="SimHei" w:eastAsia="黑体"/>
          <w:szCs w:val="21"/>
        </w:rPr>
        <w:t>b.</w:t>
      </w:r>
      <w:r>
        <w:rPr>
          <w:rFonts w:ascii="SimHei" w:hAnsi="SimHei" w:eastAsia="黑体"/>
          <w:szCs w:val="21"/>
        </w:rPr>
        <w:t>吸引产、钳产、</w:t>
      </w:r>
      <w:r>
        <w:rPr>
          <w:rFonts w:ascii="SimHei" w:hAnsi="SimHei" w:eastAsia="黑体"/>
          <w:szCs w:val="21"/>
        </w:rPr>
        <w:t>臀</w:t>
      </w:r>
      <w:r>
        <w:rPr>
          <w:rFonts w:ascii="SimHei" w:hAnsi="SimHei" w:eastAsia="黑体"/>
          <w:szCs w:val="21"/>
        </w:rPr>
        <w:t>位产增加</w:t>
      </w:r>
      <w:r>
        <w:rPr>
          <w:rFonts w:ascii="SimHei" w:hAnsi="SimHei" w:eastAsia="黑体"/>
          <w:szCs w:val="21"/>
        </w:rPr>
        <w:t>15</w:t>
      </w:r>
      <w:r>
        <w:rPr>
          <w:rFonts w:ascii="SimHei" w:hAnsi="SimHei" w:eastAsia="黑体"/>
          <w:szCs w:val="21"/>
        </w:rPr>
        <w:t>天；</w:t>
      </w:r>
    </w:p>
    <w:p>
      <w:pPr>
        <w:pStyle w:val="Normal"/>
        <w:numPr>
          <w:ilvl w:val="1"/>
          <w:numId w:val="2"/>
        </w:numPr>
        <w:tabs>
          <w:tab w:val="clear" w:pos="420"/>
          <w:tab w:val="left" w:pos="1080" w:leader="none"/>
        </w:tabs>
        <w:spacing w:lineRule="exact" w:line="360"/>
        <w:ind w:start="1080" w:hanging="660"/>
        <w:rPr>
          <w:szCs w:val="21"/>
        </w:rPr>
      </w:pPr>
      <w:r>
        <w:rPr>
          <w:rFonts w:ascii="SimHei" w:hAnsi="SimHei" w:eastAsia="黑体"/>
          <w:szCs w:val="21"/>
        </w:rPr>
        <w:t>多胞胎生育假，每多生育一个婴儿增加</w:t>
      </w:r>
      <w:r>
        <w:rPr>
          <w:rFonts w:ascii="SimHei" w:hAnsi="SimHei" w:eastAsia="黑体"/>
          <w:szCs w:val="21"/>
        </w:rPr>
        <w:t>15</w:t>
      </w:r>
      <w:r>
        <w:rPr>
          <w:rFonts w:ascii="SimHei" w:hAnsi="SimHei" w:eastAsia="黑体"/>
          <w:szCs w:val="21"/>
        </w:rPr>
        <w:t>天</w:t>
      </w:r>
      <w:r>
        <w:rPr>
          <w:rFonts w:ascii="SimHei" w:hAnsi="SimHei" w:eastAsia="黑体"/>
          <w:szCs w:val="21"/>
        </w:rPr>
        <w:t>；</w:t>
      </w:r>
    </w:p>
    <w:p>
      <w:pPr>
        <w:pStyle w:val="Normal"/>
        <w:numPr>
          <w:ilvl w:val="1"/>
          <w:numId w:val="2"/>
        </w:numPr>
        <w:tabs>
          <w:tab w:val="clear" w:pos="420"/>
          <w:tab w:val="left" w:pos="1080" w:leader="none"/>
          <w:tab w:val="left" w:pos="1260" w:leader="none"/>
        </w:tabs>
        <w:spacing w:lineRule="exact" w:line="360"/>
        <w:ind w:start="1080" w:hanging="660"/>
        <w:rPr>
          <w:szCs w:val="21"/>
        </w:rPr>
      </w:pPr>
      <w:r>
        <w:rPr>
          <w:rFonts w:ascii="SimHei" w:hAnsi="SimHei" w:eastAsia="黑体"/>
          <w:szCs w:val="21"/>
        </w:rPr>
        <w:t>流产假：</w:t>
      </w:r>
      <w:r>
        <w:rPr>
          <w:rFonts w:ascii="SimHei" w:hAnsi="SimHei" w:eastAsia="黑体"/>
          <w:szCs w:val="21"/>
        </w:rPr>
        <w:t>a.</w:t>
      </w:r>
      <w:r>
        <w:rPr>
          <w:rFonts w:ascii="SimHei" w:hAnsi="SimHei" w:eastAsia="黑体"/>
          <w:szCs w:val="21"/>
        </w:rPr>
        <w:t>怀孕不满</w:t>
      </w:r>
      <w:r>
        <w:rPr>
          <w:rFonts w:ascii="SimHei" w:hAnsi="SimHei" w:eastAsia="黑体"/>
          <w:szCs w:val="21"/>
        </w:rPr>
        <w:t>2</w:t>
      </w:r>
      <w:r>
        <w:rPr>
          <w:rFonts w:ascii="SimHei" w:hAnsi="SimHei" w:eastAsia="黑体"/>
          <w:szCs w:val="21"/>
        </w:rPr>
        <w:t>个月</w:t>
      </w:r>
      <w:r>
        <w:rPr>
          <w:rFonts w:ascii="SimHei" w:hAnsi="SimHei" w:eastAsia="黑体"/>
          <w:szCs w:val="21"/>
        </w:rPr>
        <w:t>15</w:t>
      </w:r>
      <w:r>
        <w:rPr>
          <w:rFonts w:ascii="SimHei" w:hAnsi="SimHei" w:eastAsia="黑体"/>
          <w:szCs w:val="21"/>
        </w:rPr>
        <w:t>天</w:t>
      </w:r>
      <w:r>
        <w:rPr>
          <w:rFonts w:ascii="SimHei" w:hAnsi="SimHei" w:eastAsia="黑体"/>
          <w:szCs w:val="21"/>
        </w:rPr>
        <w:t>；</w:t>
      </w:r>
      <w:r>
        <w:rPr>
          <w:rFonts w:ascii="SimHei" w:hAnsi="SimHei" w:eastAsia="黑体"/>
          <w:szCs w:val="21"/>
        </w:rPr>
        <w:t>b.</w:t>
      </w:r>
      <w:r>
        <w:rPr>
          <w:rFonts w:ascii="SimHei" w:hAnsi="SimHei" w:eastAsia="黑体"/>
          <w:szCs w:val="21"/>
        </w:rPr>
        <w:t>怀孕不满</w:t>
      </w:r>
      <w:r>
        <w:rPr>
          <w:rFonts w:ascii="SimHei" w:hAnsi="SimHei" w:eastAsia="黑体"/>
          <w:szCs w:val="21"/>
        </w:rPr>
        <w:t>4</w:t>
      </w:r>
      <w:r>
        <w:rPr>
          <w:rFonts w:ascii="SimHei" w:hAnsi="SimHei" w:eastAsia="黑体"/>
          <w:szCs w:val="21"/>
        </w:rPr>
        <w:t>个月</w:t>
      </w:r>
      <w:r>
        <w:rPr>
          <w:rFonts w:ascii="SimHei" w:hAnsi="SimHei" w:eastAsia="黑体"/>
          <w:szCs w:val="21"/>
        </w:rPr>
        <w:t>30</w:t>
      </w:r>
      <w:r>
        <w:rPr>
          <w:rFonts w:ascii="SimHei" w:hAnsi="SimHei" w:eastAsia="黑体"/>
          <w:szCs w:val="21"/>
        </w:rPr>
        <w:t>天；</w:t>
      </w:r>
      <w:r>
        <w:rPr>
          <w:rFonts w:ascii="SimHei" w:hAnsi="SimHei" w:eastAsia="黑体"/>
          <w:szCs w:val="21"/>
        </w:rPr>
        <w:t>c.</w:t>
      </w:r>
      <w:r>
        <w:rPr>
          <w:rFonts w:ascii="SimHei" w:hAnsi="SimHei" w:eastAsia="黑体"/>
          <w:szCs w:val="21"/>
        </w:rPr>
        <w:t>满</w:t>
      </w:r>
      <w:r>
        <w:rPr>
          <w:rFonts w:ascii="SimHei" w:hAnsi="SimHei" w:eastAsia="黑体"/>
          <w:szCs w:val="21"/>
        </w:rPr>
        <w:t>4</w:t>
      </w:r>
      <w:r>
        <w:rPr>
          <w:rFonts w:ascii="SimHei" w:hAnsi="SimHei" w:eastAsia="黑体"/>
          <w:szCs w:val="21"/>
        </w:rPr>
        <w:t>个月以上（含</w:t>
      </w:r>
      <w:r>
        <w:rPr>
          <w:rFonts w:ascii="SimHei" w:hAnsi="SimHei" w:eastAsia="黑体"/>
          <w:szCs w:val="21"/>
        </w:rPr>
        <w:t>4</w:t>
      </w:r>
      <w:r>
        <w:rPr>
          <w:rFonts w:ascii="SimHei" w:hAnsi="SimHei" w:eastAsia="黑体"/>
          <w:szCs w:val="21"/>
        </w:rPr>
        <w:t>个月）至</w:t>
      </w:r>
      <w:r>
        <w:rPr>
          <w:rFonts w:ascii="SimHei" w:hAnsi="SimHei" w:eastAsia="黑体"/>
          <w:szCs w:val="21"/>
        </w:rPr>
        <w:t>7</w:t>
      </w:r>
      <w:r>
        <w:rPr>
          <w:rFonts w:ascii="SimHei" w:hAnsi="SimHei" w:eastAsia="黑体"/>
          <w:szCs w:val="21"/>
        </w:rPr>
        <w:t>个月以下</w:t>
      </w:r>
      <w:r>
        <w:rPr>
          <w:rFonts w:ascii="SimHei" w:hAnsi="SimHei" w:eastAsia="黑体"/>
          <w:szCs w:val="21"/>
        </w:rPr>
        <w:t>42</w:t>
      </w:r>
      <w:r>
        <w:rPr>
          <w:rFonts w:ascii="SimHei" w:hAnsi="SimHei" w:eastAsia="黑体"/>
          <w:szCs w:val="21"/>
        </w:rPr>
        <w:t>天</w:t>
      </w:r>
      <w:r>
        <w:rPr>
          <w:rFonts w:ascii="SimHei" w:hAnsi="SimHei" w:eastAsia="黑体"/>
          <w:szCs w:val="21"/>
        </w:rPr>
        <w:t>；</w:t>
      </w:r>
      <w:r>
        <w:rPr>
          <w:rFonts w:ascii="SimHei" w:hAnsi="SimHei" w:eastAsia="黑体"/>
          <w:szCs w:val="21"/>
        </w:rPr>
        <w:t>d.</w:t>
      </w:r>
      <w:r>
        <w:rPr>
          <w:rFonts w:ascii="SimHei" w:hAnsi="SimHei" w:eastAsia="黑体"/>
          <w:szCs w:val="21"/>
        </w:rPr>
        <w:t>7</w:t>
      </w:r>
      <w:r>
        <w:rPr>
          <w:rFonts w:ascii="SimHei" w:hAnsi="SimHei" w:eastAsia="黑体"/>
          <w:szCs w:val="21"/>
        </w:rPr>
        <w:t>个月以上遇死胎、死产和早产不成</w:t>
      </w:r>
      <w:r>
        <w:rPr>
          <w:rFonts w:ascii="SimHei" w:hAnsi="SimHei" w:eastAsia="黑体"/>
          <w:szCs w:val="21"/>
        </w:rPr>
        <w:t>活</w:t>
      </w:r>
      <w:r>
        <w:rPr>
          <w:rFonts w:ascii="SimHei" w:hAnsi="SimHei" w:eastAsia="黑体"/>
          <w:szCs w:val="21"/>
        </w:rPr>
        <w:t>75</w:t>
      </w:r>
      <w:r>
        <w:rPr>
          <w:rFonts w:ascii="SimHei" w:hAnsi="SimHei" w:eastAsia="黑体"/>
          <w:szCs w:val="21"/>
        </w:rPr>
        <w:t>天</w:t>
      </w:r>
      <w:r>
        <w:rPr>
          <w:rFonts w:ascii="SimHei" w:hAnsi="SimHei" w:eastAsia="黑体"/>
          <w:szCs w:val="21"/>
        </w:rPr>
        <w:t>；</w:t>
      </w:r>
    </w:p>
    <w:p>
      <w:pPr>
        <w:pStyle w:val="Normal"/>
        <w:numPr>
          <w:ilvl w:val="1"/>
          <w:numId w:val="2"/>
        </w:numPr>
        <w:tabs>
          <w:tab w:val="clear" w:pos="420"/>
          <w:tab w:val="left" w:pos="1080" w:leader="none"/>
          <w:tab w:val="left" w:pos="1260" w:leader="none"/>
        </w:tabs>
        <w:spacing w:lineRule="exact" w:line="360"/>
        <w:ind w:start="1080" w:hanging="660"/>
        <w:rPr>
          <w:szCs w:val="21"/>
        </w:rPr>
      </w:pPr>
      <w:r>
        <w:rPr>
          <w:rFonts w:ascii="SimHei" w:hAnsi="SimHei" w:eastAsia="黑体"/>
          <w:szCs w:val="21"/>
        </w:rPr>
        <w:t>产假期间的月工资＝该员工分娩前一个月的工资（不含：全勤奖、餐费、交通补贴、住房补贴、通讯补贴及加班工资）</w:t>
      </w:r>
    </w:p>
    <w:p>
      <w:pPr>
        <w:pStyle w:val="Normal"/>
        <w:numPr>
          <w:ilvl w:val="0"/>
          <w:numId w:val="2"/>
        </w:numPr>
        <w:spacing w:lineRule="exact" w:line="360"/>
        <w:rPr>
          <w:rFonts w:ascii="仿宋_GB2312" w:hAnsi="仿宋_GB2312"/>
          <w:szCs w:val="21"/>
        </w:rPr>
      </w:pPr>
      <w:r>
        <w:rPr>
          <w:rFonts w:ascii="SimHei" w:hAnsi="SimHei" w:eastAsia="黑体"/>
          <w:szCs w:val="21"/>
        </w:rPr>
        <w:t>领取《独生子女父母光荣证》或《独生子女优待证》、《出生证》的男员工配偶生育，享有</w:t>
      </w:r>
      <w:r>
        <w:rPr>
          <w:rFonts w:ascii="SimHei" w:hAnsi="SimHei" w:eastAsia="黑体"/>
          <w:szCs w:val="21"/>
        </w:rPr>
        <w:t>10</w:t>
      </w:r>
      <w:r>
        <w:rPr>
          <w:rFonts w:ascii="SimHei" w:hAnsi="SimHei" w:eastAsia="黑体"/>
          <w:szCs w:val="21"/>
        </w:rPr>
        <w:t>天陪产假期。休假时间从孩子出生的第二天开始计算，如遇国家法定假期或周六、日，也视作陪产假计入</w:t>
      </w:r>
      <w:r>
        <w:rPr>
          <w:rFonts w:ascii="SimHei" w:hAnsi="SimHei" w:eastAsia="黑体"/>
          <w:szCs w:val="21"/>
        </w:rPr>
        <w:t>10</w:t>
      </w:r>
      <w:r>
        <w:rPr>
          <w:rFonts w:ascii="SimHei" w:hAnsi="SimHei" w:eastAsia="黑体"/>
          <w:szCs w:val="21"/>
        </w:rPr>
        <w:t>天中。</w:t>
      </w:r>
    </w:p>
    <w:p>
      <w:pPr>
        <w:pStyle w:val="Normal"/>
        <w:numPr>
          <w:ilvl w:val="0"/>
          <w:numId w:val="24"/>
        </w:numPr>
        <w:spacing w:lineRule="exact" w:line="360"/>
        <w:outlineLvl w:val="1"/>
        <w:rPr>
          <w:b/>
          <w:b/>
          <w:bCs/>
          <w:szCs w:val="21"/>
        </w:rPr>
      </w:pPr>
      <w:bookmarkStart w:id="26" w:name="__RefHeading___Toc216679012"/>
      <w:bookmarkEnd w:id="26"/>
      <w:r>
        <w:rPr>
          <w:rFonts w:ascii="SimHei" w:hAnsi="SimHei" w:eastAsia="黑体"/>
          <w:b/>
          <w:bCs/>
          <w:szCs w:val="21"/>
        </w:rPr>
        <w:t>女员工孕期检查、哺乳时间</w:t>
      </w:r>
    </w:p>
    <w:p>
      <w:pPr>
        <w:pStyle w:val="Normal"/>
        <w:numPr>
          <w:ilvl w:val="0"/>
          <w:numId w:val="31"/>
        </w:numPr>
        <w:tabs>
          <w:tab w:val="clear" w:pos="420"/>
          <w:tab w:val="left" w:pos="900" w:leader="none"/>
        </w:tabs>
        <w:spacing w:lineRule="exact" w:line="360"/>
        <w:ind w:start="900" w:hanging="540"/>
        <w:rPr>
          <w:rFonts w:ascii="宋体" w:hAnsi="宋体" w:cs="宋体"/>
          <w:szCs w:val="21"/>
        </w:rPr>
      </w:pPr>
      <w:r>
        <w:rPr>
          <w:rFonts w:ascii="SimHei" w:hAnsi="SimHei" w:cs="宋体" w:eastAsia="黑体"/>
          <w:szCs w:val="21"/>
        </w:rPr>
        <w:t>怀孕</w:t>
      </w:r>
      <w:r>
        <w:rPr>
          <w:rFonts w:cs="宋体" w:ascii="SimHei" w:hAnsi="SimHei" w:eastAsia="黑体"/>
          <w:szCs w:val="21"/>
        </w:rPr>
        <w:t>3-7</w:t>
      </w:r>
      <w:r>
        <w:rPr>
          <w:rFonts w:ascii="SimHei" w:hAnsi="SimHei" w:cs="宋体" w:eastAsia="黑体"/>
          <w:szCs w:val="21"/>
        </w:rPr>
        <w:t>个月，每月有一天产前检查假期；怀孕</w:t>
      </w:r>
      <w:r>
        <w:rPr>
          <w:rFonts w:cs="宋体" w:ascii="SimHei" w:hAnsi="SimHei" w:eastAsia="黑体"/>
          <w:szCs w:val="21"/>
        </w:rPr>
        <w:t>8</w:t>
      </w:r>
      <w:r>
        <w:rPr>
          <w:rFonts w:ascii="SimHei" w:hAnsi="SimHei" w:cs="宋体" w:eastAsia="黑体"/>
          <w:szCs w:val="21"/>
        </w:rPr>
        <w:t>、</w:t>
      </w:r>
      <w:r>
        <w:rPr>
          <w:rFonts w:cs="宋体" w:ascii="SimHei" w:hAnsi="SimHei" w:eastAsia="黑体"/>
          <w:szCs w:val="21"/>
        </w:rPr>
        <w:t>9</w:t>
      </w:r>
      <w:r>
        <w:rPr>
          <w:rFonts w:ascii="SimHei" w:hAnsi="SimHei" w:cs="宋体" w:eastAsia="黑体"/>
          <w:szCs w:val="21"/>
        </w:rPr>
        <w:t>个月，每两周有一天产前检查假期；怀孕最后一个月，每周有一天的产前检查假期；</w:t>
      </w:r>
    </w:p>
    <w:p>
      <w:pPr>
        <w:pStyle w:val="Normal"/>
        <w:numPr>
          <w:ilvl w:val="0"/>
          <w:numId w:val="31"/>
        </w:numPr>
        <w:tabs>
          <w:tab w:val="clear" w:pos="420"/>
          <w:tab w:val="left" w:pos="900" w:leader="none"/>
        </w:tabs>
        <w:spacing w:lineRule="exact" w:line="360"/>
        <w:ind w:start="900" w:hanging="540"/>
        <w:rPr>
          <w:rFonts w:ascii="仿宋_GB2312" w:hAnsi="仿宋_GB2312"/>
          <w:szCs w:val="21"/>
        </w:rPr>
      </w:pPr>
      <w:r>
        <w:rPr>
          <w:rFonts w:ascii="SimHei" w:hAnsi="SimHei" w:cs="宋体" w:eastAsia="黑体"/>
          <w:szCs w:val="21"/>
        </w:rPr>
        <w:t>生育后，小孩未满一周岁时，每天上、下午各有</w:t>
      </w:r>
      <w:r>
        <w:rPr>
          <w:rFonts w:cs="宋体" w:ascii="SimHei" w:hAnsi="SimHei" w:eastAsia="黑体"/>
          <w:szCs w:val="21"/>
        </w:rPr>
        <w:t>30</w:t>
      </w:r>
      <w:r>
        <w:rPr>
          <w:rFonts w:ascii="SimHei" w:hAnsi="SimHei" w:cs="宋体" w:eastAsia="黑体"/>
          <w:szCs w:val="21"/>
        </w:rPr>
        <w:t>分钟的哺乳时间；</w:t>
      </w:r>
    </w:p>
    <w:p>
      <w:pPr>
        <w:pStyle w:val="Normal"/>
        <w:numPr>
          <w:ilvl w:val="0"/>
          <w:numId w:val="31"/>
        </w:numPr>
        <w:tabs>
          <w:tab w:val="clear" w:pos="420"/>
          <w:tab w:val="left" w:pos="900" w:leader="none"/>
        </w:tabs>
        <w:spacing w:lineRule="exact" w:line="360"/>
        <w:ind w:start="900" w:hanging="540"/>
        <w:rPr>
          <w:rFonts w:ascii="仿宋_GB2312" w:hAnsi="仿宋_GB2312"/>
          <w:color w:val="000000"/>
          <w:szCs w:val="21"/>
        </w:rPr>
      </w:pPr>
      <w:r>
        <w:rPr>
          <w:rFonts w:ascii="SimHei" w:hAnsi="SimHei" w:cs="宋体" w:eastAsia="黑体"/>
          <w:color w:val="000000"/>
          <w:szCs w:val="21"/>
        </w:rPr>
        <w:t>怀孕员工在预产期前一个月内方可申请休产假。</w:t>
      </w:r>
    </w:p>
    <w:p>
      <w:pPr>
        <w:pStyle w:val="Normal"/>
        <w:numPr>
          <w:ilvl w:val="0"/>
          <w:numId w:val="24"/>
        </w:numPr>
        <w:spacing w:lineRule="exact" w:line="360"/>
        <w:outlineLvl w:val="1"/>
        <w:rPr>
          <w:b/>
          <w:b/>
          <w:bCs/>
          <w:szCs w:val="21"/>
        </w:rPr>
      </w:pPr>
      <w:bookmarkStart w:id="27" w:name="__RefHeading___Toc216679013"/>
      <w:bookmarkEnd w:id="27"/>
      <w:r>
        <w:rPr>
          <w:rFonts w:ascii="SimHei" w:hAnsi="SimHei" w:eastAsia="黑体"/>
          <w:b/>
          <w:bCs/>
          <w:szCs w:val="21"/>
        </w:rPr>
        <w:t>工伤假</w:t>
      </w:r>
    </w:p>
    <w:p>
      <w:pPr>
        <w:pStyle w:val="Normal"/>
        <w:numPr>
          <w:ilvl w:val="0"/>
          <w:numId w:val="21"/>
        </w:numPr>
        <w:tabs>
          <w:tab w:val="clear" w:pos="420"/>
          <w:tab w:val="left" w:pos="780" w:leader="none"/>
          <w:tab w:val="left" w:pos="1050" w:leader="none"/>
        </w:tabs>
        <w:spacing w:lineRule="exact" w:line="360"/>
        <w:ind w:start="780" w:hanging="420"/>
        <w:rPr>
          <w:rFonts w:ascii="仿宋_GB2312" w:hAnsi="仿宋_GB2312"/>
          <w:szCs w:val="21"/>
        </w:rPr>
      </w:pPr>
      <w:r>
        <w:rPr>
          <w:rFonts w:ascii="SimHei" w:hAnsi="SimHei" w:eastAsia="黑体"/>
          <w:szCs w:val="21"/>
        </w:rPr>
        <w:t>经劳动保障部门及广州市劳动能力鉴定委员会认定为工伤的员工，享有工伤假期和工伤保险待遇；</w:t>
      </w:r>
    </w:p>
    <w:p>
      <w:pPr>
        <w:pStyle w:val="Normal"/>
        <w:numPr>
          <w:ilvl w:val="0"/>
          <w:numId w:val="21"/>
        </w:numPr>
        <w:tabs>
          <w:tab w:val="clear" w:pos="420"/>
          <w:tab w:val="left" w:pos="780" w:leader="none"/>
          <w:tab w:val="left" w:pos="1050" w:leader="none"/>
        </w:tabs>
        <w:spacing w:lineRule="exact" w:line="360"/>
        <w:ind w:start="780" w:hanging="420"/>
        <w:rPr>
          <w:szCs w:val="21"/>
        </w:rPr>
      </w:pPr>
      <w:r>
        <w:rPr>
          <w:rFonts w:ascii="SimHei" w:hAnsi="SimHei" w:eastAsia="黑体"/>
          <w:szCs w:val="21"/>
        </w:rPr>
        <w:t>被认定为工伤的员工，治疗期间的工资待遇按国家规定执行。</w:t>
      </w:r>
    </w:p>
    <w:p>
      <w:pPr>
        <w:pStyle w:val="Normal"/>
        <w:numPr>
          <w:ilvl w:val="0"/>
          <w:numId w:val="24"/>
        </w:numPr>
        <w:spacing w:lineRule="exact" w:line="360"/>
        <w:outlineLvl w:val="1"/>
        <w:rPr>
          <w:b/>
          <w:b/>
          <w:bCs/>
          <w:szCs w:val="21"/>
        </w:rPr>
      </w:pPr>
      <w:bookmarkStart w:id="28" w:name="__RefHeading___Toc216679014"/>
      <w:bookmarkEnd w:id="28"/>
      <w:r>
        <w:rPr>
          <w:rFonts w:ascii="SimHei" w:hAnsi="SimHei" w:eastAsia="黑体"/>
          <w:b/>
          <w:bCs/>
          <w:szCs w:val="21"/>
        </w:rPr>
        <w:t>婚假、丧假</w:t>
      </w:r>
    </w:p>
    <w:p>
      <w:pPr>
        <w:pStyle w:val="Normal"/>
        <w:numPr>
          <w:ilvl w:val="0"/>
          <w:numId w:val="20"/>
        </w:numPr>
        <w:tabs>
          <w:tab w:val="clear" w:pos="420"/>
          <w:tab w:val="left" w:pos="780" w:leader="none"/>
          <w:tab w:val="left" w:pos="1050" w:leader="none"/>
        </w:tabs>
        <w:spacing w:lineRule="exact" w:line="360"/>
        <w:rPr>
          <w:rFonts w:ascii="宋体" w:hAnsi="宋体" w:cs="宋体"/>
          <w:szCs w:val="21"/>
        </w:rPr>
      </w:pPr>
      <w:r>
        <w:rPr>
          <w:rFonts w:ascii="SimHei" w:hAnsi="SimHei" w:cs="宋体" w:eastAsia="黑体"/>
          <w:szCs w:val="21"/>
        </w:rPr>
        <w:t>符合《中华人民共和国婚姻法》规定的员工结婚，享有</w:t>
      </w:r>
      <w:r>
        <w:rPr>
          <w:rFonts w:cs="宋体" w:ascii="SimHei" w:hAnsi="SimHei" w:eastAsia="黑体"/>
          <w:szCs w:val="21"/>
        </w:rPr>
        <w:t>3</w:t>
      </w:r>
      <w:r>
        <w:rPr>
          <w:rFonts w:ascii="SimHei" w:hAnsi="SimHei" w:cs="宋体" w:eastAsia="黑体"/>
          <w:szCs w:val="21"/>
        </w:rPr>
        <w:t>天婚假；晚婚员工（指男子满</w:t>
      </w:r>
      <w:r>
        <w:rPr>
          <w:rFonts w:cs="宋体" w:ascii="SimHei" w:hAnsi="SimHei" w:eastAsia="黑体"/>
          <w:szCs w:val="21"/>
        </w:rPr>
        <w:t>25</w:t>
      </w:r>
      <w:r>
        <w:rPr>
          <w:rFonts w:ascii="SimHei" w:hAnsi="SimHei" w:cs="宋体" w:eastAsia="黑体"/>
          <w:szCs w:val="21"/>
        </w:rPr>
        <w:t>周岁以上，女子满</w:t>
      </w:r>
      <w:r>
        <w:rPr>
          <w:rFonts w:cs="宋体" w:ascii="SimHei" w:hAnsi="SimHei" w:eastAsia="黑体"/>
          <w:szCs w:val="21"/>
        </w:rPr>
        <w:t>23</w:t>
      </w:r>
      <w:r>
        <w:rPr>
          <w:rFonts w:ascii="SimHei" w:hAnsi="SimHei" w:cs="宋体" w:eastAsia="黑体"/>
          <w:szCs w:val="21"/>
        </w:rPr>
        <w:t>周岁以上）视工作安排，经部门经理、总经理批准后，可享有</w:t>
      </w:r>
      <w:r>
        <w:rPr>
          <w:rFonts w:cs="宋体" w:ascii="SimHei" w:hAnsi="SimHei" w:eastAsia="黑体"/>
          <w:szCs w:val="21"/>
        </w:rPr>
        <w:t>13</w:t>
      </w:r>
      <w:r>
        <w:rPr>
          <w:rFonts w:ascii="SimHei" w:hAnsi="SimHei" w:cs="宋体" w:eastAsia="黑体"/>
          <w:szCs w:val="21"/>
        </w:rPr>
        <w:t>天婚假（其中</w:t>
      </w:r>
      <w:r>
        <w:rPr>
          <w:rFonts w:cs="宋体" w:ascii="SimHei" w:hAnsi="SimHei" w:eastAsia="黑体"/>
          <w:szCs w:val="21"/>
        </w:rPr>
        <w:t>13</w:t>
      </w:r>
      <w:r>
        <w:rPr>
          <w:rFonts w:ascii="SimHei" w:hAnsi="SimHei" w:cs="宋体" w:eastAsia="黑体"/>
          <w:szCs w:val="21"/>
        </w:rPr>
        <w:t>天婚假，已包含节假日）。</w:t>
      </w:r>
      <w:r>
        <w:rPr>
          <w:rFonts w:ascii="SimHei" w:hAnsi="SimHei" w:cs="宋体" w:eastAsia="黑体"/>
          <w:color w:val="000000"/>
          <w:szCs w:val="21"/>
        </w:rPr>
        <w:t>如因工作关系，未能一次性休完婚假者，可申请分两次休完。</w:t>
      </w:r>
      <w:r>
        <w:rPr>
          <w:rFonts w:ascii="SimHei" w:hAnsi="SimHei" w:cs="宋体" w:eastAsia="黑体"/>
          <w:szCs w:val="21"/>
        </w:rPr>
        <w:t>休婚假前，必须出示合法的婚姻登记证，按证件上颁布的日期，半年内有效，逾期未休婚假的，按自动放弃婚假处理；</w:t>
      </w:r>
    </w:p>
    <w:p>
      <w:pPr>
        <w:pStyle w:val="Normal"/>
        <w:numPr>
          <w:ilvl w:val="0"/>
          <w:numId w:val="20"/>
        </w:numPr>
        <w:tabs>
          <w:tab w:val="clear" w:pos="420"/>
          <w:tab w:val="left" w:pos="780" w:leader="none"/>
          <w:tab w:val="left" w:pos="1050" w:leader="none"/>
        </w:tabs>
        <w:spacing w:lineRule="exact" w:line="360"/>
        <w:rPr>
          <w:rFonts w:ascii="仿宋_GB2312" w:hAnsi="仿宋_GB2312"/>
          <w:szCs w:val="21"/>
        </w:rPr>
      </w:pPr>
      <w:r>
        <w:rPr>
          <w:rFonts w:ascii="SimHei" w:hAnsi="SimHei" w:cs="宋体" w:eastAsia="黑体"/>
          <w:szCs w:val="21"/>
        </w:rPr>
        <w:t>员工直系亲属（父母、配偶、子女）死亡，给予丧假</w:t>
      </w:r>
      <w:r>
        <w:rPr>
          <w:rFonts w:cs="宋体" w:ascii="SimHei" w:hAnsi="SimHei" w:eastAsia="黑体"/>
          <w:szCs w:val="21"/>
        </w:rPr>
        <w:t>3</w:t>
      </w:r>
      <w:r>
        <w:rPr>
          <w:rFonts w:ascii="SimHei" w:hAnsi="SimHei" w:cs="宋体" w:eastAsia="黑体"/>
          <w:szCs w:val="21"/>
        </w:rPr>
        <w:t>天，只能一次连续休完；</w:t>
      </w:r>
      <w:r>
        <w:rPr>
          <w:rFonts w:ascii="SimHei" w:hAnsi="SimHei" w:cs="宋体" w:eastAsia="黑体"/>
          <w:color w:val="000000"/>
          <w:szCs w:val="21"/>
        </w:rPr>
        <w:t>外公外婆、爷爷奶奶死亡，给予丧假</w:t>
      </w:r>
      <w:r>
        <w:rPr>
          <w:rFonts w:cs="宋体" w:ascii="SimHei" w:hAnsi="SimHei" w:eastAsia="黑体"/>
          <w:color w:val="000000"/>
          <w:szCs w:val="21"/>
        </w:rPr>
        <w:t>1</w:t>
      </w:r>
      <w:r>
        <w:rPr>
          <w:rFonts w:ascii="SimHei" w:hAnsi="SimHei" w:cs="宋体" w:eastAsia="黑体"/>
          <w:color w:val="000000"/>
          <w:szCs w:val="21"/>
        </w:rPr>
        <w:t>天；</w:t>
      </w:r>
      <w:r>
        <w:rPr>
          <w:rFonts w:ascii="SimHei" w:hAnsi="SimHei" w:cs="宋体" w:eastAsia="黑体"/>
          <w:szCs w:val="21"/>
        </w:rPr>
        <w:t>异地奔丧者，另给路程假。</w:t>
      </w:r>
    </w:p>
    <w:p>
      <w:pPr>
        <w:pStyle w:val="Normal"/>
        <w:numPr>
          <w:ilvl w:val="0"/>
          <w:numId w:val="24"/>
        </w:numPr>
        <w:spacing w:lineRule="exact" w:line="360"/>
        <w:outlineLvl w:val="1"/>
        <w:rPr>
          <w:b/>
          <w:b/>
          <w:bCs/>
          <w:szCs w:val="21"/>
        </w:rPr>
      </w:pPr>
      <w:bookmarkStart w:id="29" w:name="__RefHeading___Toc216679015"/>
      <w:bookmarkEnd w:id="29"/>
      <w:r>
        <w:rPr>
          <w:rFonts w:ascii="SimHei" w:hAnsi="SimHei" w:eastAsia="黑体"/>
          <w:b/>
          <w:bCs/>
          <w:szCs w:val="21"/>
        </w:rPr>
        <w:t>年休假</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适用范围：本公司正式员工（不包含实习生、临时工、兼职人员、外聘人员）；</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员工连续工作满</w:t>
      </w:r>
      <w:r>
        <w:rPr>
          <w:rFonts w:cs="宋体" w:ascii="SimHei" w:hAnsi="SimHei" w:eastAsia="黑体"/>
          <w:szCs w:val="21"/>
        </w:rPr>
        <w:t>12</w:t>
      </w:r>
      <w:r>
        <w:rPr>
          <w:rFonts w:ascii="SimHei" w:hAnsi="SimHei" w:cs="宋体" w:eastAsia="黑体"/>
          <w:szCs w:val="21"/>
        </w:rPr>
        <w:t>个月以上的，享受带薪年休假（连续工作时间从签订劳动合同之日起计算）；</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年休假天数根据员工累计工作时间确定。员工在同一或者不同用人单位工作期间，以及依照法律、行政法规或国务院规定视同工作期间，计为累计工作时间；</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员工</w:t>
      </w:r>
      <w:r>
        <w:rPr>
          <w:rFonts w:ascii="SimHei" w:hAnsi="SimHei" w:cs="宋体" w:eastAsia="黑体"/>
          <w:szCs w:val="21"/>
        </w:rPr>
        <w:t>累计工作已满</w:t>
      </w:r>
      <w:r>
        <w:rPr>
          <w:rFonts w:cs="宋体" w:ascii="SimHei" w:hAnsi="SimHei" w:eastAsia="黑体"/>
          <w:szCs w:val="21"/>
        </w:rPr>
        <w:t>1</w:t>
      </w:r>
      <w:r>
        <w:rPr>
          <w:rFonts w:ascii="SimHei" w:hAnsi="SimHei" w:cs="宋体" w:eastAsia="黑体"/>
          <w:szCs w:val="21"/>
        </w:rPr>
        <w:t>年不满</w:t>
      </w:r>
      <w:r>
        <w:rPr>
          <w:rFonts w:cs="宋体" w:ascii="SimHei" w:hAnsi="SimHei" w:eastAsia="黑体"/>
          <w:szCs w:val="21"/>
        </w:rPr>
        <w:t>10</w:t>
      </w:r>
      <w:r>
        <w:rPr>
          <w:rFonts w:ascii="SimHei" w:hAnsi="SimHei" w:cs="宋体" w:eastAsia="黑体"/>
          <w:szCs w:val="21"/>
        </w:rPr>
        <w:t>年的，年休假</w:t>
      </w:r>
      <w:r>
        <w:rPr>
          <w:rFonts w:cs="宋体" w:ascii="SimHei" w:hAnsi="SimHei" w:eastAsia="黑体"/>
          <w:szCs w:val="21"/>
        </w:rPr>
        <w:t>5</w:t>
      </w:r>
      <w:r>
        <w:rPr>
          <w:rFonts w:ascii="SimHei" w:hAnsi="SimHei" w:cs="宋体" w:eastAsia="黑体"/>
          <w:szCs w:val="21"/>
        </w:rPr>
        <w:t>天；已满</w:t>
      </w:r>
      <w:r>
        <w:rPr>
          <w:rFonts w:cs="宋体" w:ascii="SimHei" w:hAnsi="SimHei" w:eastAsia="黑体"/>
          <w:szCs w:val="21"/>
        </w:rPr>
        <w:t>10</w:t>
      </w:r>
      <w:r>
        <w:rPr>
          <w:rFonts w:ascii="SimHei" w:hAnsi="SimHei" w:cs="宋体" w:eastAsia="黑体"/>
          <w:szCs w:val="21"/>
        </w:rPr>
        <w:t>年不满</w:t>
      </w:r>
      <w:r>
        <w:rPr>
          <w:rFonts w:cs="宋体" w:ascii="SimHei" w:hAnsi="SimHei" w:eastAsia="黑体"/>
          <w:szCs w:val="21"/>
        </w:rPr>
        <w:t>20</w:t>
      </w:r>
      <w:r>
        <w:rPr>
          <w:rFonts w:ascii="SimHei" w:hAnsi="SimHei" w:cs="宋体" w:eastAsia="黑体"/>
          <w:szCs w:val="21"/>
        </w:rPr>
        <w:t>年的，年休假</w:t>
      </w:r>
      <w:r>
        <w:rPr>
          <w:rFonts w:cs="宋体" w:ascii="SimHei" w:hAnsi="SimHei" w:eastAsia="黑体"/>
          <w:szCs w:val="21"/>
        </w:rPr>
        <w:t>10</w:t>
      </w:r>
      <w:r>
        <w:rPr>
          <w:rFonts w:ascii="SimHei" w:hAnsi="SimHei" w:cs="宋体" w:eastAsia="黑体"/>
          <w:szCs w:val="21"/>
        </w:rPr>
        <w:t>天；已满</w:t>
      </w:r>
      <w:r>
        <w:rPr>
          <w:rFonts w:cs="宋体" w:ascii="SimHei" w:hAnsi="SimHei" w:eastAsia="黑体"/>
          <w:szCs w:val="21"/>
        </w:rPr>
        <w:t>20</w:t>
      </w:r>
      <w:r>
        <w:rPr>
          <w:rFonts w:ascii="SimHei" w:hAnsi="SimHei" w:cs="宋体" w:eastAsia="黑体"/>
          <w:szCs w:val="21"/>
        </w:rPr>
        <w:t>年的，年休假</w:t>
      </w:r>
      <w:r>
        <w:rPr>
          <w:rFonts w:cs="宋体" w:ascii="SimHei" w:hAnsi="SimHei" w:eastAsia="黑体"/>
          <w:szCs w:val="21"/>
        </w:rPr>
        <w:t>15</w:t>
      </w:r>
      <w:r>
        <w:rPr>
          <w:rFonts w:ascii="SimHei" w:hAnsi="SimHei" w:cs="宋体" w:eastAsia="黑体"/>
          <w:szCs w:val="21"/>
        </w:rPr>
        <w:t>天。国家法定休假日、休息日不计入年休假的假期</w:t>
      </w:r>
      <w:r>
        <w:rPr>
          <w:rFonts w:ascii="SimHei" w:hAnsi="SimHei" w:cs="宋体" w:eastAsia="黑体"/>
          <w:szCs w:val="21"/>
        </w:rPr>
        <w:t>；</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员工新进本公司且符合以上规定的，当年应休年休假的天数，按照在本单位剩余日历天数折算确定，折算后不足</w:t>
      </w:r>
      <w:r>
        <w:rPr>
          <w:rFonts w:cs="宋体" w:ascii="SimHei" w:hAnsi="SimHei" w:eastAsia="黑体"/>
          <w:szCs w:val="21"/>
        </w:rPr>
        <w:t>1</w:t>
      </w:r>
      <w:r>
        <w:rPr>
          <w:rFonts w:ascii="SimHei" w:hAnsi="SimHei" w:cs="宋体" w:eastAsia="黑体"/>
          <w:szCs w:val="21"/>
        </w:rPr>
        <w:t>整天的部分不享受年休假；公式：应休年假天数＝当年度在本单位剩余日历天数</w:t>
      </w:r>
      <w:r>
        <w:rPr>
          <w:rFonts w:cs="宋体" w:ascii="SimHei" w:hAnsi="SimHei" w:eastAsia="黑体"/>
          <w:szCs w:val="21"/>
        </w:rPr>
        <w:t>÷</w:t>
      </w:r>
      <w:r>
        <w:rPr>
          <w:rFonts w:cs="宋体" w:ascii="SimHei" w:hAnsi="SimHei" w:eastAsia="黑体"/>
          <w:szCs w:val="21"/>
        </w:rPr>
        <w:t>365</w:t>
      </w:r>
      <w:r>
        <w:rPr>
          <w:rFonts w:ascii="SimHei" w:hAnsi="SimHei" w:cs="宋体" w:eastAsia="黑体"/>
          <w:szCs w:val="21"/>
        </w:rPr>
        <w:t>天</w:t>
      </w:r>
      <w:r>
        <w:rPr>
          <w:rFonts w:cs="宋体" w:ascii="SimHei" w:hAnsi="SimHei" w:eastAsia="黑体"/>
          <w:szCs w:val="21"/>
        </w:rPr>
        <w:t>×</w:t>
      </w:r>
      <w:r>
        <w:rPr>
          <w:rFonts w:ascii="SimHei" w:hAnsi="SimHei" w:cs="宋体" w:eastAsia="黑体"/>
          <w:szCs w:val="21"/>
        </w:rPr>
        <w:t>员工本人全年应当享受的年假休假天数（小数点部分省略）；</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员工享受的婚假、丧假、产假等国家规定的假期以及因工伤停工留薪期间不计入年休假假期；</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员工已享受当年的年休假，年度内又出现以下情形之一的，不享受下一年度的年休假：</w:t>
      </w:r>
    </w:p>
    <w:p>
      <w:pPr>
        <w:pStyle w:val="Normal"/>
        <w:numPr>
          <w:ilvl w:val="0"/>
          <w:numId w:val="43"/>
        </w:numPr>
        <w:tabs>
          <w:tab w:val="clear" w:pos="420"/>
          <w:tab w:val="left" w:pos="840" w:leader="none"/>
          <w:tab w:val="left" w:pos="1080" w:leader="none"/>
        </w:tabs>
        <w:spacing w:lineRule="exact" w:line="360"/>
        <w:rPr>
          <w:szCs w:val="21"/>
        </w:rPr>
      </w:pPr>
      <w:r>
        <w:rPr>
          <w:rFonts w:ascii="SimHei" w:hAnsi="SimHei" w:eastAsia="黑体"/>
          <w:szCs w:val="21"/>
        </w:rPr>
        <w:t>员工请事假累计</w:t>
      </w:r>
      <w:r>
        <w:rPr>
          <w:rFonts w:ascii="SimHei" w:hAnsi="SimHei" w:eastAsia="黑体"/>
          <w:szCs w:val="21"/>
        </w:rPr>
        <w:t>20</w:t>
      </w:r>
      <w:r>
        <w:rPr>
          <w:rFonts w:ascii="SimHei" w:hAnsi="SimHei" w:eastAsia="黑体"/>
          <w:szCs w:val="21"/>
        </w:rPr>
        <w:t>天以上且公司按照规定不扣工资的；</w:t>
      </w:r>
    </w:p>
    <w:p>
      <w:pPr>
        <w:pStyle w:val="Normal"/>
        <w:numPr>
          <w:ilvl w:val="0"/>
          <w:numId w:val="43"/>
        </w:numPr>
        <w:tabs>
          <w:tab w:val="clear" w:pos="420"/>
          <w:tab w:val="left" w:pos="840" w:leader="none"/>
          <w:tab w:val="left" w:pos="1080" w:leader="none"/>
        </w:tabs>
        <w:spacing w:lineRule="exact" w:line="360"/>
        <w:rPr>
          <w:szCs w:val="21"/>
        </w:rPr>
      </w:pPr>
      <w:r>
        <w:rPr>
          <w:rFonts w:ascii="SimHei" w:hAnsi="SimHei" w:eastAsia="黑体"/>
          <w:szCs w:val="21"/>
        </w:rPr>
        <w:t>累计工作满</w:t>
      </w:r>
      <w:r>
        <w:rPr>
          <w:rFonts w:ascii="SimHei" w:hAnsi="SimHei" w:eastAsia="黑体"/>
          <w:szCs w:val="21"/>
        </w:rPr>
        <w:t>1</w:t>
      </w:r>
      <w:r>
        <w:rPr>
          <w:rFonts w:ascii="SimHei" w:hAnsi="SimHei" w:eastAsia="黑体"/>
          <w:szCs w:val="21"/>
        </w:rPr>
        <w:t>年不满</w:t>
      </w:r>
      <w:r>
        <w:rPr>
          <w:rFonts w:ascii="SimHei" w:hAnsi="SimHei" w:eastAsia="黑体"/>
          <w:szCs w:val="21"/>
        </w:rPr>
        <w:t>10</w:t>
      </w:r>
      <w:r>
        <w:rPr>
          <w:rFonts w:ascii="SimHei" w:hAnsi="SimHei" w:eastAsia="黑体"/>
          <w:szCs w:val="21"/>
        </w:rPr>
        <w:t>年的员工，请病假累计</w:t>
      </w:r>
      <w:r>
        <w:rPr>
          <w:rFonts w:ascii="SimHei" w:hAnsi="SimHei" w:eastAsia="黑体"/>
          <w:szCs w:val="21"/>
        </w:rPr>
        <w:t>2</w:t>
      </w:r>
      <w:r>
        <w:rPr>
          <w:rFonts w:ascii="SimHei" w:hAnsi="SimHei" w:eastAsia="黑体"/>
          <w:szCs w:val="21"/>
        </w:rPr>
        <w:t>个月以上的；</w:t>
      </w:r>
    </w:p>
    <w:p>
      <w:pPr>
        <w:pStyle w:val="Normal"/>
        <w:numPr>
          <w:ilvl w:val="0"/>
          <w:numId w:val="43"/>
        </w:numPr>
        <w:tabs>
          <w:tab w:val="clear" w:pos="420"/>
          <w:tab w:val="left" w:pos="840" w:leader="none"/>
          <w:tab w:val="left" w:pos="1080" w:leader="none"/>
        </w:tabs>
        <w:spacing w:lineRule="exact" w:line="360"/>
        <w:rPr>
          <w:szCs w:val="21"/>
        </w:rPr>
      </w:pPr>
      <w:r>
        <w:rPr>
          <w:rFonts w:ascii="SimHei" w:hAnsi="SimHei" w:eastAsia="黑体"/>
          <w:szCs w:val="21"/>
        </w:rPr>
        <w:t>累计工作满</w:t>
      </w:r>
      <w:r>
        <w:rPr>
          <w:rFonts w:ascii="SimHei" w:hAnsi="SimHei" w:eastAsia="黑体"/>
          <w:szCs w:val="21"/>
        </w:rPr>
        <w:t>10</w:t>
      </w:r>
      <w:r>
        <w:rPr>
          <w:rFonts w:ascii="SimHei" w:hAnsi="SimHei" w:eastAsia="黑体"/>
          <w:szCs w:val="21"/>
        </w:rPr>
        <w:t>年不满</w:t>
      </w:r>
      <w:r>
        <w:rPr>
          <w:rFonts w:ascii="SimHei" w:hAnsi="SimHei" w:eastAsia="黑体"/>
          <w:szCs w:val="21"/>
        </w:rPr>
        <w:t>20</w:t>
      </w:r>
      <w:r>
        <w:rPr>
          <w:rFonts w:ascii="SimHei" w:hAnsi="SimHei" w:eastAsia="黑体"/>
          <w:szCs w:val="21"/>
        </w:rPr>
        <w:t>年的员工，请病假累计</w:t>
      </w:r>
      <w:r>
        <w:rPr>
          <w:rFonts w:ascii="SimHei" w:hAnsi="SimHei" w:eastAsia="黑体"/>
          <w:szCs w:val="21"/>
        </w:rPr>
        <w:t>3</w:t>
      </w:r>
      <w:r>
        <w:rPr>
          <w:rFonts w:ascii="SimHei" w:hAnsi="SimHei" w:eastAsia="黑体"/>
          <w:szCs w:val="21"/>
        </w:rPr>
        <w:t>个月以上的；</w:t>
      </w:r>
    </w:p>
    <w:p>
      <w:pPr>
        <w:pStyle w:val="Normal"/>
        <w:numPr>
          <w:ilvl w:val="0"/>
          <w:numId w:val="43"/>
        </w:numPr>
        <w:tabs>
          <w:tab w:val="clear" w:pos="420"/>
          <w:tab w:val="left" w:pos="840" w:leader="none"/>
          <w:tab w:val="left" w:pos="1080" w:leader="none"/>
        </w:tabs>
        <w:spacing w:lineRule="exact" w:line="360"/>
        <w:rPr>
          <w:szCs w:val="21"/>
        </w:rPr>
      </w:pPr>
      <w:r>
        <w:rPr>
          <w:rFonts w:ascii="SimHei" w:hAnsi="SimHei" w:eastAsia="黑体"/>
          <w:szCs w:val="21"/>
        </w:rPr>
        <w:t>累计工作满</w:t>
      </w:r>
      <w:r>
        <w:rPr>
          <w:rFonts w:ascii="SimHei" w:hAnsi="SimHei" w:eastAsia="黑体"/>
          <w:szCs w:val="21"/>
        </w:rPr>
        <w:t>20</w:t>
      </w:r>
      <w:r>
        <w:rPr>
          <w:rFonts w:ascii="SimHei" w:hAnsi="SimHei" w:eastAsia="黑体"/>
          <w:szCs w:val="21"/>
        </w:rPr>
        <w:t>年以上的员工，请病假累计</w:t>
      </w:r>
      <w:r>
        <w:rPr>
          <w:rFonts w:ascii="SimHei" w:hAnsi="SimHei" w:eastAsia="黑体"/>
          <w:szCs w:val="21"/>
        </w:rPr>
        <w:t>4</w:t>
      </w:r>
      <w:r>
        <w:rPr>
          <w:rFonts w:ascii="SimHei" w:hAnsi="SimHei" w:eastAsia="黑体"/>
          <w:szCs w:val="21"/>
        </w:rPr>
        <w:t>个月以上的。</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年休假优先冲销平日的事假、病假；事假的，按</w:t>
      </w:r>
      <w:r>
        <w:rPr>
          <w:rFonts w:cs="宋体" w:ascii="SimHei" w:hAnsi="SimHei" w:eastAsia="黑体"/>
          <w:szCs w:val="21"/>
        </w:rPr>
        <w:t>100</w:t>
      </w:r>
      <w:r>
        <w:rPr>
          <w:rFonts w:ascii="SimHei" w:hAnsi="SimHei" w:cs="宋体" w:eastAsia="黑体"/>
          <w:szCs w:val="21"/>
        </w:rPr>
        <w:t>％扣除年假时间；若因生病休年休假，且有医生开具的有效证明的，按</w:t>
      </w:r>
      <w:r>
        <w:rPr>
          <w:rFonts w:cs="宋体" w:ascii="SimHei" w:hAnsi="SimHei" w:eastAsia="黑体"/>
          <w:szCs w:val="21"/>
        </w:rPr>
        <w:t>50</w:t>
      </w:r>
      <w:r>
        <w:rPr>
          <w:rFonts w:ascii="SimHei" w:hAnsi="SimHei" w:cs="宋体" w:eastAsia="黑体"/>
          <w:szCs w:val="21"/>
        </w:rPr>
        <w:t>％扣除；</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经员工本人同意，公司不安排员工年休假或者安排员工年休假天数少于应休年休假天数的，公司将在本年内按照员工日工资收入的</w:t>
      </w:r>
      <w:r>
        <w:rPr>
          <w:rFonts w:cs="宋体" w:ascii="SimHei" w:hAnsi="SimHei" w:eastAsia="黑体"/>
          <w:szCs w:val="21"/>
        </w:rPr>
        <w:t>300</w:t>
      </w:r>
      <w:r>
        <w:rPr>
          <w:rFonts w:ascii="SimHei" w:hAnsi="SimHei" w:cs="宋体" w:eastAsia="黑体"/>
          <w:szCs w:val="21"/>
        </w:rPr>
        <w:t>％支付未休年休假工资报酬作为补偿；</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若本公司安排员工休年休假，但是员工因本人原因且书面提出不休年休假的，只支付其正常工作期间的工资收入；</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年休假需在本年度内休完，不跨年计算；</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由公司统一安排的年休假，不影响员工当月的全勤奖发放；而因个人原因的年休假，员工将不能享受当月的全勤奖；</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解除或者终止劳动合同时，当年度未安排</w:t>
      </w:r>
      <w:r>
        <w:rPr>
          <w:rFonts w:ascii="SimHei" w:hAnsi="SimHei" w:cs="宋体" w:eastAsia="黑体"/>
          <w:szCs w:val="21"/>
        </w:rPr>
        <w:t>员</w:t>
      </w:r>
      <w:r>
        <w:rPr>
          <w:rFonts w:ascii="SimHei" w:hAnsi="SimHei" w:cs="宋体" w:eastAsia="黑体"/>
          <w:szCs w:val="21"/>
        </w:rPr>
        <w:t>工休满应休年休假的，按照</w:t>
      </w:r>
      <w:r>
        <w:rPr>
          <w:rFonts w:ascii="SimHei" w:hAnsi="SimHei" w:cs="宋体" w:eastAsia="黑体"/>
          <w:szCs w:val="21"/>
        </w:rPr>
        <w:t>员工</w:t>
      </w:r>
      <w:r>
        <w:rPr>
          <w:rFonts w:ascii="SimHei" w:hAnsi="SimHei" w:cs="宋体" w:eastAsia="黑体"/>
          <w:szCs w:val="21"/>
        </w:rPr>
        <w:t>当年已工作时间折算应休未休年休假天数</w:t>
      </w:r>
      <w:r>
        <w:rPr>
          <w:rFonts w:ascii="SimHei" w:hAnsi="SimHei" w:cs="宋体" w:eastAsia="黑体"/>
          <w:szCs w:val="21"/>
        </w:rPr>
        <w:t>，</w:t>
      </w:r>
      <w:r>
        <w:rPr>
          <w:rFonts w:ascii="SimHei" w:hAnsi="SimHei" w:cs="宋体" w:eastAsia="黑体"/>
          <w:szCs w:val="21"/>
        </w:rPr>
        <w:t>支付未休年休假工资报酬，但折算后不足</w:t>
      </w:r>
      <w:r>
        <w:rPr>
          <w:rFonts w:cs="宋体" w:ascii="SimHei" w:hAnsi="SimHei" w:eastAsia="黑体"/>
          <w:szCs w:val="21"/>
        </w:rPr>
        <w:t>1</w:t>
      </w:r>
      <w:r>
        <w:rPr>
          <w:rFonts w:ascii="SimHei" w:hAnsi="SimHei" w:cs="宋体" w:eastAsia="黑体"/>
          <w:szCs w:val="21"/>
        </w:rPr>
        <w:t>整天的部分不支付未休年休假工资报酬</w:t>
      </w:r>
      <w:r>
        <w:rPr>
          <w:rFonts w:ascii="SimHei" w:hAnsi="SimHei" w:cs="宋体" w:eastAsia="黑体"/>
          <w:szCs w:val="21"/>
        </w:rPr>
        <w:t>；</w:t>
      </w:r>
      <w:r>
        <w:rPr>
          <w:rFonts w:ascii="SimHei" w:hAnsi="SimHei" w:cs="宋体" w:eastAsia="黑体"/>
          <w:szCs w:val="21"/>
        </w:rPr>
        <w:t>折算</w:t>
      </w:r>
      <w:r>
        <w:rPr>
          <w:rFonts w:ascii="SimHei" w:hAnsi="SimHei" w:cs="宋体" w:eastAsia="黑体"/>
          <w:szCs w:val="21"/>
        </w:rPr>
        <w:t>公式</w:t>
      </w:r>
      <w:r>
        <w:rPr>
          <w:rFonts w:ascii="SimHei" w:hAnsi="SimHei" w:cs="宋体" w:eastAsia="黑体"/>
          <w:szCs w:val="21"/>
        </w:rPr>
        <w:t>：（当年度在本单位已过日历天数</w:t>
      </w:r>
      <w:r>
        <w:rPr>
          <w:rFonts w:cs="宋体" w:ascii="SimHei" w:hAnsi="SimHei" w:eastAsia="黑体"/>
          <w:szCs w:val="21"/>
        </w:rPr>
        <w:t>÷365</w:t>
      </w:r>
      <w:r>
        <w:rPr>
          <w:rFonts w:ascii="SimHei" w:hAnsi="SimHei" w:cs="宋体" w:eastAsia="黑体"/>
          <w:szCs w:val="21"/>
        </w:rPr>
        <w:t>天）</w:t>
      </w:r>
      <w:r>
        <w:rPr>
          <w:rFonts w:cs="宋体" w:ascii="SimHei" w:hAnsi="SimHei" w:eastAsia="黑体"/>
          <w:szCs w:val="21"/>
        </w:rPr>
        <w:t>×</w:t>
      </w:r>
      <w:r>
        <w:rPr>
          <w:rFonts w:ascii="SimHei" w:hAnsi="SimHei" w:cs="宋体" w:eastAsia="黑体"/>
          <w:szCs w:val="21"/>
        </w:rPr>
        <w:t>员工</w:t>
      </w:r>
      <w:r>
        <w:rPr>
          <w:rFonts w:ascii="SimHei" w:hAnsi="SimHei" w:cs="宋体" w:eastAsia="黑体"/>
          <w:szCs w:val="21"/>
        </w:rPr>
        <w:t>本人全年应当享受的年休假天数</w:t>
      </w:r>
      <w:r>
        <w:rPr>
          <w:rFonts w:ascii="SimHei" w:hAnsi="SimHei" w:cs="宋体" w:eastAsia="黑体"/>
          <w:szCs w:val="21"/>
        </w:rPr>
        <w:t>－</w:t>
      </w:r>
      <w:r>
        <w:rPr>
          <w:rFonts w:ascii="SimHei" w:hAnsi="SimHei" w:cs="宋体" w:eastAsia="黑体"/>
          <w:szCs w:val="21"/>
        </w:rPr>
        <w:t>当年度已安排年休假天数</w:t>
      </w:r>
      <w:r>
        <w:rPr>
          <w:rFonts w:ascii="SimHei" w:hAnsi="SimHei" w:cs="宋体" w:eastAsia="黑体"/>
          <w:szCs w:val="21"/>
        </w:rPr>
        <w:t>；由本公司统一</w:t>
      </w:r>
      <w:r>
        <w:rPr>
          <w:rFonts w:ascii="SimHei" w:hAnsi="SimHei" w:cs="宋体" w:eastAsia="黑体"/>
          <w:szCs w:val="21"/>
        </w:rPr>
        <w:t>安排</w:t>
      </w:r>
      <w:r>
        <w:rPr>
          <w:rFonts w:ascii="SimHei" w:hAnsi="SimHei" w:cs="宋体" w:eastAsia="黑体"/>
          <w:szCs w:val="21"/>
        </w:rPr>
        <w:t>员工休的</w:t>
      </w:r>
      <w:r>
        <w:rPr>
          <w:rFonts w:ascii="SimHei" w:hAnsi="SimHei" w:cs="宋体" w:eastAsia="黑体"/>
          <w:szCs w:val="21"/>
        </w:rPr>
        <w:t>年休假多于折算应休年休假的天数</w:t>
      </w:r>
      <w:r>
        <w:rPr>
          <w:rFonts w:ascii="SimHei" w:hAnsi="SimHei" w:cs="宋体" w:eastAsia="黑体"/>
          <w:szCs w:val="21"/>
        </w:rPr>
        <w:t>的</w:t>
      </w:r>
      <w:r>
        <w:rPr>
          <w:rFonts w:ascii="SimHei" w:hAnsi="SimHei" w:cs="宋体" w:eastAsia="黑体"/>
          <w:szCs w:val="21"/>
        </w:rPr>
        <w:t>不扣回</w:t>
      </w:r>
      <w:r>
        <w:rPr>
          <w:rFonts w:ascii="SimHei" w:hAnsi="SimHei" w:cs="宋体" w:eastAsia="黑体"/>
          <w:szCs w:val="21"/>
        </w:rPr>
        <w:t>，否则，在员工离职当月按事假扣回；</w:t>
      </w:r>
    </w:p>
    <w:p>
      <w:pPr>
        <w:pStyle w:val="Normal"/>
        <w:numPr>
          <w:ilvl w:val="0"/>
          <w:numId w:val="34"/>
        </w:numPr>
        <w:spacing w:lineRule="exact" w:line="360"/>
        <w:ind w:start="900" w:hanging="480"/>
        <w:rPr>
          <w:rFonts w:ascii="宋体" w:hAnsi="宋体" w:cs="宋体"/>
          <w:szCs w:val="21"/>
        </w:rPr>
      </w:pPr>
      <w:r>
        <w:rPr>
          <w:rFonts w:ascii="SimHei" w:hAnsi="SimHei" w:cs="宋体" w:eastAsia="黑体"/>
          <w:szCs w:val="21"/>
        </w:rPr>
        <w:t>原则上，年休假不能与国家法定的长假连休。</w:t>
      </w:r>
    </w:p>
    <w:p>
      <w:pPr>
        <w:pStyle w:val="Normal"/>
        <w:numPr>
          <w:ilvl w:val="0"/>
          <w:numId w:val="24"/>
        </w:numPr>
        <w:spacing w:lineRule="exact" w:line="360"/>
        <w:outlineLvl w:val="1"/>
        <w:rPr>
          <w:b/>
          <w:b/>
          <w:bCs/>
          <w:szCs w:val="21"/>
        </w:rPr>
      </w:pPr>
      <w:bookmarkStart w:id="30" w:name="__RefHeading___Toc216679016"/>
      <w:bookmarkEnd w:id="30"/>
      <w:r>
        <w:rPr>
          <w:rFonts w:ascii="SimHei" w:hAnsi="SimHei" w:eastAsia="黑体"/>
          <w:b/>
          <w:bCs/>
          <w:szCs w:val="21"/>
        </w:rPr>
        <w:t>员工薪酬管理规定</w:t>
      </w:r>
    </w:p>
    <w:p>
      <w:pPr>
        <w:pStyle w:val="Normal"/>
        <w:numPr>
          <w:ilvl w:val="0"/>
          <w:numId w:val="22"/>
        </w:numPr>
        <w:tabs>
          <w:tab w:val="clear" w:pos="420"/>
          <w:tab w:val="left" w:pos="900" w:leader="none"/>
        </w:tabs>
        <w:spacing w:lineRule="exact" w:line="360"/>
        <w:ind w:start="900" w:hanging="540"/>
        <w:rPr>
          <w:rFonts w:ascii="宋体" w:hAnsi="宋体" w:cs="宋体"/>
          <w:szCs w:val="21"/>
        </w:rPr>
      </w:pPr>
      <w:r>
        <w:rPr>
          <w:rFonts w:ascii="SimHei" w:hAnsi="SimHei" w:cs="宋体" w:eastAsia="黑体"/>
          <w:szCs w:val="21"/>
        </w:rPr>
        <w:t>为体现按劳分配的原则，公司会根据不同人员、学历、职务、岗位技能、工龄等确定员工的工资和补贴项目；</w:t>
      </w:r>
    </w:p>
    <w:p>
      <w:pPr>
        <w:pStyle w:val="Normal"/>
        <w:numPr>
          <w:ilvl w:val="0"/>
          <w:numId w:val="22"/>
        </w:numPr>
        <w:tabs>
          <w:tab w:val="clear" w:pos="420"/>
          <w:tab w:val="left" w:pos="900" w:leader="none"/>
        </w:tabs>
        <w:spacing w:lineRule="exact" w:line="360"/>
        <w:ind w:start="900" w:hanging="540"/>
        <w:rPr>
          <w:rFonts w:ascii="宋体" w:hAnsi="宋体" w:cs="宋体"/>
          <w:szCs w:val="21"/>
        </w:rPr>
      </w:pPr>
      <w:r>
        <w:rPr>
          <w:rFonts w:ascii="SimHei" w:hAnsi="SimHei" w:cs="宋体" w:eastAsia="黑体"/>
          <w:szCs w:val="21"/>
        </w:rPr>
        <w:t>财务人员和人事负责人要做好工资保密工作；</w:t>
      </w:r>
    </w:p>
    <w:p>
      <w:pPr>
        <w:pStyle w:val="Normal"/>
        <w:numPr>
          <w:ilvl w:val="0"/>
          <w:numId w:val="22"/>
        </w:numPr>
        <w:tabs>
          <w:tab w:val="clear" w:pos="420"/>
          <w:tab w:val="left" w:pos="900" w:leader="none"/>
        </w:tabs>
        <w:spacing w:lineRule="exact" w:line="360"/>
        <w:ind w:start="900" w:hanging="540"/>
        <w:rPr>
          <w:rFonts w:ascii="宋体" w:hAnsi="宋体" w:cs="宋体"/>
          <w:szCs w:val="21"/>
        </w:rPr>
      </w:pPr>
      <w:r>
        <w:rPr>
          <w:rFonts w:ascii="SimHei" w:hAnsi="SimHei" w:cs="宋体" w:eastAsia="黑体"/>
          <w:szCs w:val="21"/>
        </w:rPr>
        <w:t>员工之间也应遵守</w:t>
      </w:r>
      <w:r>
        <w:rPr>
          <w:rFonts w:ascii="SimHei" w:hAnsi="SimHei" w:cs="宋体" w:eastAsia="黑体"/>
          <w:szCs w:val="21"/>
        </w:rPr>
        <w:t>工资</w:t>
      </w:r>
      <w:r>
        <w:rPr>
          <w:rFonts w:ascii="SimHei" w:hAnsi="SimHei" w:cs="宋体" w:eastAsia="黑体"/>
          <w:szCs w:val="21"/>
        </w:rPr>
        <w:t>保密规定，做到不告知、不打听、不传播工资、奖金所得</w:t>
      </w:r>
      <w:r>
        <w:rPr>
          <w:rFonts w:ascii="SimHei" w:hAnsi="SimHei" w:cs="宋体" w:eastAsia="黑体"/>
          <w:szCs w:val="21"/>
        </w:rPr>
        <w:t>；</w:t>
      </w:r>
    </w:p>
    <w:p>
      <w:pPr>
        <w:pStyle w:val="Normal"/>
        <w:numPr>
          <w:ilvl w:val="0"/>
          <w:numId w:val="22"/>
        </w:numPr>
        <w:tabs>
          <w:tab w:val="clear" w:pos="420"/>
          <w:tab w:val="left" w:pos="900" w:leader="none"/>
        </w:tabs>
        <w:spacing w:lineRule="exact" w:line="360"/>
        <w:ind w:start="900" w:hanging="540"/>
        <w:rPr>
          <w:rFonts w:ascii="宋体" w:hAnsi="宋体" w:cs="宋体"/>
          <w:szCs w:val="21"/>
        </w:rPr>
      </w:pPr>
      <w:r>
        <w:rPr>
          <w:rFonts w:ascii="SimHei" w:hAnsi="SimHei" w:cs="宋体" w:eastAsia="黑体"/>
          <w:szCs w:val="21"/>
        </w:rPr>
        <w:t>员工工资的确定按照《公司工资管理规定》执行；</w:t>
      </w:r>
    </w:p>
    <w:p>
      <w:pPr>
        <w:pStyle w:val="Normal"/>
        <w:numPr>
          <w:ilvl w:val="0"/>
          <w:numId w:val="22"/>
        </w:numPr>
        <w:tabs>
          <w:tab w:val="clear" w:pos="420"/>
          <w:tab w:val="left" w:pos="900" w:leader="none"/>
        </w:tabs>
        <w:spacing w:lineRule="exact" w:line="360"/>
        <w:ind w:start="900" w:hanging="540"/>
        <w:rPr>
          <w:rFonts w:ascii="宋体" w:hAnsi="宋体" w:cs="宋体"/>
          <w:szCs w:val="21"/>
        </w:rPr>
      </w:pPr>
      <w:r>
        <w:rPr>
          <w:rFonts w:ascii="SimHei" w:hAnsi="SimHei" w:cs="宋体" w:eastAsia="黑体"/>
          <w:szCs w:val="21"/>
        </w:rPr>
        <w:t>每年将根据公司的经营状况，以及国家的有关规定，调整一次工资；</w:t>
      </w:r>
    </w:p>
    <w:p>
      <w:pPr>
        <w:pStyle w:val="Normal"/>
        <w:numPr>
          <w:ilvl w:val="0"/>
          <w:numId w:val="22"/>
        </w:numPr>
        <w:tabs>
          <w:tab w:val="clear" w:pos="420"/>
          <w:tab w:val="left" w:pos="900" w:leader="none"/>
        </w:tabs>
        <w:spacing w:lineRule="exact" w:line="360"/>
        <w:ind w:start="900" w:hanging="540"/>
        <w:rPr>
          <w:rFonts w:ascii="宋体" w:hAnsi="宋体" w:cs="宋体"/>
          <w:szCs w:val="21"/>
        </w:rPr>
      </w:pPr>
      <w:r>
        <w:rPr>
          <w:rFonts w:ascii="SimHei" w:hAnsi="SimHei" w:cs="宋体" w:eastAsia="黑体"/>
          <w:szCs w:val="21"/>
        </w:rPr>
        <w:t>试用期员工在</w:t>
      </w:r>
      <w:r>
        <w:rPr>
          <w:rFonts w:cs="宋体" w:ascii="SimHei" w:hAnsi="SimHei" w:eastAsia="黑体"/>
          <w:color w:val="000000"/>
          <w:szCs w:val="21"/>
        </w:rPr>
        <w:t>5</w:t>
      </w:r>
      <w:r>
        <w:rPr>
          <w:rFonts w:ascii="SimHei" w:hAnsi="SimHei" w:cs="宋体" w:eastAsia="黑体"/>
          <w:color w:val="000000"/>
          <w:szCs w:val="21"/>
        </w:rPr>
        <w:t>个工作日</w:t>
      </w:r>
      <w:r>
        <w:rPr>
          <w:rFonts w:ascii="SimHei" w:hAnsi="SimHei" w:cs="宋体" w:eastAsia="黑体"/>
          <w:szCs w:val="21"/>
        </w:rPr>
        <w:t>内自动离职者，公司将不支付工资；</w:t>
      </w:r>
    </w:p>
    <w:p>
      <w:pPr>
        <w:pStyle w:val="Normal"/>
        <w:numPr>
          <w:ilvl w:val="0"/>
          <w:numId w:val="22"/>
        </w:numPr>
        <w:tabs>
          <w:tab w:val="clear" w:pos="420"/>
          <w:tab w:val="left" w:pos="900" w:leader="none"/>
        </w:tabs>
        <w:spacing w:lineRule="exact" w:line="360"/>
        <w:ind w:start="900" w:hanging="540"/>
        <w:rPr>
          <w:rFonts w:ascii="宋体" w:hAnsi="宋体" w:cs="宋体"/>
          <w:szCs w:val="21"/>
        </w:rPr>
      </w:pPr>
      <w:r>
        <w:rPr>
          <w:rFonts w:ascii="SimHei" w:hAnsi="SimHei" w:cs="宋体" w:eastAsia="黑体"/>
          <w:szCs w:val="21"/>
        </w:rPr>
        <w:t>每月</w:t>
      </w:r>
      <w:r>
        <w:rPr>
          <w:rFonts w:cs="宋体" w:ascii="SimHei" w:hAnsi="SimHei" w:eastAsia="黑体"/>
          <w:szCs w:val="21"/>
        </w:rPr>
        <w:t>10</w:t>
      </w:r>
      <w:r>
        <w:rPr>
          <w:rFonts w:ascii="SimHei" w:hAnsi="SimHei" w:cs="宋体" w:eastAsia="黑体"/>
          <w:szCs w:val="21"/>
        </w:rPr>
        <w:t>号发放上月工资，如遇节假日提前到前一个工作日发放。</w:t>
      </w:r>
    </w:p>
    <w:p>
      <w:pPr>
        <w:pStyle w:val="Normal"/>
        <w:numPr>
          <w:ilvl w:val="0"/>
          <w:numId w:val="24"/>
        </w:numPr>
        <w:spacing w:lineRule="exact" w:line="360"/>
        <w:outlineLvl w:val="1"/>
        <w:rPr>
          <w:b/>
          <w:b/>
          <w:bCs/>
          <w:szCs w:val="21"/>
        </w:rPr>
      </w:pPr>
      <w:bookmarkStart w:id="31" w:name="__RefHeading___Toc216679017"/>
      <w:bookmarkEnd w:id="31"/>
      <w:r>
        <w:rPr>
          <w:rFonts w:ascii="SimHei" w:hAnsi="SimHei" w:eastAsia="黑体"/>
          <w:b/>
          <w:bCs/>
          <w:szCs w:val="21"/>
        </w:rPr>
        <w:t>福利待遇</w:t>
      </w:r>
    </w:p>
    <w:p>
      <w:pPr>
        <w:pStyle w:val="Normal"/>
        <w:numPr>
          <w:ilvl w:val="0"/>
          <w:numId w:val="8"/>
        </w:numPr>
        <w:tabs>
          <w:tab w:val="clear" w:pos="420"/>
          <w:tab w:val="left" w:pos="900" w:leader="none"/>
        </w:tabs>
        <w:spacing w:lineRule="exact" w:line="360"/>
        <w:ind w:start="900" w:hanging="480"/>
        <w:rPr>
          <w:rFonts w:ascii="仿宋_GB2312" w:hAnsi="仿宋_GB2312"/>
          <w:szCs w:val="21"/>
        </w:rPr>
      </w:pPr>
      <w:r>
        <w:rPr>
          <w:rFonts w:ascii="SimHei" w:hAnsi="SimHei" w:eastAsia="黑体"/>
          <w:szCs w:val="21"/>
        </w:rPr>
        <w:t>享受国家规定的法定假期；</w:t>
      </w:r>
    </w:p>
    <w:p>
      <w:pPr>
        <w:pStyle w:val="Normal"/>
        <w:numPr>
          <w:ilvl w:val="0"/>
          <w:numId w:val="8"/>
        </w:numPr>
        <w:tabs>
          <w:tab w:val="clear" w:pos="420"/>
          <w:tab w:val="left" w:pos="900" w:leader="none"/>
        </w:tabs>
        <w:spacing w:lineRule="exact" w:line="360"/>
        <w:ind w:start="900" w:hanging="480"/>
        <w:rPr>
          <w:rFonts w:ascii="仿宋_GB2312" w:hAnsi="仿宋_GB2312"/>
          <w:szCs w:val="21"/>
        </w:rPr>
      </w:pPr>
      <w:r>
        <w:rPr>
          <w:rFonts w:ascii="SimHei" w:hAnsi="SimHei" w:eastAsia="黑体"/>
          <w:szCs w:val="21"/>
        </w:rPr>
        <w:t>无偿使用公司配备的体育、文化等公共福利设施；</w:t>
      </w:r>
    </w:p>
    <w:p>
      <w:pPr>
        <w:pStyle w:val="Normal"/>
        <w:numPr>
          <w:ilvl w:val="0"/>
          <w:numId w:val="8"/>
        </w:numPr>
        <w:tabs>
          <w:tab w:val="clear" w:pos="420"/>
          <w:tab w:val="left" w:pos="900" w:leader="none"/>
        </w:tabs>
        <w:spacing w:lineRule="exact" w:line="360"/>
        <w:ind w:start="900" w:hanging="480"/>
        <w:rPr>
          <w:rFonts w:ascii="仿宋_GB2312" w:hAnsi="仿宋_GB2312"/>
          <w:szCs w:val="21"/>
        </w:rPr>
      </w:pPr>
      <w:r>
        <w:rPr>
          <w:rFonts w:ascii="SimHei" w:hAnsi="SimHei" w:eastAsia="黑体"/>
          <w:szCs w:val="21"/>
        </w:rPr>
        <w:t>享受“元旦”、“五</w:t>
      </w:r>
      <w:r>
        <w:rPr>
          <w:rFonts w:ascii="SimHei" w:hAnsi="SimHei" w:eastAsia="黑体"/>
          <w:szCs w:val="21"/>
        </w:rPr>
        <w:t>·</w:t>
      </w:r>
      <w:r>
        <w:rPr>
          <w:rFonts w:ascii="SimHei" w:hAnsi="SimHei" w:eastAsia="黑体"/>
          <w:szCs w:val="21"/>
        </w:rPr>
        <w:t>一”、“十</w:t>
      </w:r>
      <w:r>
        <w:rPr>
          <w:rFonts w:ascii="SimHei" w:hAnsi="SimHei" w:eastAsia="黑体"/>
          <w:szCs w:val="21"/>
        </w:rPr>
        <w:t>·</w:t>
      </w:r>
      <w:r>
        <w:rPr>
          <w:rFonts w:ascii="SimHei" w:hAnsi="SimHei" w:eastAsia="黑体"/>
          <w:szCs w:val="21"/>
        </w:rPr>
        <w:t>一”三个节庆日发放过节费；</w:t>
      </w:r>
    </w:p>
    <w:p>
      <w:pPr>
        <w:pStyle w:val="Normal"/>
        <w:numPr>
          <w:ilvl w:val="0"/>
          <w:numId w:val="8"/>
        </w:numPr>
        <w:tabs>
          <w:tab w:val="clear" w:pos="420"/>
          <w:tab w:val="left" w:pos="900" w:leader="none"/>
        </w:tabs>
        <w:spacing w:lineRule="exact" w:line="360"/>
        <w:ind w:start="900" w:hanging="480"/>
        <w:rPr>
          <w:rFonts w:ascii="仿宋_GB2312" w:hAnsi="仿宋_GB2312"/>
          <w:szCs w:val="21"/>
        </w:rPr>
      </w:pPr>
      <w:r>
        <w:rPr>
          <w:rFonts w:ascii="SimHei" w:hAnsi="SimHei" w:eastAsia="黑体"/>
          <w:szCs w:val="21"/>
        </w:rPr>
        <w:t>享受公司提供的集体宿舍（水电费自负）；未享受公司提供的集体宿舍的员工，</w:t>
      </w:r>
      <w:r>
        <w:rPr>
          <w:rFonts w:ascii="SimHei" w:hAnsi="SimHei" w:eastAsia="黑体"/>
          <w:color w:val="000000"/>
          <w:szCs w:val="21"/>
        </w:rPr>
        <w:t>可享有上下班交通补贴</w:t>
      </w:r>
      <w:r>
        <w:rPr>
          <w:rFonts w:ascii="SimHei" w:hAnsi="SimHei" w:eastAsia="黑体"/>
          <w:szCs w:val="21"/>
        </w:rPr>
        <w:t>；以上两种方式，员工须在入职前确定，中途更改的，视作自动放弃该项福利；特殊情况，须由公司总经理批准；</w:t>
      </w:r>
    </w:p>
    <w:p>
      <w:pPr>
        <w:pStyle w:val="Normal"/>
        <w:numPr>
          <w:ilvl w:val="0"/>
          <w:numId w:val="8"/>
        </w:numPr>
        <w:tabs>
          <w:tab w:val="clear" w:pos="420"/>
          <w:tab w:val="left" w:pos="900" w:leader="none"/>
        </w:tabs>
        <w:spacing w:lineRule="exact" w:line="360"/>
        <w:ind w:start="900" w:hanging="480"/>
        <w:rPr>
          <w:rFonts w:ascii="仿宋_GB2312" w:hAnsi="仿宋_GB2312"/>
          <w:szCs w:val="21"/>
        </w:rPr>
      </w:pPr>
      <w:r>
        <w:rPr>
          <w:rFonts w:ascii="SimHei" w:hAnsi="SimHei" w:eastAsia="黑体"/>
          <w:szCs w:val="21"/>
        </w:rPr>
        <w:t>合同期内，公司依法为员工购买养老、医疗、失业、工伤、生育等社会保险，社会保险费按规定的比例，由双方负责；</w:t>
      </w:r>
    </w:p>
    <w:p>
      <w:pPr>
        <w:pStyle w:val="Normal"/>
        <w:numPr>
          <w:ilvl w:val="0"/>
          <w:numId w:val="8"/>
        </w:numPr>
        <w:tabs>
          <w:tab w:val="clear" w:pos="420"/>
          <w:tab w:val="left" w:pos="900" w:leader="none"/>
        </w:tabs>
        <w:spacing w:lineRule="exact" w:line="360"/>
        <w:ind w:start="900" w:hanging="480"/>
        <w:rPr>
          <w:rFonts w:ascii="仿宋_GB2312" w:hAnsi="仿宋_GB2312"/>
          <w:szCs w:val="21"/>
        </w:rPr>
      </w:pPr>
      <w:r>
        <w:rPr>
          <w:rFonts w:ascii="SimHei" w:hAnsi="SimHei" w:eastAsia="黑体"/>
          <w:szCs w:val="21"/>
        </w:rPr>
        <w:t>在职员工（包括实习生和试用期员工）享有午餐补贴。</w:t>
      </w:r>
    </w:p>
    <w:p>
      <w:pPr>
        <w:pStyle w:val="Normal"/>
        <w:spacing w:lineRule="exact" w:line="360"/>
        <w:ind w:start="420" w:hanging="0"/>
        <w:rPr>
          <w:rFonts w:ascii="仿宋_GB2312" w:hAnsi="仿宋_GB2312"/>
          <w:szCs w:val="21"/>
        </w:rPr>
      </w:pPr>
      <w:r>
        <w:rPr>
          <w:rFonts w:ascii="SimHei" w:hAnsi="SimHei" w:eastAsia="黑体"/>
          <w:szCs w:val="21"/>
        </w:rPr>
      </w:r>
    </w:p>
    <w:p>
      <w:pPr>
        <w:pStyle w:val="Normal"/>
        <w:numPr>
          <w:ilvl w:val="0"/>
          <w:numId w:val="12"/>
        </w:numPr>
        <w:jc w:val="center"/>
        <w:outlineLvl w:val="0"/>
        <w:rPr>
          <w:rFonts w:eastAsia="黑体"/>
          <w:color w:val="000000"/>
          <w:sz w:val="30"/>
        </w:rPr>
      </w:pPr>
      <w:bookmarkStart w:id="32" w:name="__RefHeading___Toc216679018"/>
      <w:bookmarkEnd w:id="32"/>
      <w:r>
        <w:rPr>
          <w:rFonts w:eastAsia="黑体" w:ascii="SimHei" w:hAnsi="SimHei"/>
          <w:color w:val="000000"/>
          <w:sz w:val="30"/>
        </w:rPr>
        <w:t>人事管理制度</w:t>
      </w:r>
      <w:bookmarkStart w:id="33" w:name="__RefHeading___Toc216679019"/>
    </w:p>
    <w:p>
      <w:pPr>
        <w:pStyle w:val="Normal"/>
        <w:numPr>
          <w:ilvl w:val="0"/>
          <w:numId w:val="24"/>
        </w:numPr>
        <w:tabs>
          <w:tab w:val="clear" w:pos="420"/>
          <w:tab w:val="left" w:pos="1260" w:leader="none"/>
        </w:tabs>
        <w:spacing w:lineRule="exact" w:line="360"/>
        <w:outlineLvl w:val="1"/>
        <w:rPr>
          <w:b/>
          <w:b/>
          <w:bCs/>
          <w:szCs w:val="21"/>
        </w:rPr>
      </w:pPr>
      <w:r>
        <w:rPr>
          <w:rFonts w:ascii="SimHei" w:hAnsi="SimHei" w:eastAsia="黑体"/>
          <w:b/>
          <w:bCs/>
          <w:szCs w:val="21"/>
        </w:rPr>
        <w:t>录用规定</w:t>
      </w:r>
      <w:bookmarkEnd w:id="33"/>
    </w:p>
    <w:p>
      <w:pPr>
        <w:pStyle w:val="Normal"/>
        <w:numPr>
          <w:ilvl w:val="0"/>
          <w:numId w:val="41"/>
        </w:numPr>
        <w:tabs>
          <w:tab w:val="clear" w:pos="420"/>
          <w:tab w:val="left" w:pos="900" w:leader="none"/>
        </w:tabs>
        <w:spacing w:lineRule="exact" w:line="360"/>
        <w:ind w:start="900" w:hanging="540"/>
        <w:rPr>
          <w:szCs w:val="21"/>
        </w:rPr>
      </w:pPr>
      <w:r>
        <w:rPr>
          <w:rFonts w:ascii="SimHei" w:hAnsi="SimHei" w:eastAsia="黑体"/>
          <w:szCs w:val="21"/>
        </w:rPr>
        <w:t>各部门如因工作需要，必须增加人员时，应先依据人员甄选流程提出申请，经总经理批准后，由人事负责人统一纳入招聘计划，并办理甄选事宜；</w:t>
      </w:r>
    </w:p>
    <w:p>
      <w:pPr>
        <w:pStyle w:val="Normal"/>
        <w:numPr>
          <w:ilvl w:val="0"/>
          <w:numId w:val="41"/>
        </w:numPr>
        <w:tabs>
          <w:tab w:val="clear" w:pos="420"/>
          <w:tab w:val="left" w:pos="900" w:leader="none"/>
        </w:tabs>
        <w:spacing w:lineRule="exact" w:line="360"/>
        <w:ind w:start="900" w:hanging="540"/>
        <w:rPr>
          <w:szCs w:val="21"/>
        </w:rPr>
      </w:pPr>
      <w:r>
        <w:rPr>
          <w:rFonts w:ascii="SimHei" w:hAnsi="SimHei" w:eastAsia="黑体"/>
          <w:szCs w:val="21"/>
        </w:rPr>
        <w:t>本公司员工的甄选，以学识、能力、品德、体格及适合工作所需要条件为准；</w:t>
      </w:r>
    </w:p>
    <w:p>
      <w:pPr>
        <w:pStyle w:val="Normal"/>
        <w:numPr>
          <w:ilvl w:val="0"/>
          <w:numId w:val="41"/>
        </w:numPr>
        <w:tabs>
          <w:tab w:val="clear" w:pos="420"/>
          <w:tab w:val="left" w:pos="900" w:leader="none"/>
        </w:tabs>
        <w:spacing w:lineRule="exact" w:line="360"/>
        <w:ind w:start="900" w:hanging="540"/>
        <w:rPr>
          <w:szCs w:val="21"/>
        </w:rPr>
      </w:pPr>
      <w:r>
        <w:rPr>
          <w:rFonts w:ascii="SimHei" w:hAnsi="SimHei" w:eastAsia="黑体"/>
          <w:szCs w:val="21"/>
        </w:rPr>
        <w:t>新进人员经面试合格和审查批准后，由人事负责人办理试用手续；</w:t>
      </w:r>
    </w:p>
    <w:p>
      <w:pPr>
        <w:pStyle w:val="Normal"/>
        <w:numPr>
          <w:ilvl w:val="0"/>
          <w:numId w:val="41"/>
        </w:numPr>
        <w:tabs>
          <w:tab w:val="clear" w:pos="420"/>
          <w:tab w:val="left" w:pos="900" w:leader="none"/>
        </w:tabs>
        <w:spacing w:lineRule="exact" w:line="360"/>
        <w:ind w:start="900" w:hanging="540"/>
        <w:rPr>
          <w:szCs w:val="21"/>
        </w:rPr>
      </w:pPr>
      <w:r>
        <w:rPr>
          <w:rFonts w:ascii="SimHei" w:hAnsi="SimHei" w:eastAsia="黑体"/>
          <w:szCs w:val="21"/>
        </w:rPr>
        <w:t>试用人员报到时必须按《新员工入职流程规定》提交材料，及办理手续。员工录用分派工作后，应立即赴所分配的部门工作，不得无故拖延推诿。</w:t>
      </w:r>
    </w:p>
    <w:p>
      <w:pPr>
        <w:pStyle w:val="Normal"/>
        <w:numPr>
          <w:ilvl w:val="0"/>
          <w:numId w:val="24"/>
        </w:numPr>
        <w:tabs>
          <w:tab w:val="clear" w:pos="420"/>
          <w:tab w:val="left" w:pos="1260" w:leader="none"/>
        </w:tabs>
        <w:spacing w:lineRule="exact" w:line="360"/>
        <w:outlineLvl w:val="1"/>
        <w:rPr>
          <w:b/>
          <w:b/>
          <w:bCs/>
          <w:szCs w:val="21"/>
        </w:rPr>
      </w:pPr>
      <w:bookmarkStart w:id="34" w:name="__RefHeading___Toc216679020"/>
      <w:bookmarkEnd w:id="34"/>
      <w:r>
        <w:rPr>
          <w:rFonts w:ascii="SimHei" w:hAnsi="SimHei" w:eastAsia="黑体"/>
          <w:b/>
          <w:bCs/>
          <w:szCs w:val="21"/>
        </w:rPr>
        <w:t>凡有下列情形者，不得录用：</w:t>
      </w:r>
    </w:p>
    <w:p>
      <w:pPr>
        <w:pStyle w:val="Normal"/>
        <w:numPr>
          <w:ilvl w:val="0"/>
          <w:numId w:val="44"/>
        </w:numPr>
        <w:tabs>
          <w:tab w:val="clear" w:pos="420"/>
          <w:tab w:val="left" w:pos="900" w:leader="none"/>
        </w:tabs>
        <w:spacing w:lineRule="exact" w:line="360"/>
        <w:ind w:start="900" w:hanging="540"/>
        <w:rPr>
          <w:szCs w:val="21"/>
        </w:rPr>
      </w:pPr>
      <w:r>
        <w:rPr>
          <w:rFonts w:ascii="SimHei" w:hAnsi="SimHei" w:eastAsia="黑体"/>
          <w:szCs w:val="21"/>
        </w:rPr>
        <w:t>剥夺政治权利尚未恢复者；</w:t>
      </w:r>
    </w:p>
    <w:p>
      <w:pPr>
        <w:pStyle w:val="Normal"/>
        <w:numPr>
          <w:ilvl w:val="0"/>
          <w:numId w:val="44"/>
        </w:numPr>
        <w:tabs>
          <w:tab w:val="clear" w:pos="420"/>
          <w:tab w:val="left" w:pos="900" w:leader="none"/>
        </w:tabs>
        <w:spacing w:lineRule="exact" w:line="360"/>
        <w:ind w:start="900" w:hanging="540"/>
        <w:rPr>
          <w:szCs w:val="21"/>
        </w:rPr>
      </w:pPr>
      <w:r>
        <w:rPr>
          <w:rFonts w:ascii="SimHei" w:hAnsi="SimHei" w:eastAsia="黑体"/>
          <w:szCs w:val="21"/>
        </w:rPr>
        <w:t>被判有期徒刑或被通缉，尚未结案者；</w:t>
      </w:r>
    </w:p>
    <w:p>
      <w:pPr>
        <w:pStyle w:val="Normal"/>
        <w:numPr>
          <w:ilvl w:val="0"/>
          <w:numId w:val="44"/>
        </w:numPr>
        <w:tabs>
          <w:tab w:val="clear" w:pos="420"/>
          <w:tab w:val="left" w:pos="900" w:leader="none"/>
        </w:tabs>
        <w:spacing w:lineRule="exact" w:line="360"/>
        <w:ind w:start="900" w:hanging="540"/>
        <w:rPr>
          <w:szCs w:val="21"/>
        </w:rPr>
      </w:pPr>
      <w:r>
        <w:rPr>
          <w:rFonts w:ascii="SimHei" w:hAnsi="SimHei" w:eastAsia="黑体"/>
          <w:szCs w:val="21"/>
        </w:rPr>
        <w:t>吸食毒品或有其它严重不良嗜好者；</w:t>
      </w:r>
    </w:p>
    <w:p>
      <w:pPr>
        <w:pStyle w:val="Normal"/>
        <w:numPr>
          <w:ilvl w:val="0"/>
          <w:numId w:val="44"/>
        </w:numPr>
        <w:tabs>
          <w:tab w:val="clear" w:pos="420"/>
          <w:tab w:val="left" w:pos="900" w:leader="none"/>
        </w:tabs>
        <w:spacing w:lineRule="exact" w:line="360"/>
        <w:ind w:start="900" w:hanging="540"/>
        <w:rPr>
          <w:szCs w:val="21"/>
        </w:rPr>
      </w:pPr>
      <w:r>
        <w:rPr>
          <w:rFonts w:ascii="SimHei" w:hAnsi="SimHei" w:eastAsia="黑体"/>
          <w:szCs w:val="21"/>
        </w:rPr>
        <w:t>贪污、拖欠公款，有记录在案者；</w:t>
      </w:r>
    </w:p>
    <w:p>
      <w:pPr>
        <w:pStyle w:val="Normal"/>
        <w:numPr>
          <w:ilvl w:val="0"/>
          <w:numId w:val="44"/>
        </w:numPr>
        <w:tabs>
          <w:tab w:val="clear" w:pos="420"/>
          <w:tab w:val="left" w:pos="900" w:leader="none"/>
        </w:tabs>
        <w:spacing w:lineRule="exact" w:line="360"/>
        <w:ind w:start="900" w:hanging="540"/>
        <w:rPr>
          <w:szCs w:val="21"/>
        </w:rPr>
      </w:pPr>
      <w:r>
        <w:rPr>
          <w:rFonts w:ascii="SimHei" w:hAnsi="SimHei" w:eastAsia="黑体"/>
          <w:szCs w:val="21"/>
        </w:rPr>
        <w:t>患有精神病或传染病者；</w:t>
      </w:r>
    </w:p>
    <w:p>
      <w:pPr>
        <w:pStyle w:val="Normal"/>
        <w:numPr>
          <w:ilvl w:val="0"/>
          <w:numId w:val="44"/>
        </w:numPr>
        <w:tabs>
          <w:tab w:val="clear" w:pos="420"/>
          <w:tab w:val="left" w:pos="900" w:leader="none"/>
        </w:tabs>
        <w:spacing w:lineRule="exact" w:line="360"/>
        <w:ind w:start="900" w:hanging="540"/>
        <w:rPr>
          <w:szCs w:val="21"/>
        </w:rPr>
      </w:pPr>
      <w:r>
        <w:rPr>
          <w:rFonts w:ascii="SimHei" w:hAnsi="SimHei" w:eastAsia="黑体"/>
          <w:szCs w:val="21"/>
        </w:rPr>
        <w:t>因品行恶劣，曾被政府行政机关惩罚者；</w:t>
      </w:r>
    </w:p>
    <w:p>
      <w:pPr>
        <w:pStyle w:val="Normal"/>
        <w:numPr>
          <w:ilvl w:val="0"/>
          <w:numId w:val="44"/>
        </w:numPr>
        <w:tabs>
          <w:tab w:val="clear" w:pos="420"/>
          <w:tab w:val="left" w:pos="900" w:leader="none"/>
        </w:tabs>
        <w:spacing w:lineRule="exact" w:line="360"/>
        <w:ind w:start="900" w:hanging="540"/>
        <w:rPr>
          <w:szCs w:val="21"/>
        </w:rPr>
      </w:pPr>
      <w:r>
        <w:rPr>
          <w:rFonts w:ascii="SimHei" w:hAnsi="SimHei" w:eastAsia="黑体"/>
          <w:szCs w:val="21"/>
        </w:rPr>
        <w:t>体格检查不合格者，经总经理特许者不在此列；</w:t>
      </w:r>
    </w:p>
    <w:p>
      <w:pPr>
        <w:pStyle w:val="Normal"/>
        <w:numPr>
          <w:ilvl w:val="0"/>
          <w:numId w:val="44"/>
        </w:numPr>
        <w:tabs>
          <w:tab w:val="clear" w:pos="420"/>
          <w:tab w:val="left" w:pos="900" w:leader="none"/>
        </w:tabs>
        <w:spacing w:lineRule="exact" w:line="360"/>
        <w:ind w:start="900" w:hanging="540"/>
        <w:rPr>
          <w:szCs w:val="21"/>
        </w:rPr>
      </w:pPr>
      <w:r>
        <w:rPr>
          <w:rFonts w:ascii="SimHei" w:hAnsi="SimHei" w:eastAsia="黑体"/>
          <w:szCs w:val="21"/>
        </w:rPr>
        <w:t>其它经本公司认定不适合者。</w:t>
      </w:r>
    </w:p>
    <w:p>
      <w:pPr>
        <w:pStyle w:val="Normal"/>
        <w:numPr>
          <w:ilvl w:val="0"/>
          <w:numId w:val="24"/>
        </w:numPr>
        <w:spacing w:lineRule="exact" w:line="360"/>
        <w:outlineLvl w:val="1"/>
        <w:rPr>
          <w:b/>
          <w:b/>
          <w:bCs/>
          <w:szCs w:val="21"/>
        </w:rPr>
      </w:pPr>
      <w:bookmarkStart w:id="35" w:name="__RefHeading___Toc216679021"/>
      <w:bookmarkEnd w:id="35"/>
      <w:r>
        <w:rPr>
          <w:rFonts w:ascii="SimHei" w:hAnsi="SimHei" w:eastAsia="黑体"/>
          <w:b/>
          <w:bCs/>
          <w:szCs w:val="21"/>
        </w:rPr>
        <w:t>试用期</w:t>
      </w:r>
    </w:p>
    <w:p>
      <w:pPr>
        <w:pStyle w:val="Normal"/>
        <w:numPr>
          <w:ilvl w:val="0"/>
          <w:numId w:val="7"/>
        </w:numPr>
        <w:tabs>
          <w:tab w:val="clear" w:pos="420"/>
          <w:tab w:val="left" w:pos="900" w:leader="none"/>
        </w:tabs>
        <w:spacing w:lineRule="exact" w:line="360"/>
        <w:ind w:start="900" w:hanging="540"/>
        <w:rPr>
          <w:rFonts w:ascii="仿宋_GB2312" w:hAnsi="仿宋_GB2312"/>
          <w:szCs w:val="21"/>
        </w:rPr>
      </w:pPr>
      <w:r>
        <w:rPr>
          <w:rFonts w:ascii="SimHei" w:hAnsi="SimHei" w:eastAsia="黑体"/>
          <w:szCs w:val="21"/>
        </w:rPr>
        <w:t>劳动合同期限</w:t>
      </w:r>
      <w:r>
        <w:rPr>
          <w:rFonts w:ascii="SimHei" w:hAnsi="SimHei" w:eastAsia="黑体"/>
          <w:szCs w:val="21"/>
        </w:rPr>
        <w:t>在</w:t>
      </w:r>
      <w:r>
        <w:rPr>
          <w:rFonts w:ascii="SimHei" w:hAnsi="SimHei" w:eastAsia="黑体"/>
          <w:szCs w:val="21"/>
        </w:rPr>
        <w:t>三个月以上不满一年的，试用期不超过一个月；劳动合同期限一年以上不满三年的，试用期不超过二个月；三年以上固定期限和无固定期限的劳动合同，试用期不超过六个月</w:t>
      </w:r>
      <w:r>
        <w:rPr>
          <w:rFonts w:ascii="SimHei" w:hAnsi="SimHei" w:eastAsia="黑体"/>
          <w:szCs w:val="21"/>
        </w:rPr>
        <w:t>；</w:t>
      </w:r>
    </w:p>
    <w:p>
      <w:pPr>
        <w:pStyle w:val="Normal"/>
        <w:numPr>
          <w:ilvl w:val="0"/>
          <w:numId w:val="7"/>
        </w:numPr>
        <w:tabs>
          <w:tab w:val="clear" w:pos="420"/>
          <w:tab w:val="left" w:pos="900" w:leader="none"/>
        </w:tabs>
        <w:spacing w:lineRule="exact" w:line="360"/>
        <w:ind w:start="900" w:hanging="540"/>
        <w:rPr>
          <w:rFonts w:ascii="仿宋_GB2312" w:hAnsi="仿宋_GB2312"/>
          <w:szCs w:val="21"/>
        </w:rPr>
      </w:pPr>
      <w:r>
        <w:rPr>
          <w:rFonts w:ascii="SimHei" w:hAnsi="SimHei" w:eastAsia="黑体"/>
          <w:szCs w:val="21"/>
        </w:rPr>
        <w:t>曾在公司实习的学生，正式加入公司时不再约定试用期；</w:t>
      </w:r>
    </w:p>
    <w:p>
      <w:pPr>
        <w:pStyle w:val="Normal"/>
        <w:numPr>
          <w:ilvl w:val="0"/>
          <w:numId w:val="7"/>
        </w:numPr>
        <w:tabs>
          <w:tab w:val="clear" w:pos="420"/>
          <w:tab w:val="left" w:pos="900" w:leader="none"/>
        </w:tabs>
        <w:spacing w:lineRule="exact" w:line="360"/>
        <w:ind w:start="900" w:hanging="540"/>
        <w:rPr>
          <w:rFonts w:ascii="仿宋_GB2312" w:hAnsi="仿宋_GB2312"/>
          <w:szCs w:val="21"/>
        </w:rPr>
      </w:pPr>
      <w:r>
        <w:rPr>
          <w:rFonts w:ascii="SimHei" w:hAnsi="SimHei" w:eastAsia="黑体"/>
          <w:szCs w:val="21"/>
        </w:rPr>
        <w:t>试用期间，员工被证实不符合录用条件的，公司可立即解除劳动合同；</w:t>
      </w:r>
    </w:p>
    <w:p>
      <w:pPr>
        <w:pStyle w:val="Normal"/>
        <w:numPr>
          <w:ilvl w:val="0"/>
          <w:numId w:val="7"/>
        </w:numPr>
        <w:tabs>
          <w:tab w:val="clear" w:pos="420"/>
          <w:tab w:val="left" w:pos="900" w:leader="none"/>
        </w:tabs>
        <w:spacing w:lineRule="exact" w:line="360"/>
        <w:ind w:start="900" w:hanging="540"/>
        <w:rPr>
          <w:rFonts w:ascii="仿宋_GB2312" w:hAnsi="仿宋_GB2312"/>
          <w:szCs w:val="21"/>
        </w:rPr>
      </w:pPr>
      <w:r>
        <w:rPr>
          <w:rFonts w:ascii="SimHei" w:hAnsi="SimHei" w:eastAsia="黑体"/>
          <w:szCs w:val="21"/>
        </w:rPr>
        <w:t>试用期间，员工无故旷工的，公司可立即解除劳动合同；</w:t>
      </w:r>
    </w:p>
    <w:p>
      <w:pPr>
        <w:pStyle w:val="Normal"/>
        <w:numPr>
          <w:ilvl w:val="0"/>
          <w:numId w:val="7"/>
        </w:numPr>
        <w:tabs>
          <w:tab w:val="clear" w:pos="420"/>
          <w:tab w:val="left" w:pos="900" w:leader="none"/>
        </w:tabs>
        <w:spacing w:lineRule="exact" w:line="360"/>
        <w:ind w:start="900" w:hanging="540"/>
        <w:rPr>
          <w:rFonts w:ascii="仿宋_GB2312" w:hAnsi="仿宋_GB2312"/>
          <w:szCs w:val="21"/>
        </w:rPr>
      </w:pPr>
      <w:r>
        <w:rPr>
          <w:rFonts w:ascii="SimHei" w:hAnsi="SimHei" w:eastAsia="黑体"/>
          <w:szCs w:val="21"/>
        </w:rPr>
        <w:t>试用期届满，且转正考核合格后，方可转正；对于工作表现突出者，可适当缩短试用时间。办理转正手续时，按《员工转正流程规定》执行；</w:t>
      </w:r>
    </w:p>
    <w:p>
      <w:pPr>
        <w:pStyle w:val="Normal"/>
        <w:numPr>
          <w:ilvl w:val="0"/>
          <w:numId w:val="7"/>
        </w:numPr>
        <w:tabs>
          <w:tab w:val="clear" w:pos="420"/>
          <w:tab w:val="left" w:pos="900" w:leader="none"/>
        </w:tabs>
        <w:spacing w:lineRule="exact" w:line="360"/>
        <w:ind w:start="900" w:hanging="540"/>
        <w:rPr>
          <w:rFonts w:ascii="仿宋_GB2312" w:hAnsi="仿宋_GB2312"/>
          <w:color w:val="000000"/>
          <w:szCs w:val="21"/>
        </w:rPr>
      </w:pPr>
      <w:r>
        <w:rPr>
          <w:rFonts w:ascii="SimHei" w:hAnsi="SimHei" w:eastAsia="黑体"/>
          <w:color w:val="000000"/>
          <w:szCs w:val="21"/>
        </w:rPr>
        <w:t>试用期和实习工资计算方式，见《公司工资制度》；</w:t>
      </w:r>
    </w:p>
    <w:p>
      <w:pPr>
        <w:pStyle w:val="Normal"/>
        <w:numPr>
          <w:ilvl w:val="0"/>
          <w:numId w:val="7"/>
        </w:numPr>
        <w:tabs>
          <w:tab w:val="clear" w:pos="420"/>
          <w:tab w:val="left" w:pos="900" w:leader="none"/>
        </w:tabs>
        <w:spacing w:lineRule="exact" w:line="360"/>
        <w:ind w:start="900" w:hanging="540"/>
        <w:rPr>
          <w:rFonts w:ascii="仿宋_GB2312" w:hAnsi="仿宋_GB2312"/>
          <w:color w:val="000000"/>
          <w:szCs w:val="21"/>
        </w:rPr>
      </w:pPr>
      <w:r>
        <w:rPr>
          <w:rFonts w:ascii="SimHei" w:hAnsi="SimHei" w:eastAsia="黑体"/>
          <w:color w:val="000000"/>
          <w:szCs w:val="21"/>
        </w:rPr>
        <w:t>转正考核不合格者，公司将对其做出延长试用期或直接解除劳动合同处理。</w:t>
      </w:r>
    </w:p>
    <w:p>
      <w:pPr>
        <w:pStyle w:val="Normal"/>
        <w:numPr>
          <w:ilvl w:val="0"/>
          <w:numId w:val="24"/>
        </w:numPr>
        <w:spacing w:lineRule="exact" w:line="360"/>
        <w:outlineLvl w:val="1"/>
        <w:rPr>
          <w:b/>
          <w:b/>
          <w:bCs/>
          <w:szCs w:val="21"/>
        </w:rPr>
      </w:pPr>
      <w:bookmarkStart w:id="36" w:name="__RefHeading___Toc216679022"/>
      <w:bookmarkEnd w:id="36"/>
      <w:r>
        <w:rPr>
          <w:rFonts w:ascii="SimHei" w:hAnsi="SimHei" w:eastAsia="黑体"/>
          <w:b/>
          <w:bCs/>
          <w:szCs w:val="21"/>
        </w:rPr>
        <w:t>干部的任免</w:t>
      </w:r>
    </w:p>
    <w:p>
      <w:pPr>
        <w:pStyle w:val="Normal"/>
        <w:numPr>
          <w:ilvl w:val="0"/>
          <w:numId w:val="3"/>
        </w:numPr>
        <w:tabs>
          <w:tab w:val="clear" w:pos="420"/>
        </w:tabs>
        <w:spacing w:lineRule="exact" w:line="360"/>
        <w:ind w:start="900" w:hanging="540"/>
        <w:rPr>
          <w:rFonts w:ascii="仿宋_GB2312" w:hAnsi="仿宋_GB2312"/>
          <w:szCs w:val="21"/>
        </w:rPr>
      </w:pPr>
      <w:r>
        <w:rPr>
          <w:rFonts w:ascii="SimHei" w:hAnsi="SimHei" w:eastAsia="黑体"/>
          <w:szCs w:val="21"/>
        </w:rPr>
        <w:t>总经理按公司章程由董事会任免；</w:t>
      </w:r>
    </w:p>
    <w:p>
      <w:pPr>
        <w:pStyle w:val="Normal"/>
        <w:numPr>
          <w:ilvl w:val="0"/>
          <w:numId w:val="3"/>
        </w:numPr>
        <w:tabs>
          <w:tab w:val="clear" w:pos="420"/>
        </w:tabs>
        <w:spacing w:lineRule="exact" w:line="360"/>
        <w:ind w:start="900" w:hanging="540"/>
        <w:rPr>
          <w:rFonts w:ascii="仿宋_GB2312" w:hAnsi="仿宋_GB2312"/>
          <w:szCs w:val="21"/>
        </w:rPr>
      </w:pPr>
      <w:r>
        <w:rPr>
          <w:rFonts w:ascii="SimHei" w:hAnsi="SimHei" w:eastAsia="黑体"/>
          <w:szCs w:val="21"/>
        </w:rPr>
        <w:t>副总经理、部门经理等由总经理任免。</w:t>
      </w:r>
    </w:p>
    <w:p>
      <w:pPr>
        <w:pStyle w:val="Normal"/>
        <w:numPr>
          <w:ilvl w:val="0"/>
          <w:numId w:val="24"/>
        </w:numPr>
        <w:spacing w:lineRule="exact" w:line="360"/>
        <w:outlineLvl w:val="1"/>
        <w:rPr>
          <w:b/>
          <w:b/>
          <w:bCs/>
          <w:szCs w:val="21"/>
        </w:rPr>
      </w:pPr>
      <w:bookmarkStart w:id="37" w:name="__RefHeading___Toc216679023"/>
      <w:bookmarkEnd w:id="37"/>
      <w:r>
        <w:rPr>
          <w:rFonts w:ascii="SimHei" w:hAnsi="SimHei" w:eastAsia="黑体"/>
          <w:b/>
          <w:bCs/>
          <w:szCs w:val="21"/>
        </w:rPr>
        <w:t>工作调动</w:t>
      </w:r>
    </w:p>
    <w:p>
      <w:pPr>
        <w:pStyle w:val="Normal"/>
        <w:numPr>
          <w:ilvl w:val="0"/>
          <w:numId w:val="5"/>
        </w:numPr>
        <w:tabs>
          <w:tab w:val="clear" w:pos="420"/>
          <w:tab w:val="left" w:pos="900" w:leader="none"/>
        </w:tabs>
        <w:spacing w:lineRule="exact" w:line="360"/>
        <w:ind w:start="900" w:hanging="540"/>
        <w:rPr>
          <w:rFonts w:ascii="仿宋_GB2312" w:hAnsi="仿宋_GB2312"/>
          <w:szCs w:val="21"/>
        </w:rPr>
      </w:pPr>
      <w:r>
        <w:rPr>
          <w:rFonts w:ascii="SimHei" w:hAnsi="SimHei" w:eastAsia="黑体"/>
          <w:szCs w:val="21"/>
        </w:rPr>
        <w:t>公司可根据生产安排随时调动员工工作（转班、部门之间调动、派遣、派驻等），员工应主动配合；</w:t>
      </w:r>
    </w:p>
    <w:p>
      <w:pPr>
        <w:pStyle w:val="Normal"/>
        <w:numPr>
          <w:ilvl w:val="0"/>
          <w:numId w:val="5"/>
        </w:numPr>
        <w:tabs>
          <w:tab w:val="clear" w:pos="420"/>
          <w:tab w:val="left" w:pos="900" w:leader="none"/>
        </w:tabs>
        <w:spacing w:lineRule="exact" w:line="360"/>
        <w:ind w:start="900" w:hanging="540"/>
        <w:rPr>
          <w:rFonts w:ascii="仿宋_GB2312" w:hAnsi="仿宋_GB2312"/>
          <w:szCs w:val="21"/>
        </w:rPr>
      </w:pPr>
      <w:r>
        <w:rPr>
          <w:rFonts w:ascii="SimHei" w:hAnsi="SimHei" w:eastAsia="黑体"/>
          <w:szCs w:val="21"/>
        </w:rPr>
        <w:t>员工必须服从公司的调动；如遇特殊情况，可向上级申诉，但一经做出决定，必须服从，并在指定的时间内到新岗位报到。</w:t>
      </w:r>
    </w:p>
    <w:p>
      <w:pPr>
        <w:pStyle w:val="Normal"/>
        <w:numPr>
          <w:ilvl w:val="0"/>
          <w:numId w:val="24"/>
        </w:numPr>
        <w:spacing w:lineRule="exact" w:line="360"/>
        <w:outlineLvl w:val="1"/>
        <w:rPr>
          <w:b/>
          <w:b/>
          <w:bCs/>
          <w:szCs w:val="21"/>
        </w:rPr>
      </w:pPr>
      <w:bookmarkStart w:id="38" w:name="__RefHeading___Toc216679024"/>
      <w:bookmarkEnd w:id="38"/>
      <w:r>
        <w:rPr>
          <w:rFonts w:ascii="SimHei" w:hAnsi="SimHei" w:eastAsia="黑体"/>
          <w:b/>
          <w:bCs/>
          <w:szCs w:val="21"/>
        </w:rPr>
        <w:t>签订劳动合同</w:t>
      </w:r>
    </w:p>
    <w:p>
      <w:pPr>
        <w:pStyle w:val="Normal"/>
        <w:numPr>
          <w:ilvl w:val="0"/>
          <w:numId w:val="17"/>
        </w:numPr>
        <w:tabs>
          <w:tab w:val="clear" w:pos="420"/>
          <w:tab w:val="left" w:pos="900" w:leader="none"/>
        </w:tabs>
        <w:spacing w:lineRule="exact" w:line="360"/>
        <w:ind w:start="900" w:hanging="540"/>
        <w:rPr>
          <w:rFonts w:ascii="仿宋_GB2312" w:hAnsi="仿宋_GB2312"/>
          <w:szCs w:val="21"/>
        </w:rPr>
      </w:pPr>
      <w:r>
        <w:rPr>
          <w:rFonts w:ascii="SimHei" w:hAnsi="SimHei" w:eastAsia="黑体"/>
          <w:szCs w:val="21"/>
        </w:rPr>
        <w:t>员工入职之日起即与公司形成劳动关系，公司在一个月内与其签订书面的《劳动合同》；</w:t>
      </w:r>
    </w:p>
    <w:p>
      <w:pPr>
        <w:pStyle w:val="Normal"/>
        <w:numPr>
          <w:ilvl w:val="0"/>
          <w:numId w:val="17"/>
        </w:numPr>
        <w:tabs>
          <w:tab w:val="clear" w:pos="420"/>
          <w:tab w:val="left" w:pos="900" w:leader="none"/>
        </w:tabs>
        <w:spacing w:lineRule="exact" w:line="360"/>
        <w:ind w:start="900" w:hanging="540"/>
        <w:rPr>
          <w:rFonts w:ascii="仿宋_GB2312" w:hAnsi="仿宋_GB2312"/>
          <w:color w:val="000000"/>
          <w:szCs w:val="21"/>
        </w:rPr>
      </w:pPr>
      <w:r>
        <w:rPr>
          <w:rFonts w:ascii="SimHei" w:hAnsi="SimHei" w:eastAsia="黑体"/>
          <w:color w:val="000000"/>
          <w:szCs w:val="21"/>
        </w:rPr>
        <w:t>安排在公司实习的学生，双方签订《毕业实习协议书》；在学生领取毕业证书后，经公司考核合格，且自愿继续留在公司工作的，双方签订书面的《劳动合同》；转正考核不合格者，公司将对其做出延长实习期或直接辞退处理；</w:t>
      </w:r>
    </w:p>
    <w:p>
      <w:pPr>
        <w:pStyle w:val="Normal"/>
        <w:numPr>
          <w:ilvl w:val="0"/>
          <w:numId w:val="17"/>
        </w:numPr>
        <w:tabs>
          <w:tab w:val="clear" w:pos="420"/>
          <w:tab w:val="left" w:pos="900" w:leader="none"/>
        </w:tabs>
        <w:spacing w:lineRule="exact" w:line="360"/>
        <w:ind w:start="900" w:hanging="540"/>
        <w:rPr>
          <w:rFonts w:ascii="仿宋_GB2312" w:hAnsi="仿宋_GB2312"/>
          <w:b/>
          <w:b/>
          <w:bCs/>
          <w:szCs w:val="21"/>
        </w:rPr>
      </w:pPr>
      <w:r>
        <w:rPr>
          <w:rFonts w:ascii="SimHei" w:hAnsi="SimHei" w:eastAsia="黑体"/>
          <w:szCs w:val="21"/>
        </w:rPr>
        <w:t>员工转正手续办理完毕后，公司按照当地社保缴费标准为其购买社会保险，缴费起始时间从双方签订《劳动合同》时的起始时间开始。</w:t>
      </w:r>
    </w:p>
    <w:p>
      <w:pPr>
        <w:pStyle w:val="Normal"/>
        <w:numPr>
          <w:ilvl w:val="0"/>
          <w:numId w:val="24"/>
        </w:numPr>
        <w:spacing w:lineRule="exact" w:line="360"/>
        <w:outlineLvl w:val="1"/>
        <w:rPr>
          <w:b/>
          <w:b/>
          <w:bCs/>
          <w:szCs w:val="21"/>
        </w:rPr>
      </w:pPr>
      <w:bookmarkStart w:id="39" w:name="__RefHeading___Toc216679025"/>
      <w:bookmarkEnd w:id="39"/>
      <w:r>
        <w:rPr>
          <w:rFonts w:ascii="SimHei" w:hAnsi="SimHei" w:eastAsia="黑体"/>
          <w:b/>
          <w:bCs/>
          <w:szCs w:val="21"/>
        </w:rPr>
        <w:t>终止劳动合同</w:t>
      </w:r>
    </w:p>
    <w:p>
      <w:pPr>
        <w:pStyle w:val="Normal"/>
        <w:numPr>
          <w:ilvl w:val="0"/>
          <w:numId w:val="15"/>
        </w:numPr>
        <w:tabs>
          <w:tab w:val="clear" w:pos="420"/>
          <w:tab w:val="left" w:pos="900" w:leader="none"/>
        </w:tabs>
        <w:spacing w:lineRule="exact" w:line="360"/>
        <w:ind w:start="900" w:hanging="540"/>
        <w:rPr>
          <w:szCs w:val="21"/>
        </w:rPr>
      </w:pPr>
      <w:r>
        <w:rPr>
          <w:rFonts w:ascii="SimHei" w:hAnsi="SimHei" w:eastAsia="黑体"/>
          <w:szCs w:val="21"/>
        </w:rPr>
        <w:t>达到国家法定退休年龄者，男员工满</w:t>
      </w:r>
      <w:r>
        <w:rPr>
          <w:rFonts w:ascii="SimHei" w:hAnsi="SimHei" w:eastAsia="黑体"/>
          <w:szCs w:val="21"/>
        </w:rPr>
        <w:t>60</w:t>
      </w:r>
      <w:r>
        <w:rPr>
          <w:rFonts w:ascii="SimHei" w:hAnsi="SimHei" w:eastAsia="黑体"/>
          <w:szCs w:val="21"/>
        </w:rPr>
        <w:t>岁，女员工满</w:t>
      </w:r>
      <w:r>
        <w:rPr>
          <w:rFonts w:ascii="SimHei" w:hAnsi="SimHei" w:eastAsia="黑体"/>
          <w:szCs w:val="21"/>
        </w:rPr>
        <w:t>55</w:t>
      </w:r>
      <w:r>
        <w:rPr>
          <w:rFonts w:ascii="SimHei" w:hAnsi="SimHei" w:eastAsia="黑体"/>
          <w:szCs w:val="21"/>
        </w:rPr>
        <w:t>岁；</w:t>
      </w:r>
    </w:p>
    <w:p>
      <w:pPr>
        <w:pStyle w:val="Normal"/>
        <w:numPr>
          <w:ilvl w:val="0"/>
          <w:numId w:val="15"/>
        </w:numPr>
        <w:tabs>
          <w:tab w:val="clear" w:pos="420"/>
          <w:tab w:val="left" w:pos="900" w:leader="none"/>
        </w:tabs>
        <w:spacing w:lineRule="exact" w:line="360"/>
        <w:ind w:start="900" w:hanging="540"/>
        <w:rPr>
          <w:szCs w:val="21"/>
        </w:rPr>
      </w:pPr>
      <w:r>
        <w:rPr>
          <w:rFonts w:ascii="SimHei" w:hAnsi="SimHei" w:eastAsia="黑体"/>
          <w:szCs w:val="21"/>
        </w:rPr>
        <w:t>劳动合同期届满，而公司不予续聘者；</w:t>
      </w:r>
    </w:p>
    <w:p>
      <w:pPr>
        <w:pStyle w:val="Normal"/>
        <w:numPr>
          <w:ilvl w:val="0"/>
          <w:numId w:val="15"/>
        </w:numPr>
        <w:tabs>
          <w:tab w:val="clear" w:pos="420"/>
          <w:tab w:val="left" w:pos="900" w:leader="none"/>
        </w:tabs>
        <w:spacing w:lineRule="exact" w:line="360"/>
        <w:ind w:start="900" w:hanging="540"/>
        <w:rPr>
          <w:szCs w:val="21"/>
        </w:rPr>
      </w:pPr>
      <w:r>
        <w:rPr>
          <w:rFonts w:ascii="SimHei" w:hAnsi="SimHei" w:eastAsia="黑体"/>
          <w:szCs w:val="21"/>
        </w:rPr>
        <w:t>员工死亡，或被人民法院宣告死亡</w:t>
      </w:r>
      <w:r>
        <w:rPr>
          <w:rFonts w:ascii="SimHei" w:hAnsi="SimHei" w:eastAsia="黑体"/>
          <w:szCs w:val="21"/>
        </w:rPr>
        <w:t>/</w:t>
      </w:r>
      <w:r>
        <w:rPr>
          <w:rFonts w:ascii="SimHei" w:hAnsi="SimHei" w:eastAsia="黑体"/>
          <w:szCs w:val="21"/>
        </w:rPr>
        <w:t>失踪的；</w:t>
      </w:r>
    </w:p>
    <w:p>
      <w:pPr>
        <w:pStyle w:val="Normal"/>
        <w:numPr>
          <w:ilvl w:val="0"/>
          <w:numId w:val="15"/>
        </w:numPr>
        <w:tabs>
          <w:tab w:val="clear" w:pos="420"/>
          <w:tab w:val="left" w:pos="900" w:leader="none"/>
        </w:tabs>
        <w:spacing w:lineRule="exact" w:line="360"/>
        <w:ind w:start="900" w:hanging="540"/>
        <w:rPr>
          <w:szCs w:val="21"/>
        </w:rPr>
      </w:pPr>
      <w:r>
        <w:rPr>
          <w:rFonts w:ascii="SimHei" w:hAnsi="SimHei" w:eastAsia="黑体"/>
          <w:szCs w:val="21"/>
        </w:rPr>
        <w:t>公司被依法宣告破产的；</w:t>
      </w:r>
    </w:p>
    <w:p>
      <w:pPr>
        <w:pStyle w:val="Normal"/>
        <w:numPr>
          <w:ilvl w:val="0"/>
          <w:numId w:val="15"/>
        </w:numPr>
        <w:tabs>
          <w:tab w:val="clear" w:pos="420"/>
          <w:tab w:val="left" w:pos="900" w:leader="none"/>
        </w:tabs>
        <w:spacing w:lineRule="exact" w:line="360"/>
        <w:ind w:start="900" w:hanging="540"/>
        <w:rPr>
          <w:szCs w:val="21"/>
        </w:rPr>
      </w:pPr>
      <w:r>
        <w:rPr>
          <w:rFonts w:ascii="SimHei" w:hAnsi="SimHei" w:eastAsia="黑体"/>
          <w:szCs w:val="21"/>
        </w:rPr>
        <w:t>公司被吊销营业执照、责令关闭、撤销或者公司决定提前解散的；</w:t>
      </w:r>
    </w:p>
    <w:p>
      <w:pPr>
        <w:pStyle w:val="Normal"/>
        <w:numPr>
          <w:ilvl w:val="0"/>
          <w:numId w:val="15"/>
        </w:numPr>
        <w:tabs>
          <w:tab w:val="clear" w:pos="420"/>
          <w:tab w:val="left" w:pos="900" w:leader="none"/>
        </w:tabs>
        <w:spacing w:lineRule="exact" w:line="360"/>
        <w:ind w:start="900" w:hanging="540"/>
        <w:rPr>
          <w:szCs w:val="21"/>
        </w:rPr>
      </w:pPr>
      <w:r>
        <w:rPr>
          <w:rFonts w:ascii="SimHei" w:hAnsi="SimHei" w:eastAsia="黑体"/>
          <w:szCs w:val="21"/>
        </w:rPr>
        <w:t>其它法律、行政法规规定的其它情形。</w:t>
      </w:r>
    </w:p>
    <w:p>
      <w:pPr>
        <w:pStyle w:val="Normal"/>
        <w:numPr>
          <w:ilvl w:val="0"/>
          <w:numId w:val="24"/>
        </w:numPr>
        <w:spacing w:lineRule="exact" w:line="360"/>
        <w:outlineLvl w:val="1"/>
        <w:rPr>
          <w:b/>
          <w:b/>
          <w:bCs/>
          <w:szCs w:val="21"/>
        </w:rPr>
      </w:pPr>
      <w:bookmarkStart w:id="40" w:name="__RefHeading___Toc216679026"/>
      <w:bookmarkEnd w:id="40"/>
      <w:r>
        <w:rPr>
          <w:rFonts w:ascii="SimHei" w:hAnsi="SimHei" w:eastAsia="黑体"/>
          <w:b/>
          <w:bCs/>
          <w:szCs w:val="21"/>
        </w:rPr>
        <w:t>解除劳动合同</w:t>
      </w:r>
    </w:p>
    <w:p>
      <w:pPr>
        <w:pStyle w:val="Normal"/>
        <w:numPr>
          <w:ilvl w:val="0"/>
          <w:numId w:val="40"/>
        </w:numPr>
        <w:tabs>
          <w:tab w:val="clear" w:pos="420"/>
          <w:tab w:val="left" w:pos="1080" w:leader="none"/>
        </w:tabs>
        <w:spacing w:lineRule="exact" w:line="360"/>
        <w:ind w:start="1080" w:hanging="660"/>
        <w:rPr>
          <w:szCs w:val="21"/>
        </w:rPr>
      </w:pPr>
      <w:r>
        <w:rPr>
          <w:rFonts w:ascii="SimHei" w:hAnsi="SimHei" w:eastAsia="黑体"/>
          <w:szCs w:val="21"/>
        </w:rPr>
        <w:t>辞职</w:t>
      </w:r>
    </w:p>
    <w:p>
      <w:pPr>
        <w:pStyle w:val="Normal"/>
        <w:numPr>
          <w:ilvl w:val="0"/>
          <w:numId w:val="13"/>
        </w:numPr>
        <w:tabs>
          <w:tab w:val="clear" w:pos="420"/>
          <w:tab w:val="left" w:pos="1125" w:leader="none"/>
        </w:tabs>
        <w:spacing w:lineRule="exact" w:line="360"/>
        <w:ind w:start="1125" w:hanging="705"/>
        <w:rPr>
          <w:rFonts w:ascii="仿宋_GB2312" w:hAnsi="仿宋_GB2312"/>
          <w:color w:val="000000"/>
          <w:szCs w:val="21"/>
        </w:rPr>
      </w:pPr>
      <w:r>
        <w:rPr>
          <w:rFonts w:ascii="SimHei" w:hAnsi="SimHei" w:eastAsia="黑体"/>
          <w:color w:val="000000"/>
          <w:szCs w:val="21"/>
        </w:rPr>
        <w:t>员工因故不宜或不愿继续在本公司工作时，可提出辞职，但须提前一个月按规定填写《辞职申请书》向有关部门提出申请，试用期或实习期的员工至少提前三天。如未按上述要求提前通知公司者，公司有权做出旷工处罚；情节严重者，按记过或立即解除劳动合同处理；造成公司损失的，公司将依具体情况索赔；</w:t>
      </w:r>
    </w:p>
    <w:p>
      <w:pPr>
        <w:pStyle w:val="Normal"/>
        <w:numPr>
          <w:ilvl w:val="0"/>
          <w:numId w:val="13"/>
        </w:numPr>
        <w:tabs>
          <w:tab w:val="clear" w:pos="420"/>
          <w:tab w:val="left" w:pos="1125" w:leader="none"/>
        </w:tabs>
        <w:spacing w:lineRule="exact" w:line="360"/>
        <w:ind w:start="1125" w:hanging="705"/>
        <w:rPr>
          <w:rFonts w:ascii="仿宋_GB2312" w:hAnsi="仿宋_GB2312"/>
          <w:szCs w:val="21"/>
        </w:rPr>
      </w:pPr>
      <w:r>
        <w:rPr>
          <w:rFonts w:ascii="SimHei" w:hAnsi="SimHei" w:eastAsia="黑体"/>
          <w:szCs w:val="21"/>
        </w:rPr>
        <w:t>有下列情形之一的员工，不得辞职：</w:t>
      </w:r>
    </w:p>
    <w:p>
      <w:pPr>
        <w:pStyle w:val="Normal"/>
        <w:numPr>
          <w:ilvl w:val="0"/>
          <w:numId w:val="35"/>
        </w:numPr>
        <w:tabs>
          <w:tab w:val="clear" w:pos="420"/>
          <w:tab w:val="left" w:pos="1575" w:leader="none"/>
        </w:tabs>
        <w:spacing w:lineRule="exact" w:line="360"/>
        <w:ind w:start="1575" w:hanging="540"/>
        <w:rPr>
          <w:rFonts w:ascii="宋体" w:hAnsi="宋体" w:cs="宋体"/>
          <w:szCs w:val="21"/>
        </w:rPr>
      </w:pPr>
      <w:r>
        <w:rPr>
          <w:rFonts w:ascii="SimHei" w:hAnsi="SimHei" w:cs="宋体" w:eastAsia="黑体"/>
          <w:szCs w:val="21"/>
        </w:rPr>
        <w:t>涉及企业重要技术机密等特殊职位且未满解密期的；</w:t>
      </w:r>
    </w:p>
    <w:p>
      <w:pPr>
        <w:pStyle w:val="Normal"/>
        <w:numPr>
          <w:ilvl w:val="0"/>
          <w:numId w:val="35"/>
        </w:numPr>
        <w:tabs>
          <w:tab w:val="clear" w:pos="420"/>
          <w:tab w:val="left" w:pos="1575" w:leader="none"/>
        </w:tabs>
        <w:spacing w:lineRule="exact" w:line="360"/>
        <w:ind w:start="1575" w:hanging="540"/>
        <w:rPr>
          <w:rFonts w:ascii="宋体" w:hAnsi="宋体" w:cs="宋体"/>
          <w:szCs w:val="21"/>
        </w:rPr>
      </w:pPr>
      <w:r>
        <w:rPr>
          <w:rFonts w:ascii="SimHei" w:hAnsi="SimHei" w:cs="宋体" w:eastAsia="黑体"/>
          <w:szCs w:val="21"/>
        </w:rPr>
        <w:t>重要公务尚未处理完毕，而且须由本人继续处理的；</w:t>
      </w:r>
    </w:p>
    <w:p>
      <w:pPr>
        <w:pStyle w:val="Normal"/>
        <w:numPr>
          <w:ilvl w:val="0"/>
          <w:numId w:val="35"/>
        </w:numPr>
        <w:tabs>
          <w:tab w:val="clear" w:pos="420"/>
          <w:tab w:val="left" w:pos="1575" w:leader="none"/>
        </w:tabs>
        <w:spacing w:lineRule="exact" w:line="360"/>
        <w:ind w:start="1575" w:hanging="540"/>
        <w:rPr>
          <w:rFonts w:ascii="宋体" w:hAnsi="宋体" w:cs="宋体"/>
          <w:szCs w:val="21"/>
        </w:rPr>
      </w:pPr>
      <w:r>
        <w:rPr>
          <w:rFonts w:ascii="SimHei" w:hAnsi="SimHei" w:cs="宋体" w:eastAsia="黑体"/>
          <w:szCs w:val="21"/>
        </w:rPr>
        <w:t>正在接受司法机关或监察部门审查的；</w:t>
      </w:r>
    </w:p>
    <w:p>
      <w:pPr>
        <w:pStyle w:val="Normal"/>
        <w:numPr>
          <w:ilvl w:val="0"/>
          <w:numId w:val="35"/>
        </w:numPr>
        <w:tabs>
          <w:tab w:val="clear" w:pos="420"/>
          <w:tab w:val="left" w:pos="1575" w:leader="none"/>
        </w:tabs>
        <w:spacing w:lineRule="exact" w:line="360"/>
        <w:ind w:start="1575" w:hanging="540"/>
        <w:rPr>
          <w:rFonts w:ascii="宋体" w:hAnsi="宋体" w:cs="宋体"/>
          <w:szCs w:val="21"/>
        </w:rPr>
      </w:pPr>
      <w:r>
        <w:rPr>
          <w:rFonts w:ascii="SimHei" w:hAnsi="SimHei" w:cs="宋体" w:eastAsia="黑体"/>
          <w:szCs w:val="21"/>
        </w:rPr>
        <w:t>接受公司特殊调查的；</w:t>
      </w:r>
    </w:p>
    <w:p>
      <w:pPr>
        <w:pStyle w:val="Normal"/>
        <w:numPr>
          <w:ilvl w:val="0"/>
          <w:numId w:val="35"/>
        </w:numPr>
        <w:tabs>
          <w:tab w:val="clear" w:pos="420"/>
          <w:tab w:val="left" w:pos="1575" w:leader="none"/>
        </w:tabs>
        <w:spacing w:lineRule="exact" w:line="360"/>
        <w:ind w:start="1575" w:hanging="540"/>
        <w:rPr>
          <w:rFonts w:ascii="宋体" w:hAnsi="宋体" w:cs="宋体"/>
          <w:szCs w:val="21"/>
        </w:rPr>
      </w:pPr>
      <w:r>
        <w:rPr>
          <w:rFonts w:ascii="SimHei" w:hAnsi="SimHei" w:cs="宋体" w:eastAsia="黑体"/>
          <w:szCs w:val="21"/>
        </w:rPr>
        <w:t>其他原因不宜辞职的。</w:t>
      </w:r>
    </w:p>
    <w:p>
      <w:pPr>
        <w:pStyle w:val="Normal"/>
        <w:numPr>
          <w:ilvl w:val="0"/>
          <w:numId w:val="13"/>
        </w:numPr>
        <w:tabs>
          <w:tab w:val="clear" w:pos="420"/>
          <w:tab w:val="left" w:pos="1125" w:leader="none"/>
        </w:tabs>
        <w:spacing w:lineRule="exact" w:line="360"/>
        <w:ind w:start="1125" w:hanging="705"/>
        <w:rPr>
          <w:rFonts w:ascii="仿宋_GB2312" w:hAnsi="仿宋_GB2312"/>
          <w:szCs w:val="21"/>
        </w:rPr>
      </w:pPr>
      <w:r>
        <w:rPr>
          <w:rFonts w:ascii="SimHei" w:hAnsi="SimHei" w:eastAsia="黑体"/>
          <w:szCs w:val="21"/>
        </w:rPr>
        <w:t>辞职手续必须在批准之日起一个月内办理完毕，凡不按规定履行手续者，公司将按自动离职处理，暂扣当月工资，直至辞职手续办理完毕为止；</w:t>
      </w:r>
    </w:p>
    <w:p>
      <w:pPr>
        <w:pStyle w:val="Normal"/>
        <w:numPr>
          <w:ilvl w:val="0"/>
          <w:numId w:val="13"/>
        </w:numPr>
        <w:tabs>
          <w:tab w:val="clear" w:pos="420"/>
          <w:tab w:val="left" w:pos="1125" w:leader="none"/>
        </w:tabs>
        <w:spacing w:lineRule="exact" w:line="360"/>
        <w:ind w:start="1125" w:hanging="705"/>
        <w:rPr>
          <w:rFonts w:ascii="仿宋_GB2312" w:hAnsi="仿宋_GB2312"/>
          <w:szCs w:val="21"/>
        </w:rPr>
      </w:pPr>
      <w:r>
        <w:rPr>
          <w:rFonts w:ascii="SimHei" w:hAnsi="SimHei" w:eastAsia="黑体"/>
          <w:szCs w:val="21"/>
        </w:rPr>
        <w:t>辞职员工不得擅自带走公司的内部资料、设备器材和工装夹具等，否则，将视盗窃公司财物的行为处理；</w:t>
      </w:r>
    </w:p>
    <w:p>
      <w:pPr>
        <w:pStyle w:val="Normal"/>
        <w:numPr>
          <w:ilvl w:val="0"/>
          <w:numId w:val="13"/>
        </w:numPr>
        <w:tabs>
          <w:tab w:val="clear" w:pos="420"/>
          <w:tab w:val="left" w:pos="1125" w:leader="none"/>
        </w:tabs>
        <w:spacing w:lineRule="exact" w:line="360"/>
        <w:ind w:start="1125" w:hanging="705"/>
        <w:rPr>
          <w:rFonts w:ascii="仿宋_GB2312" w:hAnsi="仿宋_GB2312"/>
          <w:szCs w:val="21"/>
        </w:rPr>
      </w:pPr>
      <w:r>
        <w:rPr>
          <w:rFonts w:ascii="SimHei" w:hAnsi="SimHei" w:eastAsia="黑体"/>
          <w:szCs w:val="21"/>
        </w:rPr>
        <w:t>辞职员工需按规定办理辞职手续，并向有关部门交还工卡、抽屉钥匙、工具、工衣、劳保用品等物品；</w:t>
      </w:r>
    </w:p>
    <w:p>
      <w:pPr>
        <w:pStyle w:val="Normal"/>
        <w:numPr>
          <w:ilvl w:val="0"/>
          <w:numId w:val="13"/>
        </w:numPr>
        <w:tabs>
          <w:tab w:val="clear" w:pos="420"/>
          <w:tab w:val="left" w:pos="1125" w:leader="none"/>
        </w:tabs>
        <w:spacing w:lineRule="exact" w:line="360"/>
        <w:ind w:start="1125" w:hanging="705"/>
        <w:rPr>
          <w:rFonts w:ascii="仿宋_GB2312" w:hAnsi="仿宋_GB2312"/>
          <w:szCs w:val="21"/>
        </w:rPr>
      </w:pPr>
      <w:r>
        <w:rPr>
          <w:rFonts w:ascii="SimHei" w:hAnsi="SimHei" w:eastAsia="黑体"/>
          <w:szCs w:val="21"/>
        </w:rPr>
        <w:t>签订了《</w:t>
      </w:r>
      <w:r>
        <w:rPr>
          <w:rFonts w:ascii="SimHei" w:hAnsi="SimHei" w:cs="宋体" w:eastAsia="黑体"/>
          <w:szCs w:val="21"/>
        </w:rPr>
        <w:t>外培人员服务协议</w:t>
      </w:r>
      <w:r>
        <w:rPr>
          <w:rFonts w:ascii="SimHei" w:hAnsi="SimHei" w:eastAsia="黑体"/>
          <w:szCs w:val="21"/>
        </w:rPr>
        <w:t>》或《竞业限制协议》的员工，应按照协议条款执行。</w:t>
      </w:r>
    </w:p>
    <w:p>
      <w:pPr>
        <w:pStyle w:val="Normal"/>
        <w:numPr>
          <w:ilvl w:val="0"/>
          <w:numId w:val="40"/>
        </w:numPr>
        <w:tabs>
          <w:tab w:val="clear" w:pos="420"/>
          <w:tab w:val="left" w:pos="1080" w:leader="none"/>
        </w:tabs>
        <w:spacing w:lineRule="exact" w:line="360"/>
        <w:ind w:start="1080" w:hanging="660"/>
        <w:rPr>
          <w:szCs w:val="21"/>
        </w:rPr>
      </w:pPr>
      <w:r>
        <w:rPr>
          <w:rFonts w:ascii="SimHei" w:hAnsi="SimHei" w:eastAsia="黑体"/>
          <w:szCs w:val="21"/>
        </w:rPr>
        <w:t>员工有以下情况之一的，公司可以解除劳动合同：</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在试用期间被证明不符合录用条件的；</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严重违反公司规章制度；</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严重失职，营私舞弊，给公司造成重大损害的；</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违反《公司员工奖惩条例》第</w:t>
      </w:r>
      <w:r>
        <w:rPr>
          <w:rFonts w:ascii="SimHei" w:hAnsi="SimHei" w:eastAsia="黑体"/>
          <w:szCs w:val="21"/>
        </w:rPr>
        <w:t>12</w:t>
      </w:r>
      <w:r>
        <w:rPr>
          <w:rFonts w:ascii="SimHei" w:hAnsi="SimHei" w:eastAsia="黑体"/>
          <w:szCs w:val="21"/>
        </w:rPr>
        <w:t>条的；</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因消极怠工多次被给予书面警告后，仍无明显改进者；</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无正当理由，不服从工作调配，经再三劝告仍无改进的；</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cs="宋体" w:eastAsia="黑体"/>
          <w:szCs w:val="21"/>
        </w:rPr>
        <w:t>连续旷工</w:t>
      </w:r>
      <w:r>
        <w:rPr>
          <w:rFonts w:cs="宋体" w:ascii="SimHei" w:hAnsi="SimHei" w:eastAsia="黑体"/>
          <w:szCs w:val="21"/>
        </w:rPr>
        <w:t>3</w:t>
      </w:r>
      <w:r>
        <w:rPr>
          <w:rFonts w:ascii="SimHei" w:hAnsi="SimHei" w:cs="宋体" w:eastAsia="黑体"/>
          <w:szCs w:val="21"/>
        </w:rPr>
        <w:t>天，或一年内累计旷工</w:t>
      </w:r>
      <w:r>
        <w:rPr>
          <w:rFonts w:cs="宋体" w:ascii="SimHei" w:hAnsi="SimHei" w:eastAsia="黑体"/>
          <w:szCs w:val="21"/>
        </w:rPr>
        <w:t>5</w:t>
      </w:r>
      <w:r>
        <w:rPr>
          <w:rFonts w:ascii="SimHei" w:hAnsi="SimHei" w:cs="宋体" w:eastAsia="黑体"/>
          <w:szCs w:val="21"/>
        </w:rPr>
        <w:t>天的；</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因故意或重大过失造成公司重大损失和灾害者；</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造谣惑众、破坏团结、煽动他人闹事，妨碍公司正常运作者；</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贪污盗窃公司物品或他人财物者；</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提供假证件或伪造主要经历被录用者；</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公开诋毁公司的名誉和信用，对上司或同事使用恐吓、胁迫、暴力和其它不法行为，严重危害人身安全、玷污个人名誉者；</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泄露公司机密，使公司利益受到损害者；</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与其他用人单位建立劳动关系，对公司的工作任务造成严重影响，或经公司提出，员工拒不改正的；</w:t>
      </w:r>
    </w:p>
    <w:p>
      <w:pPr>
        <w:pStyle w:val="Normal"/>
        <w:numPr>
          <w:ilvl w:val="0"/>
          <w:numId w:val="14"/>
        </w:numPr>
        <w:tabs>
          <w:tab w:val="clear" w:pos="420"/>
          <w:tab w:val="left" w:pos="-930" w:leader="none"/>
          <w:tab w:val="left" w:pos="1080" w:leader="none"/>
        </w:tabs>
        <w:spacing w:lineRule="exact" w:line="360"/>
        <w:ind w:start="1080" w:hanging="720"/>
        <w:rPr>
          <w:rFonts w:ascii="仿宋_GB2312" w:hAnsi="仿宋_GB2312"/>
          <w:szCs w:val="21"/>
        </w:rPr>
      </w:pPr>
      <w:r>
        <w:rPr>
          <w:rFonts w:ascii="SimHei" w:hAnsi="SimHei" w:eastAsia="黑体"/>
          <w:szCs w:val="21"/>
        </w:rPr>
        <w:t>被依法追究刑事责任的。</w:t>
      </w:r>
    </w:p>
    <w:p>
      <w:pPr>
        <w:pStyle w:val="Normal"/>
        <w:numPr>
          <w:ilvl w:val="0"/>
          <w:numId w:val="40"/>
        </w:numPr>
        <w:tabs>
          <w:tab w:val="clear" w:pos="420"/>
          <w:tab w:val="left" w:pos="1080" w:leader="none"/>
        </w:tabs>
        <w:spacing w:lineRule="exact" w:line="360"/>
        <w:ind w:start="1080" w:hanging="660"/>
        <w:rPr>
          <w:rFonts w:ascii="宋体" w:hAnsi="宋体" w:cs="宋体"/>
          <w:szCs w:val="21"/>
        </w:rPr>
      </w:pPr>
      <w:r>
        <w:rPr>
          <w:rFonts w:ascii="SimHei" w:hAnsi="SimHei" w:cs="宋体" w:eastAsia="黑体"/>
          <w:szCs w:val="21"/>
        </w:rPr>
        <w:t>员工有以下情况之一的，公司提前一个月以书面形式通知员工或支付提前解除劳动合同金后，再支付经济补偿金，可以解除劳动合同：</w:t>
      </w:r>
    </w:p>
    <w:p>
      <w:pPr>
        <w:pStyle w:val="Normal"/>
        <w:numPr>
          <w:ilvl w:val="0"/>
          <w:numId w:val="37"/>
        </w:numPr>
        <w:tabs>
          <w:tab w:val="clear" w:pos="420"/>
          <w:tab w:val="left" w:pos="1080" w:leader="none"/>
        </w:tabs>
        <w:spacing w:lineRule="exact" w:line="360"/>
        <w:ind w:start="1080" w:hanging="720"/>
        <w:rPr>
          <w:rFonts w:ascii="仿宋_GB2312" w:hAnsi="仿宋_GB2312"/>
          <w:szCs w:val="21"/>
        </w:rPr>
      </w:pPr>
      <w:r>
        <w:rPr>
          <w:rFonts w:ascii="SimHei" w:hAnsi="SimHei" w:eastAsia="黑体"/>
          <w:szCs w:val="21"/>
        </w:rPr>
        <w:t>双方协商一致；</w:t>
      </w:r>
    </w:p>
    <w:p>
      <w:pPr>
        <w:pStyle w:val="Normal"/>
        <w:numPr>
          <w:ilvl w:val="0"/>
          <w:numId w:val="37"/>
        </w:numPr>
        <w:tabs>
          <w:tab w:val="clear" w:pos="420"/>
          <w:tab w:val="left" w:pos="1080" w:leader="none"/>
        </w:tabs>
        <w:spacing w:lineRule="exact" w:line="360"/>
        <w:ind w:start="1080" w:hanging="720"/>
        <w:rPr>
          <w:rFonts w:ascii="仿宋_GB2312" w:hAnsi="仿宋_GB2312"/>
          <w:szCs w:val="21"/>
        </w:rPr>
      </w:pPr>
      <w:r>
        <w:rPr>
          <w:rFonts w:ascii="SimHei" w:hAnsi="SimHei" w:eastAsia="黑体"/>
          <w:szCs w:val="21"/>
        </w:rPr>
        <w:t>患病或非因工负伤，在规定的医疗期满后不能从事原工作，也不能从事由公司另行安排的工作的；</w:t>
      </w:r>
    </w:p>
    <w:p>
      <w:pPr>
        <w:pStyle w:val="Normal"/>
        <w:numPr>
          <w:ilvl w:val="0"/>
          <w:numId w:val="37"/>
        </w:numPr>
        <w:tabs>
          <w:tab w:val="clear" w:pos="420"/>
          <w:tab w:val="left" w:pos="1080" w:leader="none"/>
        </w:tabs>
        <w:spacing w:lineRule="exact" w:line="360"/>
        <w:ind w:start="1080" w:hanging="720"/>
        <w:rPr>
          <w:rFonts w:ascii="仿宋_GB2312" w:hAnsi="仿宋_GB2312"/>
          <w:szCs w:val="21"/>
        </w:rPr>
      </w:pPr>
      <w:r>
        <w:rPr>
          <w:rFonts w:ascii="SimHei" w:hAnsi="SimHei" w:eastAsia="黑体"/>
          <w:szCs w:val="21"/>
        </w:rPr>
        <w:t>不能胜任工作，经培训或者调整工作岗位，仍不能胜任工作的；</w:t>
      </w:r>
    </w:p>
    <w:p>
      <w:pPr>
        <w:pStyle w:val="Normal"/>
        <w:numPr>
          <w:ilvl w:val="0"/>
          <w:numId w:val="37"/>
        </w:numPr>
        <w:tabs>
          <w:tab w:val="clear" w:pos="420"/>
          <w:tab w:val="left" w:pos="1080" w:leader="none"/>
        </w:tabs>
        <w:spacing w:lineRule="exact" w:line="360"/>
        <w:ind w:start="1080" w:hanging="720"/>
        <w:rPr>
          <w:rFonts w:ascii="仿宋_GB2312" w:hAnsi="仿宋_GB2312"/>
          <w:szCs w:val="21"/>
        </w:rPr>
      </w:pPr>
      <w:r>
        <w:rPr>
          <w:rFonts w:ascii="SimHei" w:hAnsi="SimHei" w:eastAsia="黑体"/>
          <w:szCs w:val="21"/>
        </w:rPr>
        <w:t>劳动合同订立时所依据的客观情况发生重大变化，致使劳动合同无法履行，经双方协商，未能就变更劳动合同内容达成协议的；</w:t>
      </w:r>
    </w:p>
    <w:p>
      <w:pPr>
        <w:pStyle w:val="Normal"/>
        <w:numPr>
          <w:ilvl w:val="0"/>
          <w:numId w:val="37"/>
        </w:numPr>
        <w:tabs>
          <w:tab w:val="clear" w:pos="420"/>
          <w:tab w:val="left" w:pos="1080" w:leader="none"/>
        </w:tabs>
        <w:spacing w:lineRule="exact" w:line="360"/>
        <w:ind w:start="1080" w:hanging="720"/>
        <w:rPr>
          <w:rFonts w:ascii="仿宋_GB2312" w:hAnsi="仿宋_GB2312"/>
          <w:szCs w:val="21"/>
        </w:rPr>
      </w:pPr>
      <w:r>
        <w:rPr>
          <w:rFonts w:ascii="SimHei" w:hAnsi="SimHei" w:eastAsia="黑体"/>
          <w:szCs w:val="21"/>
        </w:rPr>
        <w:t>公司依照企业破产法规定进行重整的；</w:t>
      </w:r>
    </w:p>
    <w:p>
      <w:pPr>
        <w:pStyle w:val="Normal"/>
        <w:numPr>
          <w:ilvl w:val="0"/>
          <w:numId w:val="37"/>
        </w:numPr>
        <w:tabs>
          <w:tab w:val="clear" w:pos="420"/>
          <w:tab w:val="left" w:pos="1080" w:leader="none"/>
        </w:tabs>
        <w:spacing w:lineRule="exact" w:line="360"/>
        <w:ind w:start="1080" w:hanging="720"/>
        <w:rPr>
          <w:rFonts w:ascii="仿宋_GB2312" w:hAnsi="仿宋_GB2312"/>
          <w:szCs w:val="21"/>
        </w:rPr>
      </w:pPr>
      <w:r>
        <w:rPr>
          <w:rFonts w:ascii="SimHei" w:hAnsi="SimHei" w:eastAsia="黑体"/>
          <w:szCs w:val="21"/>
        </w:rPr>
        <w:t>公司生产经营发生严重困难的；</w:t>
      </w:r>
    </w:p>
    <w:p>
      <w:pPr>
        <w:pStyle w:val="Normal"/>
        <w:numPr>
          <w:ilvl w:val="0"/>
          <w:numId w:val="37"/>
        </w:numPr>
        <w:tabs>
          <w:tab w:val="clear" w:pos="420"/>
          <w:tab w:val="left" w:pos="1080" w:leader="none"/>
        </w:tabs>
        <w:spacing w:lineRule="exact" w:line="360"/>
        <w:ind w:start="1080" w:hanging="720"/>
        <w:rPr>
          <w:rFonts w:ascii="仿宋_GB2312" w:hAnsi="仿宋_GB2312"/>
          <w:szCs w:val="21"/>
        </w:rPr>
      </w:pPr>
      <w:r>
        <w:rPr>
          <w:rFonts w:ascii="SimHei" w:hAnsi="SimHei" w:eastAsia="黑体"/>
          <w:szCs w:val="21"/>
        </w:rPr>
        <w:t>公司转产、重大技术革新或者经营方式调整，经变更劳动合同后，仍需裁减人员的；</w:t>
      </w:r>
    </w:p>
    <w:p>
      <w:pPr>
        <w:pStyle w:val="Normal"/>
        <w:numPr>
          <w:ilvl w:val="0"/>
          <w:numId w:val="37"/>
        </w:numPr>
        <w:tabs>
          <w:tab w:val="clear" w:pos="420"/>
          <w:tab w:val="left" w:pos="1080" w:leader="none"/>
        </w:tabs>
        <w:spacing w:lineRule="exact" w:line="360"/>
        <w:ind w:start="1080" w:hanging="720"/>
        <w:rPr>
          <w:rFonts w:ascii="仿宋_GB2312" w:hAnsi="仿宋_GB2312"/>
          <w:szCs w:val="21"/>
        </w:rPr>
      </w:pPr>
      <w:r>
        <w:rPr>
          <w:rFonts w:ascii="SimHei" w:hAnsi="SimHei" w:eastAsia="黑体"/>
          <w:szCs w:val="21"/>
        </w:rPr>
        <w:t>其他因劳动合同订立时所依据的客观经济情况发生重大变化，致使劳动合同无法履行的。</w:t>
      </w:r>
    </w:p>
    <w:p>
      <w:pPr>
        <w:pStyle w:val="Normal"/>
        <w:numPr>
          <w:ilvl w:val="0"/>
          <w:numId w:val="24"/>
        </w:numPr>
        <w:spacing w:lineRule="exact" w:line="360"/>
        <w:outlineLvl w:val="1"/>
        <w:rPr>
          <w:b/>
          <w:b/>
          <w:bCs/>
          <w:szCs w:val="21"/>
        </w:rPr>
      </w:pPr>
      <w:bookmarkStart w:id="41" w:name="__RefHeading___Toc216679027"/>
      <w:bookmarkEnd w:id="41"/>
      <w:r>
        <w:rPr>
          <w:rFonts w:ascii="SimHei" w:hAnsi="SimHei" w:eastAsia="黑体"/>
          <w:b/>
          <w:bCs/>
          <w:szCs w:val="21"/>
        </w:rPr>
        <w:t>不能解除劳动合同</w:t>
      </w:r>
    </w:p>
    <w:p>
      <w:pPr>
        <w:pStyle w:val="Normal"/>
        <w:numPr>
          <w:ilvl w:val="0"/>
          <w:numId w:val="26"/>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疑似职业病病人在诊断或者医学观察期间的；</w:t>
      </w:r>
    </w:p>
    <w:p>
      <w:pPr>
        <w:pStyle w:val="Normal"/>
        <w:numPr>
          <w:ilvl w:val="0"/>
          <w:numId w:val="26"/>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员工患职业病或因工负伤并被确认丧失或者部分丧失劳动能力的；</w:t>
      </w:r>
    </w:p>
    <w:p>
      <w:pPr>
        <w:pStyle w:val="Normal"/>
        <w:numPr>
          <w:ilvl w:val="0"/>
          <w:numId w:val="26"/>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患病或者非因工负伤，在规定的医疗期内的；</w:t>
      </w:r>
    </w:p>
    <w:p>
      <w:pPr>
        <w:pStyle w:val="Normal"/>
        <w:numPr>
          <w:ilvl w:val="0"/>
          <w:numId w:val="26"/>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女员工在孕期、产期、哺乳期的；</w:t>
      </w:r>
    </w:p>
    <w:p>
      <w:pPr>
        <w:pStyle w:val="Normal"/>
        <w:numPr>
          <w:ilvl w:val="0"/>
          <w:numId w:val="26"/>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在公司连续工作满十五年，且距法定退休年龄不足五年的；</w:t>
      </w:r>
    </w:p>
    <w:p>
      <w:pPr>
        <w:pStyle w:val="Normal"/>
        <w:numPr>
          <w:ilvl w:val="0"/>
          <w:numId w:val="26"/>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法律、行政法规规定的其他情形。</w:t>
      </w:r>
    </w:p>
    <w:p>
      <w:pPr>
        <w:pStyle w:val="Normal"/>
        <w:numPr>
          <w:ilvl w:val="0"/>
          <w:numId w:val="24"/>
        </w:numPr>
        <w:spacing w:lineRule="exact" w:line="360"/>
        <w:outlineLvl w:val="1"/>
        <w:rPr>
          <w:b/>
          <w:b/>
          <w:bCs/>
          <w:szCs w:val="21"/>
        </w:rPr>
      </w:pPr>
      <w:bookmarkStart w:id="42" w:name="__RefHeading___Toc216679028"/>
      <w:bookmarkEnd w:id="42"/>
      <w:r>
        <w:rPr>
          <w:rFonts w:ascii="SimHei" w:hAnsi="SimHei" w:eastAsia="黑体"/>
          <w:b/>
          <w:bCs/>
          <w:szCs w:val="21"/>
        </w:rPr>
        <w:t>员工培训与拓展</w:t>
      </w:r>
    </w:p>
    <w:p>
      <w:pPr>
        <w:pStyle w:val="Normal"/>
        <w:spacing w:lineRule="exact" w:line="360"/>
        <w:ind w:firstLine="420"/>
        <w:rPr>
          <w:rFonts w:ascii="宋体" w:hAnsi="宋体" w:cs="宋体"/>
          <w:szCs w:val="21"/>
        </w:rPr>
      </w:pPr>
      <w:r>
        <w:rPr>
          <w:rFonts w:ascii="SimHei" w:hAnsi="SimHei" w:cs="宋体" w:eastAsia="黑体"/>
          <w:szCs w:val="21"/>
        </w:rPr>
        <w:t>公司视诸位员工为公司最重要资源，为使员工提高个人技能，公司将提供多样培训课程，锻炼工作能力与提高工作效率，以配合公司业务的发展。</w:t>
      </w:r>
    </w:p>
    <w:p>
      <w:pPr>
        <w:pStyle w:val="Normal"/>
        <w:numPr>
          <w:ilvl w:val="0"/>
          <w:numId w:val="19"/>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凡新入职员工，人事负责人与该部门经理合作开展新员工的培训课程。人事负责人负责指导公司人事、行政、基本运作等各项规定、制度；部门经理负责新员工的岗位职责、技能及作业流程培训。</w:t>
      </w:r>
    </w:p>
    <w:p>
      <w:pPr>
        <w:pStyle w:val="Normal"/>
        <w:numPr>
          <w:ilvl w:val="0"/>
          <w:numId w:val="19"/>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员工如受公司委外学习培训，并签订《外培人员服务协议》的，培训完成后须为公司服务至该协议服务工作期限届满。如期限未满辞职者，需赔偿公司的培训费用及经济损失；</w:t>
      </w:r>
    </w:p>
    <w:p>
      <w:pPr>
        <w:pStyle w:val="Normal"/>
        <w:numPr>
          <w:ilvl w:val="0"/>
          <w:numId w:val="19"/>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公司将根据公司业务需求，定期为员工设计多种形式的培训项目；</w:t>
      </w:r>
    </w:p>
    <w:p>
      <w:pPr>
        <w:pStyle w:val="Normal"/>
        <w:numPr>
          <w:ilvl w:val="0"/>
          <w:numId w:val="19"/>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公司鼓励员工积极向部门经理或人事负责人反映自身的工作进展情况，以便根据具体问题制定适宜的培训方案。</w:t>
      </w:r>
    </w:p>
    <w:p>
      <w:pPr>
        <w:pStyle w:val="Normal"/>
        <w:numPr>
          <w:ilvl w:val="0"/>
          <w:numId w:val="24"/>
        </w:numPr>
        <w:spacing w:lineRule="exact" w:line="360"/>
        <w:outlineLvl w:val="1"/>
        <w:rPr>
          <w:b/>
          <w:b/>
          <w:bCs/>
          <w:szCs w:val="21"/>
        </w:rPr>
      </w:pPr>
      <w:bookmarkStart w:id="43" w:name="__RefHeading___Toc216679029"/>
      <w:bookmarkEnd w:id="43"/>
      <w:r>
        <w:rPr>
          <w:rFonts w:ascii="SimHei" w:hAnsi="SimHei" w:eastAsia="黑体"/>
          <w:b/>
          <w:bCs/>
          <w:szCs w:val="21"/>
        </w:rPr>
        <w:t>绩效考核评估</w:t>
      </w:r>
    </w:p>
    <w:p>
      <w:pPr>
        <w:pStyle w:val="Normal"/>
        <w:spacing w:lineRule="exact" w:line="360"/>
        <w:ind w:firstLine="420"/>
        <w:rPr>
          <w:rFonts w:ascii="宋体" w:hAnsi="宋体" w:cs="宋体"/>
          <w:szCs w:val="21"/>
        </w:rPr>
      </w:pPr>
      <w:r>
        <w:rPr>
          <w:rFonts w:ascii="SimHei" w:hAnsi="SimHei" w:cs="宋体" w:eastAsia="黑体"/>
          <w:szCs w:val="21"/>
        </w:rPr>
        <w:t>公司采取激励性考评制度，旨在帮助员工明确了解自身现时的工作状态与进展，总结经验，弥补不足，挑战自我，追求完善。</w:t>
      </w:r>
    </w:p>
    <w:p>
      <w:pPr>
        <w:pStyle w:val="Normal"/>
        <w:spacing w:lineRule="exact" w:line="360"/>
        <w:ind w:firstLine="420"/>
        <w:rPr>
          <w:rFonts w:ascii="宋体" w:hAnsi="宋体" w:cs="宋体"/>
          <w:color w:val="000000"/>
          <w:szCs w:val="21"/>
        </w:rPr>
      </w:pPr>
      <w:r>
        <w:rPr>
          <w:rFonts w:ascii="SimHei" w:hAnsi="SimHei" w:cs="宋体" w:eastAsia="黑体"/>
          <w:color w:val="000000"/>
          <w:szCs w:val="21"/>
        </w:rPr>
        <w:t>绩效考核评估包括：一般员工的年度考核、销售人员的月度考核。</w:t>
      </w:r>
    </w:p>
    <w:p>
      <w:pPr>
        <w:pStyle w:val="Normal"/>
        <w:spacing w:lineRule="exact" w:line="360"/>
        <w:ind w:firstLine="420"/>
        <w:rPr>
          <w:rFonts w:ascii="宋体" w:hAnsi="宋体" w:cs="宋体"/>
          <w:szCs w:val="21"/>
        </w:rPr>
      </w:pPr>
      <w:r>
        <w:rPr>
          <w:rFonts w:ascii="SimHei" w:hAnsi="SimHei" w:cs="宋体" w:eastAsia="黑体"/>
          <w:szCs w:val="21"/>
        </w:rPr>
        <w:t>为使评估考核制度达到应有的效果，员工能够清晰地了解自己的长处与不足、明晰自身工作盲区、不断进步，考核过程将严格按照制定的指标与标准进行。以求考核结果准确、诚挚地反映员工的真实情况，以便于部门经理及人事负责人根据考核情况制订适宜的技能强化与培训计划。</w:t>
      </w:r>
      <w:r>
        <w:rPr>
          <w:rFonts w:ascii="SimHei" w:hAnsi="SimHei" w:cs="宋体" w:eastAsia="黑体"/>
          <w:color w:val="000000"/>
          <w:szCs w:val="21"/>
        </w:rPr>
        <w:t>年终考核结果将与员工年终奖金挂钩。</w:t>
      </w:r>
    </w:p>
    <w:p>
      <w:pPr>
        <w:pStyle w:val="Normal"/>
        <w:spacing w:lineRule="exact" w:line="360"/>
        <w:ind w:firstLine="420"/>
        <w:rPr>
          <w:rFonts w:ascii="宋体" w:hAnsi="宋体" w:cs="宋体"/>
          <w:szCs w:val="21"/>
        </w:rPr>
      </w:pPr>
      <w:r>
        <w:rPr>
          <w:rFonts w:cs="宋体" w:ascii="SimHei" w:hAnsi="SimHei" w:eastAsia="黑体"/>
          <w:szCs w:val="21"/>
        </w:rPr>
      </w:r>
    </w:p>
    <w:p>
      <w:pPr>
        <w:pStyle w:val="Normal"/>
        <w:numPr>
          <w:ilvl w:val="0"/>
          <w:numId w:val="12"/>
        </w:numPr>
        <w:jc w:val="center"/>
        <w:outlineLvl w:val="0"/>
        <w:rPr>
          <w:rFonts w:eastAsia="黑体"/>
          <w:sz w:val="30"/>
        </w:rPr>
      </w:pPr>
      <w:bookmarkStart w:id="44" w:name="__RefHeading___Toc216679030"/>
      <w:bookmarkEnd w:id="44"/>
      <w:r>
        <w:rPr>
          <w:rFonts w:eastAsia="黑体" w:ascii="SimHei" w:hAnsi="SimHei"/>
          <w:sz w:val="30"/>
        </w:rPr>
        <w:t>医疗安全卫生事项</w:t>
      </w:r>
    </w:p>
    <w:p>
      <w:pPr>
        <w:pStyle w:val="Normal"/>
        <w:numPr>
          <w:ilvl w:val="0"/>
          <w:numId w:val="24"/>
        </w:numPr>
        <w:spacing w:lineRule="exact" w:line="360"/>
        <w:outlineLvl w:val="1"/>
        <w:rPr>
          <w:b/>
          <w:b/>
          <w:bCs/>
          <w:szCs w:val="21"/>
        </w:rPr>
      </w:pPr>
      <w:bookmarkStart w:id="45" w:name="__RefHeading___Toc216679031"/>
      <w:bookmarkEnd w:id="45"/>
      <w:r>
        <w:rPr>
          <w:rFonts w:ascii="SimHei" w:hAnsi="SimHei" w:eastAsia="黑体"/>
          <w:b/>
          <w:bCs/>
          <w:szCs w:val="21"/>
        </w:rPr>
        <w:t>医疗</w:t>
      </w:r>
    </w:p>
    <w:p>
      <w:pPr>
        <w:pStyle w:val="Normal"/>
        <w:spacing w:lineRule="exact" w:line="360"/>
        <w:ind w:firstLine="420"/>
        <w:rPr>
          <w:rFonts w:ascii="仿宋_GB2312" w:hAnsi="仿宋_GB2312"/>
          <w:szCs w:val="21"/>
        </w:rPr>
      </w:pPr>
      <w:r>
        <w:rPr>
          <w:rFonts w:ascii="SimHei" w:hAnsi="SimHei" w:eastAsia="黑体"/>
          <w:szCs w:val="21"/>
        </w:rPr>
        <w:t>医疗及医疗费的处理按公司的相关规定办理。</w:t>
      </w:r>
    </w:p>
    <w:p>
      <w:pPr>
        <w:pStyle w:val="Normal"/>
        <w:numPr>
          <w:ilvl w:val="0"/>
          <w:numId w:val="24"/>
        </w:numPr>
        <w:spacing w:lineRule="exact" w:line="360"/>
        <w:outlineLvl w:val="1"/>
        <w:rPr>
          <w:b/>
          <w:b/>
          <w:bCs/>
          <w:szCs w:val="21"/>
        </w:rPr>
      </w:pPr>
      <w:bookmarkStart w:id="46" w:name="__RefHeading___Toc216679032"/>
      <w:bookmarkEnd w:id="46"/>
      <w:r>
        <w:rPr>
          <w:rFonts w:ascii="SimHei" w:hAnsi="SimHei" w:eastAsia="黑体"/>
          <w:b/>
          <w:bCs/>
          <w:szCs w:val="21"/>
        </w:rPr>
        <w:t>安全、防火</w:t>
      </w:r>
    </w:p>
    <w:p>
      <w:pPr>
        <w:pStyle w:val="Normal"/>
        <w:spacing w:lineRule="exact" w:line="360"/>
        <w:ind w:firstLine="420"/>
        <w:rPr>
          <w:rFonts w:ascii="仿宋_GB2312" w:hAnsi="仿宋_GB2312"/>
          <w:szCs w:val="21"/>
        </w:rPr>
      </w:pPr>
      <w:r>
        <w:rPr>
          <w:rFonts w:ascii="SimHei" w:hAnsi="SimHei" w:eastAsia="黑体"/>
          <w:szCs w:val="21"/>
        </w:rPr>
        <w:t>员工应遵守有关安全、防火的规则，听从安全负责人的指挥，定期接受有关防火安全的培训和演练；若发现火灾或其他灾害，预感到有危险情况时，员工应主动采取防范和抢救措施，同时立即报告有关负责人。</w:t>
      </w:r>
    </w:p>
    <w:p>
      <w:pPr>
        <w:pStyle w:val="Normal"/>
        <w:numPr>
          <w:ilvl w:val="0"/>
          <w:numId w:val="27"/>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工作安全：</w:t>
      </w:r>
    </w:p>
    <w:p>
      <w:pPr>
        <w:pStyle w:val="Normal"/>
        <w:numPr>
          <w:ilvl w:val="0"/>
          <w:numId w:val="47"/>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全体员工须着重注意办公场所作业与个人人身安全。如遇意外情况，应以保证公司财产及人员生命安全为基本原则，采取适宜、灵活的应对措施，并迅速报告上级及相关行政安全保障机构；</w:t>
      </w:r>
    </w:p>
    <w:p>
      <w:pPr>
        <w:pStyle w:val="Normal"/>
        <w:numPr>
          <w:ilvl w:val="0"/>
          <w:numId w:val="47"/>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保持规范作业，杜绝隐患，最大限度地减少各类作业危险。加班人员尤要注意，必须在关闭门窗、电源、及各类用电设备后方可离去。</w:t>
      </w:r>
    </w:p>
    <w:p>
      <w:pPr>
        <w:pStyle w:val="Normal"/>
        <w:numPr>
          <w:ilvl w:val="0"/>
          <w:numId w:val="27"/>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防火措施：</w:t>
      </w:r>
    </w:p>
    <w:p>
      <w:pPr>
        <w:pStyle w:val="Normal"/>
        <w:numPr>
          <w:ilvl w:val="0"/>
          <w:numId w:val="39"/>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严密注意办公用及生产电路的负荷问题；</w:t>
      </w:r>
    </w:p>
    <w:p>
      <w:pPr>
        <w:pStyle w:val="Normal"/>
        <w:numPr>
          <w:ilvl w:val="0"/>
          <w:numId w:val="39"/>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正确使用及维护本部门的各类运作工具和设备；</w:t>
      </w:r>
    </w:p>
    <w:p>
      <w:pPr>
        <w:pStyle w:val="Normal"/>
        <w:numPr>
          <w:ilvl w:val="0"/>
          <w:numId w:val="39"/>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对各类危险易燃物品进行分类管理及定点存放；</w:t>
      </w:r>
    </w:p>
    <w:p>
      <w:pPr>
        <w:pStyle w:val="Normal"/>
        <w:numPr>
          <w:ilvl w:val="0"/>
          <w:numId w:val="39"/>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清楚了解灭火器与消防栓的设置位置；</w:t>
      </w:r>
    </w:p>
    <w:p>
      <w:pPr>
        <w:pStyle w:val="Normal"/>
        <w:numPr>
          <w:ilvl w:val="0"/>
          <w:numId w:val="39"/>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清楚了解救生安全通道位置。</w:t>
      </w:r>
    </w:p>
    <w:p>
      <w:pPr>
        <w:pStyle w:val="Normal"/>
        <w:numPr>
          <w:ilvl w:val="0"/>
          <w:numId w:val="27"/>
        </w:numPr>
        <w:tabs>
          <w:tab w:val="clear" w:pos="420"/>
          <w:tab w:val="left" w:pos="780" w:leader="none"/>
          <w:tab w:val="left" w:pos="1080" w:leader="none"/>
        </w:tabs>
        <w:spacing w:lineRule="exact" w:line="360"/>
        <w:rPr>
          <w:rFonts w:ascii="宋体" w:hAnsi="宋体" w:cs="宋体"/>
          <w:szCs w:val="21"/>
        </w:rPr>
      </w:pPr>
      <w:r>
        <w:rPr>
          <w:rFonts w:ascii="SimHei" w:hAnsi="SimHei" w:cs="宋体" w:eastAsia="黑体"/>
          <w:szCs w:val="21"/>
        </w:rPr>
        <w:t>火警处理：</w:t>
      </w:r>
    </w:p>
    <w:p>
      <w:pPr>
        <w:pStyle w:val="Normal"/>
        <w:numPr>
          <w:ilvl w:val="0"/>
          <w:numId w:val="4"/>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一旦火灾警报发生，应立刻通知所在园区的管理处、消防中心及公司管理人员，明确火灾地点及程度；</w:t>
      </w:r>
    </w:p>
    <w:p>
      <w:pPr>
        <w:pStyle w:val="Normal"/>
        <w:numPr>
          <w:ilvl w:val="0"/>
          <w:numId w:val="4"/>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员工合力利用就近灭火设备进行扑救；</w:t>
      </w:r>
    </w:p>
    <w:p>
      <w:pPr>
        <w:pStyle w:val="Normal"/>
        <w:numPr>
          <w:ilvl w:val="0"/>
          <w:numId w:val="4"/>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切勿将清水或泡沫灭火器使用在因漏电而导致的火警；</w:t>
      </w:r>
    </w:p>
    <w:p>
      <w:pPr>
        <w:pStyle w:val="Normal"/>
        <w:numPr>
          <w:ilvl w:val="0"/>
          <w:numId w:val="4"/>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一旦火灾警报发生，应立即切断公司总电源；</w:t>
      </w:r>
    </w:p>
    <w:p>
      <w:pPr>
        <w:pStyle w:val="Normal"/>
        <w:numPr>
          <w:ilvl w:val="0"/>
          <w:numId w:val="4"/>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如火势蔓延，安全负责人须指挥引导员工从救生安全通道撤离火警现场；</w:t>
      </w:r>
    </w:p>
    <w:p>
      <w:pPr>
        <w:pStyle w:val="Normal"/>
        <w:numPr>
          <w:ilvl w:val="0"/>
          <w:numId w:val="4"/>
        </w:numPr>
        <w:tabs>
          <w:tab w:val="clear" w:pos="420"/>
          <w:tab w:val="left" w:pos="1080" w:leader="none"/>
        </w:tabs>
        <w:spacing w:lineRule="exact" w:line="360"/>
        <w:ind w:start="1080" w:hanging="540"/>
        <w:rPr>
          <w:rFonts w:ascii="仿宋_GB2312" w:hAnsi="仿宋_GB2312"/>
          <w:szCs w:val="21"/>
        </w:rPr>
      </w:pPr>
      <w:r>
        <w:rPr>
          <w:rFonts w:ascii="SimHei" w:hAnsi="SimHei" w:eastAsia="黑体"/>
          <w:szCs w:val="21"/>
        </w:rPr>
        <w:t>撤离火警现场时，切勿使用电梯。</w:t>
      </w:r>
    </w:p>
    <w:p>
      <w:pPr>
        <w:pStyle w:val="Normal"/>
        <w:tabs>
          <w:tab w:val="clear" w:pos="420"/>
          <w:tab w:val="left" w:pos="1080" w:leader="none"/>
        </w:tabs>
        <w:spacing w:lineRule="exact" w:line="360"/>
        <w:ind w:firstLine="735"/>
        <w:rPr>
          <w:rFonts w:ascii="仿宋_GB2312" w:hAnsi="仿宋_GB2312"/>
          <w:szCs w:val="21"/>
        </w:rPr>
      </w:pPr>
      <w:r>
        <w:rPr>
          <w:rFonts w:ascii="SimHei" w:hAnsi="SimHei" w:eastAsia="黑体"/>
          <w:szCs w:val="21"/>
        </w:rPr>
        <w:t>注：火灾引起的浓烟足以致命，须使用湿毛巾遮掩口鼻，身体尽量贴近地面。</w:t>
      </w:r>
    </w:p>
    <w:p>
      <w:pPr>
        <w:pStyle w:val="Normal"/>
        <w:numPr>
          <w:ilvl w:val="0"/>
          <w:numId w:val="24"/>
        </w:numPr>
        <w:spacing w:lineRule="exact" w:line="360"/>
        <w:outlineLvl w:val="1"/>
        <w:rPr>
          <w:b/>
          <w:b/>
          <w:bCs/>
          <w:szCs w:val="21"/>
        </w:rPr>
      </w:pPr>
      <w:bookmarkStart w:id="47" w:name="__RefHeading___Toc216679033"/>
      <w:bookmarkEnd w:id="47"/>
      <w:r>
        <w:rPr>
          <w:rFonts w:ascii="SimHei" w:hAnsi="SimHei" w:eastAsia="黑体"/>
          <w:b/>
          <w:bCs/>
          <w:szCs w:val="21"/>
        </w:rPr>
        <w:t>健康检查</w:t>
      </w:r>
    </w:p>
    <w:p>
      <w:pPr>
        <w:pStyle w:val="Normal"/>
        <w:numPr>
          <w:ilvl w:val="0"/>
          <w:numId w:val="11"/>
        </w:numPr>
        <w:spacing w:lineRule="exact" w:line="360"/>
        <w:rPr>
          <w:rFonts w:ascii="仿宋_GB2312" w:hAnsi="仿宋_GB2312"/>
          <w:szCs w:val="21"/>
        </w:rPr>
      </w:pPr>
      <w:r>
        <w:rPr>
          <w:rFonts w:ascii="SimHei" w:hAnsi="SimHei" w:eastAsia="黑体"/>
          <w:szCs w:val="21"/>
        </w:rPr>
        <w:t>为保证员工健康，公司将每年一次安排员工进行身体检查；</w:t>
      </w:r>
    </w:p>
    <w:p>
      <w:pPr>
        <w:pStyle w:val="Normal"/>
        <w:numPr>
          <w:ilvl w:val="0"/>
          <w:numId w:val="11"/>
        </w:numPr>
        <w:spacing w:lineRule="exact" w:line="360"/>
        <w:rPr>
          <w:rFonts w:ascii="仿宋_GB2312" w:hAnsi="仿宋_GB2312"/>
          <w:szCs w:val="21"/>
        </w:rPr>
      </w:pPr>
      <w:r>
        <w:rPr>
          <w:rFonts w:ascii="SimHei" w:hAnsi="SimHei" w:eastAsia="黑体"/>
          <w:szCs w:val="21"/>
        </w:rPr>
        <w:t>身体检查后如发现员工有不适合本职工作的，应采取限制工作、调换岗位、病休、停薪留职、劝退等措施，此种情况下，员工应主动配合。</w:t>
      </w:r>
    </w:p>
    <w:p>
      <w:pPr>
        <w:pStyle w:val="Normal"/>
        <w:numPr>
          <w:ilvl w:val="0"/>
          <w:numId w:val="24"/>
        </w:numPr>
        <w:spacing w:lineRule="exact" w:line="360"/>
        <w:outlineLvl w:val="1"/>
        <w:rPr>
          <w:b/>
          <w:b/>
          <w:bCs/>
          <w:szCs w:val="21"/>
        </w:rPr>
      </w:pPr>
      <w:bookmarkStart w:id="48" w:name="__RefHeading___Toc216679034"/>
      <w:bookmarkEnd w:id="48"/>
      <w:r>
        <w:rPr>
          <w:rFonts w:ascii="SimHei" w:hAnsi="SimHei" w:eastAsia="黑体"/>
          <w:b/>
          <w:bCs/>
          <w:szCs w:val="21"/>
        </w:rPr>
        <w:t>传染病申报</w:t>
      </w:r>
    </w:p>
    <w:p>
      <w:pPr>
        <w:pStyle w:val="Normal"/>
        <w:spacing w:lineRule="exact" w:line="360"/>
        <w:ind w:firstLine="420"/>
        <w:rPr>
          <w:rFonts w:ascii="宋体" w:hAnsi="宋体"/>
          <w:szCs w:val="21"/>
        </w:rPr>
      </w:pPr>
      <w:r>
        <w:rPr>
          <w:rFonts w:ascii="SimHei" w:hAnsi="SimHei" w:eastAsia="黑体"/>
          <w:szCs w:val="21"/>
        </w:rPr>
        <w:t>员工或与员工共同生活的人患有传染病时，员工有责任立即通过所属领导向有关部门报告。</w:t>
      </w:r>
    </w:p>
    <w:p>
      <w:pPr>
        <w:pStyle w:val="Normal"/>
        <w:numPr>
          <w:ilvl w:val="0"/>
          <w:numId w:val="24"/>
        </w:numPr>
        <w:spacing w:lineRule="exact" w:line="360"/>
        <w:outlineLvl w:val="1"/>
        <w:rPr>
          <w:b/>
          <w:b/>
          <w:bCs/>
          <w:szCs w:val="21"/>
        </w:rPr>
      </w:pPr>
      <w:bookmarkStart w:id="49" w:name="__RefHeading___Toc216679035"/>
      <w:bookmarkEnd w:id="49"/>
      <w:r>
        <w:rPr>
          <w:rFonts w:ascii="SimHei" w:hAnsi="SimHei" w:eastAsia="黑体"/>
          <w:b/>
          <w:bCs/>
          <w:szCs w:val="21"/>
        </w:rPr>
        <w:t>公共卫生</w:t>
      </w:r>
    </w:p>
    <w:p>
      <w:pPr>
        <w:pStyle w:val="Normal"/>
        <w:spacing w:lineRule="exact" w:line="360"/>
        <w:ind w:firstLine="420"/>
        <w:rPr>
          <w:rFonts w:ascii="仿宋_GB2312" w:hAnsi="仿宋_GB2312"/>
          <w:szCs w:val="21"/>
        </w:rPr>
      </w:pPr>
      <w:r>
        <w:rPr>
          <w:rFonts w:ascii="SimHei" w:hAnsi="SimHei" w:eastAsia="黑体"/>
          <w:szCs w:val="21"/>
        </w:rPr>
        <w:t>员工要注意养成良好的卫生习惯，自觉维护公共卫生，禁止随地吐痰、吸烟、乱扔废弃物。</w:t>
      </w:r>
    </w:p>
    <w:p>
      <w:pPr>
        <w:pStyle w:val="Normal"/>
        <w:spacing w:lineRule="exact" w:line="360"/>
        <w:ind w:firstLine="420"/>
        <w:rPr>
          <w:rFonts w:ascii="仿宋_GB2312" w:hAnsi="仿宋_GB2312"/>
          <w:szCs w:val="21"/>
        </w:rPr>
      </w:pPr>
      <w:r>
        <w:rPr>
          <w:rFonts w:ascii="SimHei" w:hAnsi="SimHei" w:eastAsia="黑体"/>
          <w:szCs w:val="21"/>
        </w:rPr>
      </w:r>
    </w:p>
    <w:p>
      <w:pPr>
        <w:pStyle w:val="Normal"/>
        <w:numPr>
          <w:ilvl w:val="0"/>
          <w:numId w:val="12"/>
        </w:numPr>
        <w:jc w:val="center"/>
        <w:outlineLvl w:val="0"/>
        <w:rPr>
          <w:rFonts w:eastAsia="黑体"/>
          <w:sz w:val="30"/>
        </w:rPr>
      </w:pPr>
      <w:bookmarkStart w:id="50" w:name="__RefHeading___Toc216679036"/>
      <w:bookmarkEnd w:id="50"/>
      <w:r>
        <w:rPr>
          <w:rFonts w:eastAsia="黑体" w:ascii="SimHei" w:hAnsi="SimHei"/>
          <w:sz w:val="30"/>
        </w:rPr>
        <w:t>附则</w:t>
      </w:r>
    </w:p>
    <w:p>
      <w:pPr>
        <w:pStyle w:val="Normal"/>
        <w:numPr>
          <w:ilvl w:val="0"/>
          <w:numId w:val="30"/>
        </w:numPr>
        <w:spacing w:lineRule="exact" w:line="360"/>
        <w:ind w:start="777" w:hanging="357"/>
        <w:rPr>
          <w:rFonts w:ascii="宋体" w:hAnsi="宋体" w:cs="宋体"/>
          <w:szCs w:val="21"/>
        </w:rPr>
      </w:pPr>
      <w:r>
        <w:rPr>
          <w:rFonts w:ascii="SimHei" w:hAnsi="SimHei" w:cs="宋体" w:eastAsia="黑体"/>
          <w:szCs w:val="21"/>
        </w:rPr>
        <w:t>未列入本手册的公司规定与本手册的内容相抵触时，以本手册为准。本手册的内容与国家、省、市的劳动保障政策有抵触的，应按国家、省、市的劳动保障政策执行。未涵盖之劳动保障事项，按照国家、省、市有关法律、法规、行政规章及规范性文件执行；</w:t>
      </w:r>
    </w:p>
    <w:p>
      <w:pPr>
        <w:pStyle w:val="Normal"/>
        <w:numPr>
          <w:ilvl w:val="0"/>
          <w:numId w:val="30"/>
        </w:numPr>
        <w:spacing w:lineRule="exact" w:line="360"/>
        <w:ind w:start="777" w:hanging="357"/>
        <w:rPr>
          <w:rFonts w:ascii="宋体" w:hAnsi="宋体" w:cs="宋体"/>
          <w:szCs w:val="21"/>
        </w:rPr>
      </w:pPr>
      <w:r>
        <w:rPr>
          <w:rFonts w:ascii="SimHei" w:hAnsi="SimHei" w:cs="宋体" w:eastAsia="黑体"/>
          <w:szCs w:val="21"/>
        </w:rPr>
        <w:t>本手册之未尽事宜，由公司另行制定相关规定；</w:t>
      </w:r>
    </w:p>
    <w:p>
      <w:pPr>
        <w:pStyle w:val="TextBodyIndent"/>
        <w:numPr>
          <w:ilvl w:val="0"/>
          <w:numId w:val="30"/>
        </w:numPr>
        <w:spacing w:lineRule="exact" w:line="360"/>
        <w:ind w:start="777" w:hanging="357"/>
        <w:rPr>
          <w:rFonts w:ascii="宋体" w:hAnsi="宋体" w:cs="宋体"/>
          <w:szCs w:val="21"/>
        </w:rPr>
      </w:pPr>
      <w:r>
        <w:rPr>
          <w:rFonts w:ascii="SimHei" w:hAnsi="SimHei" w:cs="宋体" w:eastAsia="黑体"/>
          <w:szCs w:val="21"/>
        </w:rPr>
        <w:t>本手册的制定、修改、增补由公司根据具体情况而定；</w:t>
      </w:r>
    </w:p>
    <w:p>
      <w:pPr>
        <w:pStyle w:val="Normal"/>
        <w:numPr>
          <w:ilvl w:val="0"/>
          <w:numId w:val="30"/>
        </w:numPr>
        <w:spacing w:lineRule="exact" w:line="360"/>
        <w:ind w:start="777" w:hanging="357"/>
        <w:rPr>
          <w:rFonts w:ascii="宋体" w:hAnsi="宋体" w:cs="宋体"/>
          <w:szCs w:val="21"/>
        </w:rPr>
      </w:pPr>
      <w:r>
        <w:rPr>
          <w:rFonts w:ascii="SimHei" w:hAnsi="SimHei" w:cs="宋体" w:eastAsia="黑体"/>
          <w:szCs w:val="21"/>
        </w:rPr>
        <w:t>公司拥有对本手册的解释权；</w:t>
      </w:r>
    </w:p>
    <w:p>
      <w:pPr>
        <w:pStyle w:val="Normal"/>
        <w:numPr>
          <w:ilvl w:val="0"/>
          <w:numId w:val="30"/>
        </w:numPr>
        <w:spacing w:lineRule="exact" w:line="360"/>
        <w:ind w:start="777" w:hanging="357"/>
        <w:rPr>
          <w:szCs w:val="21"/>
        </w:rPr>
      </w:pPr>
      <w:r>
        <w:rPr>
          <w:rFonts w:ascii="SimHei" w:hAnsi="SimHei" w:eastAsia="黑体"/>
          <w:szCs w:val="21"/>
        </w:rPr>
        <w:t>一切例外经由公司总经理批准；</w:t>
      </w:r>
    </w:p>
    <w:p>
      <w:pPr>
        <w:pStyle w:val="Normal"/>
        <w:numPr>
          <w:ilvl w:val="0"/>
          <w:numId w:val="30"/>
        </w:numPr>
        <w:spacing w:lineRule="exact" w:line="360"/>
        <w:ind w:start="777" w:hanging="357"/>
        <w:rPr/>
      </w:pPr>
      <w:r>
        <w:rPr>
          <w:rFonts w:ascii="SimHei" w:hAnsi="SimHei" w:cs="宋体" w:eastAsia="黑体"/>
          <w:szCs w:val="21"/>
        </w:rPr>
        <w:t>本手册自</w:t>
      </w:r>
      <w:r>
        <w:rPr>
          <w:rFonts w:cs="宋体" w:ascii="SimHei" w:hAnsi="SimHei" w:eastAsia="黑体"/>
          <w:color w:val="000000"/>
          <w:szCs w:val="21"/>
        </w:rPr>
        <w:t>2012</w:t>
      </w:r>
      <w:r>
        <w:rPr>
          <w:rFonts w:ascii="SimHei" w:hAnsi="SimHei" w:cs="宋体" w:eastAsia="黑体"/>
          <w:color w:val="000000"/>
          <w:szCs w:val="21"/>
        </w:rPr>
        <w:t>年</w:t>
      </w:r>
      <w:r>
        <w:rPr>
          <w:rFonts w:cs="宋体" w:ascii="SimHei" w:hAnsi="SimHei" w:eastAsia="黑体"/>
          <w:color w:val="000000"/>
          <w:szCs w:val="21"/>
        </w:rPr>
        <w:t>8</w:t>
      </w:r>
      <w:r>
        <w:rPr>
          <w:rFonts w:ascii="SimHei" w:hAnsi="SimHei" w:cs="宋体" w:eastAsia="黑体"/>
          <w:color w:val="000000"/>
          <w:szCs w:val="21"/>
        </w:rPr>
        <w:t>月</w:t>
      </w:r>
      <w:r>
        <w:rPr>
          <w:rFonts w:cs="宋体" w:ascii="SimHei" w:hAnsi="SimHei" w:eastAsia="黑体"/>
          <w:color w:val="000000"/>
          <w:szCs w:val="21"/>
        </w:rPr>
        <w:t>1</w:t>
      </w:r>
      <w:r>
        <w:rPr>
          <w:rFonts w:ascii="SimHei" w:hAnsi="SimHei" w:cs="宋体" w:eastAsia="黑体"/>
          <w:color w:val="000000"/>
          <w:szCs w:val="21"/>
        </w:rPr>
        <w:t>日</w:t>
      </w:r>
      <w:r>
        <w:rPr>
          <w:rFonts w:ascii="SimHei" w:hAnsi="SimHei" w:cs="宋体" w:eastAsia="黑体"/>
          <w:szCs w:val="21"/>
        </w:rPr>
        <w:t>起执行。</w:t>
      </w:r>
    </w:p>
    <w:sectPr>
      <w:headerReference w:type="default" r:id="rId3"/>
      <w:footerReference w:type="default" r:id="rId4"/>
      <w:type w:val="nextPage"/>
      <w:pgSz w:w="11906" w:h="16838"/>
      <w:pgMar w:left="1701" w:right="1134" w:header="454" w:top="1134" w:footer="567"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仿宋_GB2312">
    <w:charset w:val="86"/>
    <w:family w:val="modern"/>
    <w:pitch w:val="default"/>
  </w:font>
  <w:font w:name="宋体">
    <w:charset w:val="86"/>
    <w:family w:val="auto"/>
    <w:pitch w:val="default"/>
  </w:font>
  <w:font w:name="Wingdings">
    <w:charset w:val="02"/>
    <w:family w:val="auto"/>
    <w:pitch w:val="default"/>
  </w:font>
  <w:font w:name="Liberation Sans">
    <w:altName w:val="Arial"/>
    <w:charset w:val="01" w:characterSet="utf-8"/>
    <w:family w:val="swiss"/>
    <w:pitch w:val="variable"/>
  </w:font>
  <w:font w:name="幼圆">
    <w:altName w:val="宋体"/>
    <w:charset w:val="86"/>
    <w:family w:val="modern"/>
    <w:pitch w:val="default"/>
  </w:font>
  <w:font w:name="黑体">
    <w:charset w:val="86"/>
    <w:family w:val="auto"/>
    <w:pitch w:val="default"/>
  </w:font>
  <w:font w:name="楷体_GB2312">
    <w:charset w:val="86"/>
    <w:family w:val="modern"/>
    <w:pitch w:val="default"/>
  </w:font>
  <w:font w:name="隶书">
    <w:altName w:val="微软雅黑"/>
    <w:charset w:val="86"/>
    <w:family w:val="modern"/>
    <w:pitch w:val="default"/>
  </w:font>
  <w:font w:name="Vineta BT">
    <w:altName w:val="Courier New"/>
    <w:charset w:val="00" w:characterSet="windows-1252"/>
    <w:family w:val="decorative"/>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第</w:t>
    </w:r>
    <w:r>
      <w:rPr>
        <w:rFonts w:eastAsia="Times New Roman"/>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17</w:t>
    </w:r>
    <w:r>
      <w:rPr>
        <w:kern w:val="0"/>
        <w:szCs w:val="21"/>
      </w:rPr>
      <w:fldChar w:fldCharType="end"/>
    </w:r>
    <w:r>
      <w:rPr>
        <w:rFonts w:eastAsia="Times New Roman"/>
        <w:kern w:val="0"/>
        <w:szCs w:val="21"/>
      </w:rPr>
      <w:t xml:space="preserve"> </w:t>
    </w:r>
    <w:r>
      <w:rPr>
        <w:kern w:val="0"/>
        <w:szCs w:val="21"/>
      </w:rPr>
      <w:t>页</w:t>
    </w:r>
    <w:r>
      <w:rPr>
        <w:rFonts w:eastAsia="Times New Roman"/>
        <w:kern w:val="0"/>
        <w:szCs w:val="21"/>
      </w:rPr>
      <w:t xml:space="preserve"> </w:t>
    </w:r>
    <w:r>
      <w:rPr>
        <w:kern w:val="0"/>
        <w:szCs w:val="21"/>
      </w:rPr>
      <w:t>共</w:t>
    </w:r>
    <w:r>
      <w:rPr>
        <w:rFonts w:eastAsia="Times New Roman"/>
        <w:kern w:val="0"/>
        <w:szCs w:val="21"/>
      </w:rPr>
      <w:t xml:space="preserve"> </w:t>
    </w:r>
    <w:r>
      <w:rPr>
        <w:kern w:val="0"/>
        <w:szCs w:val="21"/>
      </w:rPr>
      <w:fldChar w:fldCharType="begin"/>
    </w:r>
    <w:r>
      <w:rPr>
        <w:kern w:val="0"/>
        <w:szCs w:val="21"/>
      </w:rPr>
      <w:instrText> NUMPAGES \* ARABIC </w:instrText>
    </w:r>
    <w:r>
      <w:rPr>
        <w:kern w:val="0"/>
        <w:szCs w:val="21"/>
      </w:rPr>
      <w:fldChar w:fldCharType="separate"/>
    </w:r>
    <w:r>
      <w:rPr>
        <w:kern w:val="0"/>
        <w:szCs w:val="21"/>
      </w:rPr>
      <w:t>17</w:t>
    </w:r>
    <w:r>
      <w:rPr>
        <w:kern w:val="0"/>
        <w:szCs w:val="21"/>
      </w:rPr>
      <w:fldChar w:fldCharType="end"/>
    </w:r>
    <w:r>
      <w:rPr>
        <w:rFonts w:eastAsia="Times New Roman"/>
        <w:kern w:val="0"/>
        <w:szCs w:val="21"/>
      </w:rPr>
      <w:t xml:space="preserve"> </w:t>
    </w:r>
    <w:r>
      <w:rPr>
        <w:kern w:val="0"/>
        <w:szCs w:val="21"/>
      </w:rPr>
      <w:t>页</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jc w:val="end"/>
      <w:rPr>
        <w:rFonts w:ascii="隶书;微软雅黑" w:hAnsi="隶书;微软雅黑" w:eastAsia="隶书;微软雅黑"/>
        <w:color w:val="0000FF"/>
        <w:sz w:val="24"/>
        <w:lang w:eastAsia="zh-CN"/>
      </w:rPr>
    </w:pPr>
    <w:r>
      <w:rPr>
        <w:rFonts w:eastAsia="隶书;微软雅黑" w:ascii="隶书;微软雅黑" w:hAnsi="隶书;微软雅黑"/>
        <w:color w:val="0000FF"/>
        <w:sz w:val="24"/>
        <w:lang w:eastAsia="zh-CN"/>
      </w:rPr>
    </w:r>
  </w:p>
  <w:p>
    <w:pPr>
      <w:pStyle w:val="Header"/>
      <w:pBdr>
        <w:bottom w:val="single" w:sz="6" w:space="9" w:color="000000"/>
      </w:pBdr>
      <w:jc w:val="end"/>
      <w:rPr/>
    </w:pPr>
    <w:r>
      <w:rPr>
        <w:b/>
        <w:bCs/>
        <w:i/>
        <w:iCs/>
        <w:color w:val="008080"/>
      </w:rPr>
      <w:t>Gold</w:t>
    </w:r>
    <w:r>
      <w:rPr>
        <w:b/>
        <w:bCs/>
        <w:i/>
        <w:iCs/>
        <w:color w:val="008080"/>
      </w:rPr>
      <w:t xml:space="preserve"> </w:t>
    </w:r>
    <w:r>
      <w:rPr>
        <w:b/>
        <w:bCs/>
        <w:i/>
        <w:iCs/>
        <w:color w:val="008080"/>
      </w:rPr>
      <w:t>E</w:t>
    </w:r>
    <w:r>
      <w:rPr>
        <w:b/>
        <w:bCs/>
        <w:i/>
        <w:iCs/>
        <w:color w:val="008080"/>
      </w:rPr>
      <w:t>lectronics Co</w:t>
    </w:r>
    <w:r>
      <w:rPr>
        <w:b/>
        <w:bCs/>
        <w:i/>
        <w:iCs/>
        <w:color w:val="008080"/>
      </w:rPr>
      <w:t xml:space="preserve">., </w:t>
    </w:r>
    <w:r>
      <w:rPr>
        <w:b/>
        <w:bCs/>
        <w:i/>
        <w:iCs/>
        <w:color w:val="008080"/>
      </w:rPr>
      <w:t>Ltd</w:t>
    </w:r>
    <w:r>
      <w:rPr>
        <w:b/>
        <w:bCs/>
        <w:i/>
        <w:iCs/>
        <w:color w:val="008080"/>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4"/>
      <w:pStyle w:val="Heading1"/>
      <w:numFmt w:val="decimal"/>
      <w:lvlText w:val="第%1条"/>
      <w:lvlJc w:val="start"/>
      <w:pPr>
        <w:tabs>
          <w:tab w:val="num" w:pos="0"/>
        </w:tabs>
        <w:ind w:start="1079" w:hanging="1080"/>
      </w:pPr>
      <w:rPr>
        <w:i w:val="false"/>
        <w:b/>
        <w:rFonts w:eastAsia="宋体"/>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80" w:hanging="360"/>
      </w:pPr>
      <w:rPr>
        <w:sz w:val="24"/>
        <w:i w:val="false"/>
        <w:b w:val="false"/>
        <w:rFonts w:ascii="Times New Roman" w:hAnsi="Times New Roman" w:eastAsia="宋体" w:cs="Times New Roman"/>
      </w:rPr>
    </w:lvl>
    <w:lvl w:ilvl="1">
      <w:start w:val="1"/>
      <w:numFmt w:val="decimal"/>
      <w:lvlText w:val="（%2）"/>
      <w:lvlJc w:val="start"/>
      <w:pPr>
        <w:tabs>
          <w:tab w:val="num" w:pos="0"/>
        </w:tabs>
        <w:ind w:start="840" w:hanging="420"/>
      </w:pPr>
      <w:rPr>
        <w:sz w:val="21"/>
        <w:i w:val="false"/>
        <w:b w:val="false"/>
        <w:szCs w:val="21"/>
        <w:color w:val="000000"/>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decimal"/>
      <w:lvlText w:val="%1、"/>
      <w:lvlJc w:val="start"/>
      <w:pPr>
        <w:tabs>
          <w:tab w:val="num" w:pos="0"/>
        </w:tabs>
        <w:ind w:start="780" w:hanging="360"/>
      </w:pPr>
      <w:rPr>
        <w:sz w:val="24"/>
        <w:i w:val="false"/>
        <w:b w:val="false"/>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decimal"/>
      <w:lvlText w:val="（%1）"/>
      <w:lvlJc w:val="start"/>
      <w:pPr>
        <w:tabs>
          <w:tab w:val="num" w:pos="0"/>
        </w:tabs>
        <w:ind w:start="1710" w:hanging="705"/>
      </w:pPr>
      <w:rPr>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decimal"/>
      <w:lvlText w:val="%1、"/>
      <w:lvlJc w:val="start"/>
      <w:pPr>
        <w:tabs>
          <w:tab w:val="num" w:pos="0"/>
        </w:tabs>
        <w:ind w:start="780" w:hanging="360"/>
      </w:pPr>
      <w:rPr>
        <w:sz w:val="24"/>
        <w:i w:val="false"/>
        <w:b w:val="false"/>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decimal"/>
      <w:lvlText w:val="%1)"/>
      <w:lvlJc w:val="start"/>
      <w:pPr>
        <w:tabs>
          <w:tab w:val="num" w:pos="0"/>
        </w:tabs>
        <w:ind w:start="1260" w:hanging="420"/>
      </w:pPr>
      <w:rPr>
        <w:sz w:val="24"/>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780" w:hanging="360"/>
      </w:pPr>
      <w:rPr>
        <w:sz w:val="24"/>
        <w:i w:val="false"/>
        <w:b w:val="false"/>
        <w:szCs w:val="21"/>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decimal"/>
      <w:lvlText w:val="%1、"/>
      <w:lvlJc w:val="start"/>
      <w:pPr>
        <w:tabs>
          <w:tab w:val="num" w:pos="0"/>
        </w:tabs>
        <w:ind w:start="780" w:hanging="360"/>
      </w:pPr>
      <w:rPr>
        <w:sz w:val="24"/>
        <w:szCs w:val="21"/>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decimal"/>
      <w:lvlText w:val="%1、"/>
      <w:lvlJc w:val="start"/>
      <w:pPr>
        <w:tabs>
          <w:tab w:val="num" w:pos="0"/>
        </w:tabs>
        <w:ind w:start="780" w:hanging="360"/>
      </w:pPr>
      <w:rPr>
        <w:szCs w:val="21"/>
        <w:rFonts w:ascii="宋体" w:hAnsi="宋体" w:cs="宋体"/>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0">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
      <w:numFmt w:val="decimal"/>
      <w:lvlText w:val="%1、"/>
      <w:lvlJc w:val="start"/>
      <w:pPr>
        <w:tabs>
          <w:tab w:val="num" w:pos="0"/>
        </w:tabs>
        <w:ind w:start="780" w:hanging="360"/>
      </w:pPr>
      <w:rPr>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chineseCountingThousand"/>
      <w:suff w:val="nothing"/>
      <w:lvlText w:val="第%1章   "/>
      <w:lvlJc w:val="start"/>
      <w:pPr>
        <w:tabs>
          <w:tab w:val="num" w:pos="0"/>
        </w:tabs>
        <w:ind w:start="0" w:hanging="0"/>
      </w:pPr>
      <w:rPr>
        <w:rFonts w:eastAsia="黑体"/>
      </w:rPr>
    </w:lvl>
    <w:lvl w:ilvl="1">
      <w:start w:val="1"/>
      <w:numFmt w:val="none"/>
      <w:suff w:val="nothing"/>
      <w:lvlText w:val=""/>
      <w:lvlJc w:val="start"/>
      <w:pPr>
        <w:tabs>
          <w:tab w:val="num" w:pos="0"/>
        </w:tabs>
        <w:ind w:start="0" w:hanging="0"/>
      </w:pPr>
      <w:rPr>
        <w:rFonts w:eastAsia="黑体"/>
      </w:rPr>
    </w:lvl>
    <w:lvl w:ilvl="2">
      <w:start w:val="1"/>
      <w:numFmt w:val="none"/>
      <w:suff w:val="nothing"/>
      <w:lvlText w:val=""/>
      <w:lvlJc w:val="start"/>
      <w:pPr>
        <w:tabs>
          <w:tab w:val="num" w:pos="0"/>
        </w:tabs>
        <w:ind w:start="0" w:hanging="0"/>
      </w:pPr>
      <w:rPr>
        <w:rFonts w:eastAsia="黑体"/>
      </w:rPr>
    </w:lvl>
    <w:lvl w:ilvl="3">
      <w:start w:val="1"/>
      <w:numFmt w:val="none"/>
      <w:suff w:val="nothing"/>
      <w:lvlText w:val=""/>
      <w:lvlJc w:val="start"/>
      <w:pPr>
        <w:tabs>
          <w:tab w:val="num" w:pos="0"/>
        </w:tabs>
        <w:ind w:start="0" w:hanging="0"/>
      </w:pPr>
      <w:rPr>
        <w:rFonts w:eastAsia="黑体"/>
      </w:rPr>
    </w:lvl>
    <w:lvl w:ilvl="4">
      <w:start w:val="1"/>
      <w:numFmt w:val="none"/>
      <w:suff w:val="nothing"/>
      <w:lvlText w:val=""/>
      <w:lvlJc w:val="start"/>
      <w:pPr>
        <w:tabs>
          <w:tab w:val="num" w:pos="0"/>
        </w:tabs>
        <w:ind w:start="0" w:hanging="0"/>
      </w:pPr>
      <w:rPr>
        <w:rFonts w:eastAsia="黑体"/>
      </w:rPr>
    </w:lvl>
    <w:lvl w:ilvl="5">
      <w:start w:val="1"/>
      <w:numFmt w:val="none"/>
      <w:suff w:val="nothing"/>
      <w:lvlText w:val=""/>
      <w:lvlJc w:val="start"/>
      <w:pPr>
        <w:tabs>
          <w:tab w:val="num" w:pos="0"/>
        </w:tabs>
        <w:ind w:start="0" w:hanging="0"/>
      </w:pPr>
      <w:rPr>
        <w:rFonts w:eastAsia="黑体"/>
      </w:rPr>
    </w:lvl>
    <w:lvl w:ilvl="6">
      <w:start w:val="1"/>
      <w:numFmt w:val="none"/>
      <w:suff w:val="nothing"/>
      <w:lvlText w:val=""/>
      <w:lvlJc w:val="start"/>
      <w:pPr>
        <w:tabs>
          <w:tab w:val="num" w:pos="0"/>
        </w:tabs>
        <w:ind w:start="0" w:hanging="0"/>
      </w:pPr>
      <w:rPr>
        <w:rFonts w:eastAsia="黑体"/>
      </w:rPr>
    </w:lvl>
    <w:lvl w:ilvl="7">
      <w:start w:val="1"/>
      <w:numFmt w:val="none"/>
      <w:suff w:val="nothing"/>
      <w:lvlText w:val=""/>
      <w:lvlJc w:val="start"/>
      <w:pPr>
        <w:tabs>
          <w:tab w:val="num" w:pos="0"/>
        </w:tabs>
        <w:ind w:start="0" w:hanging="0"/>
      </w:pPr>
      <w:rPr>
        <w:rFonts w:eastAsia="黑体"/>
      </w:rPr>
    </w:lvl>
    <w:lvl w:ilvl="8">
      <w:start w:val="1"/>
      <w:numFmt w:val="none"/>
      <w:suff w:val="nothing"/>
      <w:lvlText w:val=""/>
      <w:lvlJc w:val="start"/>
      <w:pPr>
        <w:tabs>
          <w:tab w:val="num" w:pos="0"/>
        </w:tabs>
        <w:ind w:start="0" w:hanging="0"/>
      </w:pPr>
      <w:rPr>
        <w:rFonts w:eastAsia="黑体"/>
      </w:rPr>
    </w:lvl>
  </w:abstractNum>
  <w:abstractNum w:abstractNumId="13">
    <w:lvl w:ilvl="0">
      <w:start w:val="1"/>
      <w:numFmt w:val="decimal"/>
      <w:lvlText w:val="（%1）"/>
      <w:lvlJc w:val="start"/>
      <w:pPr>
        <w:tabs>
          <w:tab w:val="num" w:pos="0"/>
        </w:tabs>
        <w:ind w:start="1710" w:hanging="705"/>
      </w:pPr>
      <w:rPr>
        <w:szCs w:val="21"/>
        <w:rFonts w:ascii="Times New Roman" w:hAnsi="Times New Roman" w:cs="Times New Roman"/>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1"/>
      <w:numFmt w:val="decimal"/>
      <w:lvlText w:val="（%1）"/>
      <w:lvlJc w:val="start"/>
      <w:pPr>
        <w:tabs>
          <w:tab w:val="num" w:pos="0"/>
        </w:tabs>
        <w:ind w:start="930" w:hanging="705"/>
      </w:pPr>
      <w:rPr>
        <w:rFonts w:ascii="Times New Roman" w:hAnsi="Times New Roman" w:cs="Times New Roman"/>
      </w:rPr>
    </w:lvl>
    <w:lvl w:ilvl="1">
      <w:start w:val="1"/>
      <w:numFmt w:val="lowerLetter"/>
      <w:lvlText w:val="%2)"/>
      <w:lvlJc w:val="start"/>
      <w:pPr>
        <w:tabs>
          <w:tab w:val="num" w:pos="0"/>
        </w:tabs>
        <w:ind w:start="1800" w:hanging="420"/>
      </w:pPr>
      <w:rPr/>
    </w:lvl>
    <w:lvl w:ilvl="2">
      <w:start w:val="1"/>
      <w:numFmt w:val="lowerRoman"/>
      <w:lvlText w:val="%3."/>
      <w:lvlJc w:val="end"/>
      <w:pPr>
        <w:tabs>
          <w:tab w:val="num" w:pos="0"/>
        </w:tabs>
        <w:ind w:start="1380" w:hanging="420"/>
      </w:pPr>
      <w:rPr/>
    </w:lvl>
    <w:lvl w:ilvl="3">
      <w:start w:val="1"/>
      <w:numFmt w:val="decimal"/>
      <w:lvlText w:val="%4."/>
      <w:lvlJc w:val="start"/>
      <w:pPr>
        <w:tabs>
          <w:tab w:val="num" w:pos="0"/>
        </w:tabs>
        <w:ind w:start="960" w:hanging="420"/>
      </w:pPr>
      <w:rPr/>
    </w:lvl>
    <w:lvl w:ilvl="4">
      <w:start w:val="1"/>
      <w:numFmt w:val="lowerLetter"/>
      <w:lvlText w:val="%5)"/>
      <w:lvlJc w:val="start"/>
      <w:pPr>
        <w:tabs>
          <w:tab w:val="num" w:pos="0"/>
        </w:tabs>
        <w:ind w:start="540" w:hanging="420"/>
      </w:pPr>
      <w:rPr/>
    </w:lvl>
    <w:lvl w:ilvl="5">
      <w:start w:val="1"/>
      <w:numFmt w:val="lowerRoman"/>
      <w:lvlText w:val="%6."/>
      <w:lvlJc w:val="end"/>
      <w:pPr>
        <w:tabs>
          <w:tab w:val="num" w:pos="0"/>
        </w:tabs>
        <w:ind w:start="120" w:hanging="420"/>
      </w:pPr>
      <w:rPr/>
    </w:lvl>
    <w:lvl w:ilvl="6">
      <w:start w:val="1"/>
      <w:numFmt w:val="decimal"/>
      <w:lvlText w:val="%7."/>
      <w:lvlJc w:val="start"/>
      <w:pPr>
        <w:tabs>
          <w:tab w:val="num" w:pos="0"/>
        </w:tabs>
        <w:ind w:start="300" w:hanging="420"/>
      </w:pPr>
      <w:rPr/>
    </w:lvl>
    <w:lvl w:ilvl="7">
      <w:start w:val="1"/>
      <w:numFmt w:val="lowerLetter"/>
      <w:lvlText w:val="%8)"/>
      <w:lvlJc w:val="start"/>
      <w:pPr>
        <w:tabs>
          <w:tab w:val="num" w:pos="0"/>
        </w:tabs>
        <w:ind w:start="720" w:hanging="420"/>
      </w:pPr>
      <w:rPr/>
    </w:lvl>
    <w:lvl w:ilvl="8">
      <w:start w:val="1"/>
      <w:numFmt w:val="lowerRoman"/>
      <w:lvlText w:val="%9."/>
      <w:lvlJc w:val="end"/>
      <w:pPr>
        <w:tabs>
          <w:tab w:val="num" w:pos="0"/>
        </w:tabs>
        <w:ind w:start="1140" w:hanging="420"/>
      </w:pPr>
      <w:rPr/>
    </w:lvl>
  </w:abstractNum>
  <w:abstractNum w:abstractNumId="15">
    <w:lvl w:ilvl="0">
      <w:start w:val="1"/>
      <w:numFmt w:val="decimal"/>
      <w:lvlText w:val="%1、"/>
      <w:lvlJc w:val="start"/>
      <w:pPr>
        <w:tabs>
          <w:tab w:val="num" w:pos="0"/>
        </w:tabs>
        <w:ind w:start="780" w:hanging="360"/>
      </w:pPr>
      <w:rPr>
        <w:sz w:val="24"/>
        <w:i w:val="false"/>
        <w:b w:val="false"/>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6">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7">
    <w:lvl w:ilvl="0">
      <w:start w:val="1"/>
      <w:numFmt w:val="decimal"/>
      <w:lvlText w:val="%1、"/>
      <w:lvlJc w:val="start"/>
      <w:pPr>
        <w:tabs>
          <w:tab w:val="num" w:pos="0"/>
        </w:tabs>
        <w:ind w:start="780" w:hanging="360"/>
      </w:pPr>
      <w:rPr>
        <w:sz w:val="24"/>
        <w:i w:val="false"/>
        <w:b w:val="false"/>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1"/>
      <w:numFmt w:val="decimal"/>
      <w:lvlText w:val="%1、"/>
      <w:lvlJc w:val="start"/>
      <w:pPr>
        <w:tabs>
          <w:tab w:val="num" w:pos="0"/>
        </w:tabs>
        <w:ind w:start="132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420" w:hanging="420"/>
      </w:pPr>
      <w:rPr/>
    </w:lvl>
    <w:lvl w:ilvl="3">
      <w:start w:val="1"/>
      <w:numFmt w:val="decimal"/>
      <w:lvlText w:val="%4."/>
      <w:lvlJc w:val="start"/>
      <w:pPr>
        <w:tabs>
          <w:tab w:val="num" w:pos="0"/>
        </w:tabs>
        <w:ind w:start="0" w:hanging="420"/>
      </w:pPr>
      <w:rPr/>
    </w:lvl>
    <w:lvl w:ilvl="4">
      <w:start w:val="1"/>
      <w:numFmt w:val="lowerLetter"/>
      <w:lvlText w:val="%5)"/>
      <w:lvlJc w:val="start"/>
      <w:pPr>
        <w:tabs>
          <w:tab w:val="num" w:pos="0"/>
        </w:tabs>
        <w:ind w:start="420" w:hanging="420"/>
      </w:pPr>
      <w:rPr/>
    </w:lvl>
    <w:lvl w:ilvl="5">
      <w:start w:val="1"/>
      <w:numFmt w:val="lowerRoman"/>
      <w:lvlText w:val="%6."/>
      <w:lvlJc w:val="end"/>
      <w:pPr>
        <w:tabs>
          <w:tab w:val="num" w:pos="0"/>
        </w:tabs>
        <w:ind w:start="840" w:hanging="420"/>
      </w:pPr>
      <w:rPr/>
    </w:lvl>
    <w:lvl w:ilvl="6">
      <w:start w:val="1"/>
      <w:numFmt w:val="decimal"/>
      <w:lvlText w:val="%7."/>
      <w:lvlJc w:val="start"/>
      <w:pPr>
        <w:tabs>
          <w:tab w:val="num" w:pos="0"/>
        </w:tabs>
        <w:ind w:start="1260" w:hanging="420"/>
      </w:pPr>
      <w:rPr/>
    </w:lvl>
    <w:lvl w:ilvl="7">
      <w:start w:val="1"/>
      <w:numFmt w:val="lowerLetter"/>
      <w:lvlText w:val="%8)"/>
      <w:lvlJc w:val="start"/>
      <w:pPr>
        <w:tabs>
          <w:tab w:val="num" w:pos="0"/>
        </w:tabs>
        <w:ind w:start="1680" w:hanging="420"/>
      </w:pPr>
      <w:rPr/>
    </w:lvl>
    <w:lvl w:ilvl="8">
      <w:start w:val="1"/>
      <w:numFmt w:val="lowerRoman"/>
      <w:lvlText w:val="%9."/>
      <w:lvlJc w:val="end"/>
      <w:pPr>
        <w:tabs>
          <w:tab w:val="num" w:pos="0"/>
        </w:tabs>
        <w:ind w:start="2100" w:hanging="420"/>
      </w:pPr>
      <w:rPr/>
    </w:lvl>
  </w:abstractNum>
  <w:abstractNum w:abstractNumId="19">
    <w:lvl w:ilvl="0">
      <w:start w:val="1"/>
      <w:numFmt w:val="decimal"/>
      <w:lvlText w:val="%1、"/>
      <w:lvlJc w:val="start"/>
      <w:pPr>
        <w:tabs>
          <w:tab w:val="num" w:pos="0"/>
        </w:tabs>
        <w:ind w:start="780" w:hanging="360"/>
      </w:pPr>
      <w:rPr>
        <w:sz w:val="24"/>
        <w:i w:val="false"/>
        <w:b w:val="false"/>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0">
    <w:lvl w:ilvl="0">
      <w:start w:val="1"/>
      <w:numFmt w:val="decimal"/>
      <w:lvlText w:val="%1、"/>
      <w:lvlJc w:val="start"/>
      <w:pPr>
        <w:tabs>
          <w:tab w:val="num" w:pos="0"/>
        </w:tabs>
        <w:ind w:start="780" w:hanging="360"/>
      </w:pPr>
      <w:rPr>
        <w:sz w:val="24"/>
        <w:i w:val="false"/>
        <w:b w:val="false"/>
        <w:szCs w:val="21"/>
        <w:rFonts w:ascii="Times New Roman" w:hAnsi="Times New Roman" w:cs="Times New Roman"/>
      </w:rPr>
    </w:lvl>
    <w:lvl w:ilvl="1">
      <w:start w:val="1"/>
      <w:numFmt w:val="decimal"/>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1">
    <w:lvl w:ilvl="0">
      <w:start w:val="1"/>
      <w:numFmt w:val="decimal"/>
      <w:lvlText w:val="%1、"/>
      <w:lvlJc w:val="start"/>
      <w:pPr>
        <w:tabs>
          <w:tab w:val="num" w:pos="420"/>
        </w:tabs>
        <w:ind w:start="780" w:hanging="360"/>
      </w:pPr>
      <w:rPr>
        <w:sz w:val="24"/>
        <w:i w:val="false"/>
        <w:b w:val="false"/>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2">
    <w:lvl w:ilvl="0">
      <w:start w:val="1"/>
      <w:numFmt w:val="decimal"/>
      <w:lvlText w:val="%1、"/>
      <w:lvlJc w:val="start"/>
      <w:pPr>
        <w:tabs>
          <w:tab w:val="num" w:pos="0"/>
        </w:tabs>
        <w:ind w:start="780" w:hanging="360"/>
      </w:pPr>
      <w:rPr>
        <w:sz w:val="24"/>
        <w:i w:val="false"/>
        <w:b w:val="false"/>
        <w:szCs w:val="21"/>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3">
    <w:lvl w:ilvl="0">
      <w:start w:val="1"/>
      <w:numFmt w:val="decimal"/>
      <w:lvlText w:val="%1、"/>
      <w:lvlJc w:val="start"/>
      <w:pPr>
        <w:tabs>
          <w:tab w:val="num" w:pos="0"/>
        </w:tabs>
        <w:ind w:start="1200" w:hanging="780"/>
      </w:pPr>
      <w:rPr>
        <w:sz w:val="24"/>
        <w:szCs w:val="24"/>
        <w:color w:val="000000"/>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4">
    <w:lvl w:ilvl="0">
      <w:start w:val="1"/>
      <w:numFmt w:val="decimal"/>
      <w:lvlText w:val="第%1条 "/>
      <w:lvlJc w:val="start"/>
      <w:pPr>
        <w:tabs>
          <w:tab w:val="num" w:pos="0"/>
        </w:tabs>
        <w:ind w:start="1260" w:hanging="1260"/>
      </w:pPr>
      <w:rPr>
        <w:b/>
      </w:rPr>
    </w:lvl>
  </w:abstractNum>
  <w:abstractNum w:abstractNumId="25">
    <w:lvl w:ilvl="0">
      <w:start w:val="24"/>
      <w:numFmt w:val="decimal"/>
      <w:lvlText w:val="第%1条"/>
      <w:lvlJc w:val="start"/>
      <w:pPr>
        <w:tabs>
          <w:tab w:val="num" w:pos="0"/>
        </w:tabs>
        <w:ind w:start="1079" w:hanging="1080"/>
      </w:pPr>
      <w:rPr>
        <w:i w:val="false"/>
        <w:b/>
        <w:rFonts w:eastAsia="宋体"/>
      </w:rPr>
    </w:lvl>
    <w:lvl w:ilvl="1">
      <w:start w:val="1"/>
      <w:numFmt w:val="lowerLetter"/>
      <w:lvlText w:val="%2)"/>
      <w:lvlJc w:val="start"/>
      <w:pPr>
        <w:tabs>
          <w:tab w:val="num" w:pos="0"/>
        </w:tabs>
        <w:ind w:start="839" w:hanging="420"/>
      </w:pPr>
      <w:rPr/>
    </w:lvl>
    <w:lvl w:ilvl="2">
      <w:start w:val="1"/>
      <w:numFmt w:val="chineseCountingThousand"/>
      <w:lvlText w:val="第%3节"/>
      <w:lvlJc w:val="start"/>
      <w:pPr>
        <w:tabs>
          <w:tab w:val="num" w:pos="0"/>
        </w:tabs>
        <w:ind w:start="1919" w:hanging="1080"/>
      </w:pPr>
      <w:rPr/>
    </w:lvl>
    <w:lvl w:ilvl="3">
      <w:start w:val="1"/>
      <w:numFmt w:val="decimal"/>
      <w:lvlText w:val="%4."/>
      <w:lvlJc w:val="start"/>
      <w:pPr>
        <w:tabs>
          <w:tab w:val="num" w:pos="0"/>
        </w:tabs>
        <w:ind w:start="1679" w:hanging="420"/>
      </w:pPr>
      <w:rPr/>
    </w:lvl>
    <w:lvl w:ilvl="4">
      <w:start w:val="1"/>
      <w:numFmt w:val="lowerLetter"/>
      <w:lvlText w:val="%5)"/>
      <w:lvlJc w:val="start"/>
      <w:pPr>
        <w:tabs>
          <w:tab w:val="num" w:pos="0"/>
        </w:tabs>
        <w:ind w:start="2099" w:hanging="420"/>
      </w:pPr>
      <w:rPr/>
    </w:lvl>
    <w:lvl w:ilvl="5">
      <w:start w:val="1"/>
      <w:numFmt w:val="lowerRoman"/>
      <w:lvlText w:val="%6."/>
      <w:lvlJc w:val="end"/>
      <w:pPr>
        <w:tabs>
          <w:tab w:val="num" w:pos="0"/>
        </w:tabs>
        <w:ind w:start="2519" w:hanging="420"/>
      </w:pPr>
      <w:rPr/>
    </w:lvl>
    <w:lvl w:ilvl="6">
      <w:start w:val="1"/>
      <w:numFmt w:val="decimal"/>
      <w:lvlText w:val="%7."/>
      <w:lvlJc w:val="start"/>
      <w:pPr>
        <w:tabs>
          <w:tab w:val="num" w:pos="0"/>
        </w:tabs>
        <w:ind w:start="2939" w:hanging="420"/>
      </w:pPr>
      <w:rPr/>
    </w:lvl>
    <w:lvl w:ilvl="7">
      <w:start w:val="1"/>
      <w:numFmt w:val="lowerLetter"/>
      <w:lvlText w:val="%8)"/>
      <w:lvlJc w:val="start"/>
      <w:pPr>
        <w:tabs>
          <w:tab w:val="num" w:pos="0"/>
        </w:tabs>
        <w:ind w:start="3359" w:hanging="420"/>
      </w:pPr>
      <w:rPr/>
    </w:lvl>
    <w:lvl w:ilvl="8">
      <w:start w:val="1"/>
      <w:numFmt w:val="lowerRoman"/>
      <w:lvlText w:val="%9."/>
      <w:lvlJc w:val="end"/>
      <w:pPr>
        <w:tabs>
          <w:tab w:val="num" w:pos="0"/>
        </w:tabs>
        <w:ind w:start="3779" w:hanging="420"/>
      </w:pPr>
      <w:rPr/>
    </w:lvl>
  </w:abstractNum>
  <w:abstractNum w:abstractNumId="26">
    <w:lvl w:ilvl="0">
      <w:start w:val="1"/>
      <w:numFmt w:val="decimal"/>
      <w:lvlText w:val="%1、"/>
      <w:lvlJc w:val="start"/>
      <w:pPr>
        <w:tabs>
          <w:tab w:val="num" w:pos="0"/>
        </w:tabs>
        <w:ind w:start="780" w:hanging="360"/>
      </w:pPr>
      <w:rPr>
        <w:sz w:val="24"/>
        <w:i w:val="false"/>
        <w:b w:val="false"/>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7">
    <w:lvl w:ilvl="0">
      <w:start w:val="1"/>
      <w:numFmt w:val="decimal"/>
      <w:lvlText w:val="%1、"/>
      <w:lvlJc w:val="start"/>
      <w:pPr>
        <w:tabs>
          <w:tab w:val="num" w:pos="0"/>
        </w:tabs>
        <w:ind w:start="780" w:hanging="360"/>
      </w:pPr>
      <w:rPr>
        <w:sz w:val="24"/>
        <w:i w:val="false"/>
        <w:b w:val="false"/>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8">
    <w:lvl w:ilvl="0">
      <w:start w:val="1"/>
      <w:numFmt w:val="bullet"/>
      <w:lvlText w:val=""/>
      <w:lvlJc w:val="start"/>
      <w:pPr>
        <w:tabs>
          <w:tab w:val="num" w:pos="0"/>
        </w:tabs>
        <w:ind w:start="830" w:hanging="420"/>
      </w:pPr>
      <w:rPr>
        <w:rFonts w:ascii="Wingdings" w:hAnsi="Wingdings" w:cs="Wingdings" w:hint="default"/>
        <w:szCs w:val="21"/>
        <w:color w:val="000000"/>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29">
    <w:lvl w:ilvl="0">
      <w:start w:val="1"/>
      <w:numFmt w:val="upperLetter"/>
      <w:lvlText w:val="%1．"/>
      <w:lvlJc w:val="start"/>
      <w:pPr>
        <w:tabs>
          <w:tab w:val="num" w:pos="0"/>
        </w:tabs>
        <w:ind w:start="1395" w:hanging="420"/>
      </w:pPr>
      <w:rPr/>
    </w:lvl>
  </w:abstractNum>
  <w:abstractNum w:abstractNumId="30">
    <w:lvl w:ilvl="0">
      <w:start w:val="1"/>
      <w:numFmt w:val="decimal"/>
      <w:lvlText w:val="%1、"/>
      <w:lvlJc w:val="start"/>
      <w:pPr>
        <w:tabs>
          <w:tab w:val="num" w:pos="0"/>
        </w:tabs>
        <w:ind w:start="780" w:hanging="360"/>
      </w:pPr>
      <w:rPr>
        <w:sz w:val="24"/>
        <w:szCs w:val="21"/>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1">
    <w:lvl w:ilvl="0">
      <w:start w:val="1"/>
      <w:numFmt w:val="decimal"/>
      <w:lvlText w:val="%1、"/>
      <w:lvlJc w:val="start"/>
      <w:pPr>
        <w:tabs>
          <w:tab w:val="num" w:pos="0"/>
        </w:tabs>
        <w:ind w:start="990" w:hanging="420"/>
      </w:pPr>
      <w:rPr>
        <w:sz w:val="24"/>
        <w:i w:val="false"/>
        <w:b w:val="false"/>
        <w:rFonts w:ascii="Times New Roman" w:hAnsi="Times New Roman" w:cs="Times New Roman"/>
      </w:rPr>
    </w:lvl>
  </w:abstractNum>
  <w:abstractNum w:abstractNumId="32">
    <w:lvl w:ilvl="0">
      <w:start w:val="1"/>
      <w:numFmt w:val="decimal"/>
      <w:lvlText w:val="%1、"/>
      <w:lvlJc w:val="start"/>
      <w:pPr>
        <w:tabs>
          <w:tab w:val="num" w:pos="0"/>
        </w:tabs>
        <w:ind w:start="780" w:hanging="360"/>
      </w:pPr>
      <w:rPr>
        <w:sz w:val="24"/>
        <w:szCs w:val="21"/>
        <w:rFonts w:ascii="宋体" w:hAnsi="宋体" w:eastAsia="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3">
    <w:lvl w:ilvl="0">
      <w:start w:val="1"/>
      <w:numFmt w:val="decimal"/>
      <w:lvlText w:val="%1、"/>
      <w:lvlJc w:val="start"/>
      <w:pPr>
        <w:tabs>
          <w:tab w:val="num" w:pos="0"/>
        </w:tabs>
        <w:ind w:start="780" w:hanging="360"/>
      </w:pPr>
      <w:rPr>
        <w:sz w:val="21"/>
        <w:szCs w:val="21"/>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4">
    <w:lvl w:ilvl="0">
      <w:start w:val="1"/>
      <w:numFmt w:val="decimal"/>
      <w:lvlText w:val="%1、"/>
      <w:lvlJc w:val="start"/>
      <w:pPr>
        <w:tabs>
          <w:tab w:val="num" w:pos="420"/>
        </w:tabs>
        <w:ind w:start="900" w:hanging="360"/>
      </w:pPr>
      <w:rPr>
        <w:sz w:val="24"/>
        <w:i w:val="false"/>
        <w:b w:val="false"/>
        <w:szCs w:val="21"/>
        <w:rFonts w:ascii="Times New Roman" w:hAnsi="Times New Roman" w:cs="Times New Roman"/>
      </w:rPr>
    </w:lvl>
    <w:lvl w:ilvl="1">
      <w:start w:val="1"/>
      <w:numFmt w:val="decimal"/>
      <w:lvlText w:val="%2)"/>
      <w:lvlJc w:val="start"/>
      <w:pPr>
        <w:tabs>
          <w:tab w:val="num" w:pos="0"/>
        </w:tabs>
        <w:ind w:start="840" w:hanging="420"/>
      </w:pPr>
      <w:rPr>
        <w:sz w:val="24"/>
        <w:i w:val="false"/>
        <w:b w:val="false"/>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5">
    <w:lvl w:ilvl="0">
      <w:start w:val="1"/>
      <w:numFmt w:val="lowerLetter"/>
      <w:lvlText w:val="%1)"/>
      <w:lvlJc w:val="start"/>
      <w:pPr>
        <w:tabs>
          <w:tab w:val="num" w:pos="0"/>
        </w:tabs>
        <w:ind w:start="1425"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6">
    <w:lvl w:ilvl="0">
      <w:start w:val="1"/>
      <w:numFmt w:val="decimal"/>
      <w:lvlText w:val="%1、"/>
      <w:lvlJc w:val="start"/>
      <w:pPr>
        <w:tabs>
          <w:tab w:val="num" w:pos="0"/>
        </w:tabs>
        <w:ind w:start="780" w:hanging="360"/>
      </w:pPr>
      <w:rPr>
        <w:szCs w:val="21"/>
        <w:rFonts w:ascii="宋体" w:hAnsi="宋体" w:cs="宋体"/>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7">
    <w:lvl w:ilvl="0">
      <w:start w:val="1"/>
      <w:numFmt w:val="decimal"/>
      <w:lvlText w:val="（%1）"/>
      <w:lvlJc w:val="start"/>
      <w:pPr>
        <w:tabs>
          <w:tab w:val="num" w:pos="0"/>
        </w:tabs>
        <w:ind w:start="1710" w:hanging="705"/>
      </w:pPr>
      <w:rPr>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8">
    <w:lvl w:ilvl="0">
      <w:start w:val="1"/>
      <w:numFmt w:val="upperLetter"/>
      <w:lvlText w:val="%1、"/>
      <w:lvlJc w:val="start"/>
      <w:pPr>
        <w:tabs>
          <w:tab w:val="num" w:pos="0"/>
        </w:tabs>
        <w:ind w:start="1620" w:hanging="480"/>
      </w:pPr>
      <w:rPr/>
    </w:lvl>
    <w:lvl w:ilvl="1">
      <w:start w:val="1"/>
      <w:numFmt w:val="upperLetter"/>
      <w:lvlText w:val="%2、"/>
      <w:lvlJc w:val="start"/>
      <w:pPr>
        <w:tabs>
          <w:tab w:val="num" w:pos="0"/>
        </w:tabs>
        <w:ind w:start="1140" w:hanging="720"/>
      </w:pPr>
      <w:rPr/>
    </w:lvl>
    <w:lvl w:ilvl="2">
      <w:start w:val="25"/>
      <w:numFmt w:val="decimal"/>
      <w:lvlText w:val="第%3条"/>
      <w:lvlJc w:val="start"/>
      <w:pPr>
        <w:tabs>
          <w:tab w:val="num" w:pos="0"/>
        </w:tabs>
        <w:ind w:start="1830" w:hanging="990"/>
      </w:pPr>
      <w:rPr/>
    </w:lvl>
    <w:lvl w:ilvl="3">
      <w:start w:val="5"/>
      <w:numFmt w:val="decimal"/>
      <w:lvlText w:val="%4"/>
      <w:lvlJc w:val="start"/>
      <w:pPr>
        <w:tabs>
          <w:tab w:val="num" w:pos="0"/>
        </w:tabs>
        <w:ind w:start="1635" w:hanging="375"/>
      </w:pPr>
      <w:rPr/>
    </w:lvl>
    <w:lvl w:ilvl="4">
      <w:start w:val="1"/>
      <w:numFmt w:val="decimal"/>
      <w:lvlText w:val="%5、"/>
      <w:lvlJc w:val="start"/>
      <w:pPr>
        <w:tabs>
          <w:tab w:val="num" w:pos="0"/>
        </w:tabs>
        <w:ind w:start="2400" w:hanging="720"/>
      </w:pPr>
      <w:rPr/>
    </w:lvl>
    <w:lvl w:ilvl="5">
      <w:start w:val="1"/>
      <w:numFmt w:val="chineseCountingThousand"/>
      <w:lvlText w:val="（%6）"/>
      <w:lvlJc w:val="start"/>
      <w:pPr>
        <w:tabs>
          <w:tab w:val="num" w:pos="0"/>
        </w:tabs>
        <w:ind w:start="2955" w:hanging="855"/>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9">
    <w:lvl w:ilvl="0">
      <w:start w:val="1"/>
      <w:numFmt w:val="decimal"/>
      <w:lvlText w:val="（%1）"/>
      <w:lvlJc w:val="start"/>
      <w:pPr>
        <w:tabs>
          <w:tab w:val="num" w:pos="0"/>
        </w:tabs>
        <w:ind w:start="1710" w:hanging="705"/>
      </w:pPr>
      <w:rPr>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0">
    <w:lvl w:ilvl="0">
      <w:start w:val="1"/>
      <w:numFmt w:val="decimal"/>
      <w:lvlText w:val="%1、"/>
      <w:lvlJc w:val="start"/>
      <w:pPr>
        <w:tabs>
          <w:tab w:val="num" w:pos="0"/>
        </w:tabs>
        <w:ind w:start="780" w:hanging="360"/>
      </w:pPr>
      <w:rPr>
        <w:sz w:val="24"/>
        <w:i w:val="false"/>
        <w:b w:val="false"/>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1">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2">
    <w:lvl w:ilvl="0">
      <w:start w:val="1"/>
      <w:numFmt w:val="decimal"/>
      <w:lvlText w:val="%1、"/>
      <w:lvlJc w:val="start"/>
      <w:pPr>
        <w:tabs>
          <w:tab w:val="num" w:pos="0"/>
        </w:tabs>
        <w:ind w:start="975" w:hanging="405"/>
      </w:pPr>
      <w:rPr>
        <w:sz w:val="24"/>
      </w:rPr>
    </w:lvl>
  </w:abstractNum>
  <w:abstractNum w:abstractNumId="43">
    <w:lvl w:ilvl="0">
      <w:start w:val="1"/>
      <w:numFmt w:val="decimal"/>
      <w:lvlText w:val="（%1）"/>
      <w:lvlJc w:val="start"/>
      <w:pPr>
        <w:tabs>
          <w:tab w:val="num" w:pos="0"/>
        </w:tabs>
        <w:ind w:start="840" w:hanging="420"/>
      </w:pPr>
      <w:rPr>
        <w:sz w:val="21"/>
        <w:i w:val="false"/>
        <w:b w:val="false"/>
        <w:szCs w:val="21"/>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4">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5">
    <w:lvl w:ilvl="0">
      <w:start w:val="1"/>
      <w:numFmt w:val="decimal"/>
      <w:lvlText w:val="%1、"/>
      <w:lvlJc w:val="start"/>
      <w:pPr>
        <w:tabs>
          <w:tab w:val="num" w:pos="0"/>
        </w:tabs>
        <w:ind w:start="780" w:hanging="360"/>
      </w:pPr>
      <w:rPr>
        <w:szCs w:val="21"/>
        <w:rFonts w:ascii="宋体" w:hAnsi="宋体" w:cs="宋体"/>
        <w:color w:val="000000"/>
      </w:rPr>
    </w:lvl>
    <w:lvl w:ilvl="1">
      <w:start w:val="1"/>
      <w:numFmt w:val="lowerLetter"/>
      <w:lvlText w:val="%2)"/>
      <w:lvlJc w:val="start"/>
      <w:pPr>
        <w:tabs>
          <w:tab w:val="num" w:pos="0"/>
        </w:tabs>
        <w:ind w:start="840" w:hanging="420"/>
      </w:pPr>
      <w:rPr/>
    </w:lvl>
    <w:lvl w:ilvl="2">
      <w:start w:val="1"/>
      <w:numFmt w:val="decimal"/>
      <w:lvlText w:val="%3)"/>
      <w:lvlJc w:val="start"/>
      <w:pPr>
        <w:tabs>
          <w:tab w:val="num" w:pos="0"/>
        </w:tabs>
        <w:ind w:start="1260" w:hanging="420"/>
      </w:pPr>
      <w:rPr>
        <w:sz w:val="24"/>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6">
    <w:lvl w:ilvl="0">
      <w:start w:val="1"/>
      <w:numFmt w:val="decimal"/>
      <w:lvlText w:val="%1、"/>
      <w:lvlJc w:val="start"/>
      <w:pPr>
        <w:tabs>
          <w:tab w:val="num" w:pos="0"/>
        </w:tabs>
        <w:ind w:start="780" w:hanging="360"/>
      </w:pPr>
      <w:rPr>
        <w:sz w:val="24"/>
        <w:szCs w:val="21"/>
        <w:rFonts w:eastAsia="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7">
    <w:lvl w:ilvl="0">
      <w:start w:val="1"/>
      <w:numFmt w:val="decimal"/>
      <w:lvlText w:val="（%1）"/>
      <w:lvlJc w:val="start"/>
      <w:pPr>
        <w:tabs>
          <w:tab w:val="num" w:pos="0"/>
        </w:tabs>
        <w:ind w:start="1710" w:hanging="705"/>
      </w:pPr>
      <w:rPr>
        <w:rFonts w:ascii="Times New Roman" w:hAnsi="Times New Roman"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8">
    <w:lvl w:ilvl="0">
      <w:start w:val="1"/>
      <w:numFmt w:val="decimal"/>
      <w:lvlText w:val="%1、"/>
      <w:lvlJc w:val="start"/>
      <w:pPr>
        <w:tabs>
          <w:tab w:val="num" w:pos="0"/>
        </w:tabs>
        <w:ind w:start="839" w:hanging="420"/>
      </w:pPr>
      <w:rPr>
        <w:sz w:val="24"/>
        <w:szCs w:val="24"/>
      </w:rPr>
    </w:lvl>
    <w:lvl w:ilvl="1">
      <w:start w:val="1"/>
      <w:numFmt w:val="lowerLetter"/>
      <w:lvlText w:val="%2)"/>
      <w:lvlJc w:val="start"/>
      <w:pPr>
        <w:tabs>
          <w:tab w:val="num" w:pos="0"/>
        </w:tabs>
        <w:ind w:start="704" w:hanging="420"/>
      </w:pPr>
      <w:rPr/>
    </w:lvl>
    <w:lvl w:ilvl="2">
      <w:start w:val="1"/>
      <w:numFmt w:val="lowerRoman"/>
      <w:lvlText w:val="%3."/>
      <w:lvlJc w:val="end"/>
      <w:pPr>
        <w:tabs>
          <w:tab w:val="num" w:pos="0"/>
        </w:tabs>
        <w:ind w:start="1124" w:hanging="420"/>
      </w:pPr>
      <w:rPr/>
    </w:lvl>
    <w:lvl w:ilvl="3">
      <w:start w:val="1"/>
      <w:numFmt w:val="decimal"/>
      <w:lvlText w:val="%4."/>
      <w:lvlJc w:val="start"/>
      <w:pPr>
        <w:tabs>
          <w:tab w:val="num" w:pos="0"/>
        </w:tabs>
        <w:ind w:start="1544" w:hanging="420"/>
      </w:pPr>
      <w:rPr/>
    </w:lvl>
    <w:lvl w:ilvl="4">
      <w:start w:val="1"/>
      <w:numFmt w:val="lowerLetter"/>
      <w:lvlText w:val="%5)"/>
      <w:lvlJc w:val="start"/>
      <w:pPr>
        <w:tabs>
          <w:tab w:val="num" w:pos="0"/>
        </w:tabs>
        <w:ind w:start="1964" w:hanging="420"/>
      </w:pPr>
      <w:rPr/>
    </w:lvl>
    <w:lvl w:ilvl="5">
      <w:start w:val="1"/>
      <w:numFmt w:val="lowerRoman"/>
      <w:lvlText w:val="%6."/>
      <w:lvlJc w:val="end"/>
      <w:pPr>
        <w:tabs>
          <w:tab w:val="num" w:pos="0"/>
        </w:tabs>
        <w:ind w:start="2384" w:hanging="420"/>
      </w:pPr>
      <w:rPr/>
    </w:lvl>
    <w:lvl w:ilvl="6">
      <w:start w:val="1"/>
      <w:numFmt w:val="decimal"/>
      <w:lvlText w:val="%7."/>
      <w:lvlJc w:val="start"/>
      <w:pPr>
        <w:tabs>
          <w:tab w:val="num" w:pos="0"/>
        </w:tabs>
        <w:ind w:start="2804" w:hanging="420"/>
      </w:pPr>
      <w:rPr/>
    </w:lvl>
    <w:lvl w:ilvl="7">
      <w:start w:val="1"/>
      <w:numFmt w:val="lowerLetter"/>
      <w:lvlText w:val="%8)"/>
      <w:lvlJc w:val="start"/>
      <w:pPr>
        <w:tabs>
          <w:tab w:val="num" w:pos="0"/>
        </w:tabs>
        <w:ind w:start="3224" w:hanging="420"/>
      </w:pPr>
      <w:rPr/>
    </w:lvl>
    <w:lvl w:ilvl="8">
      <w:start w:val="1"/>
      <w:numFmt w:val="lowerRoman"/>
      <w:lvlText w:val="%9."/>
      <w:lvlJc w:val="end"/>
      <w:pPr>
        <w:tabs>
          <w:tab w:val="num" w:pos="0"/>
        </w:tabs>
        <w:ind w:start="3644"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numPr>
        <w:ilvl w:val="0"/>
        <w:numId w:val="1"/>
      </w:numPr>
      <w:tabs>
        <w:tab w:val="clear" w:pos="420"/>
        <w:tab w:val="left" w:pos="840" w:leader="none"/>
      </w:tabs>
      <w:ind w:hanging="1200"/>
      <w:outlineLvl w:val="0"/>
    </w:pPr>
    <w:rPr>
      <w:rFonts w:ascii="仿宋_GB2312" w:hAnsi="仿宋_GB2312" w:eastAsia="仿宋_GB2312"/>
      <w:sz w:val="28"/>
      <w:szCs w:val="20"/>
    </w:rPr>
  </w:style>
  <w:style w:type="paragraph" w:styleId="Heading2">
    <w:name w:val="Heading 2"/>
    <w:basedOn w:val="Normal"/>
    <w:next w:val="Normal"/>
    <w:qFormat/>
    <w:pPr>
      <w:keepNext w:val="true"/>
      <w:numPr>
        <w:ilvl w:val="0"/>
        <w:numId w:val="25"/>
      </w:numPr>
      <w:tabs>
        <w:tab w:val="clear" w:pos="420"/>
        <w:tab w:val="left" w:pos="945" w:leader="none"/>
      </w:tabs>
      <w:ind w:hanging="570"/>
      <w:outlineLvl w:val="1"/>
    </w:pPr>
    <w:rPr>
      <w:rFonts w:ascii="仿宋_GB2312" w:hAnsi="仿宋_GB2312" w:eastAsia="仿宋_GB2312"/>
      <w:sz w:val="30"/>
      <w:szCs w:val="20"/>
    </w:rPr>
  </w:style>
  <w:style w:type="paragraph" w:styleId="Heading3">
    <w:name w:val="Heading 3"/>
    <w:basedOn w:val="Normal"/>
    <w:next w:val="Normal"/>
    <w:qFormat/>
    <w:pPr>
      <w:keepNext w:val="true"/>
      <w:numPr>
        <w:ilvl w:val="0"/>
        <w:numId w:val="25"/>
      </w:numPr>
      <w:tabs>
        <w:tab w:val="clear" w:pos="420"/>
        <w:tab w:val="left" w:pos="945" w:leader="none"/>
      </w:tabs>
      <w:ind w:start="840" w:hanging="105"/>
      <w:outlineLvl w:val="2"/>
    </w:pPr>
    <w:rPr>
      <w:rFonts w:ascii="仿宋_GB2312" w:hAnsi="仿宋_GB2312" w:eastAsia="仿宋_GB2312"/>
      <w:sz w:val="30"/>
      <w:szCs w:val="20"/>
    </w:rPr>
  </w:style>
  <w:style w:type="paragraph" w:styleId="Heading4">
    <w:name w:val="Heading 4"/>
    <w:basedOn w:val="Normal"/>
    <w:next w:val="Normal"/>
    <w:qFormat/>
    <w:pPr>
      <w:keepNext w:val="true"/>
      <w:numPr>
        <w:ilvl w:val="0"/>
        <w:numId w:val="38"/>
      </w:numPr>
      <w:tabs>
        <w:tab w:val="clear" w:pos="420"/>
        <w:tab w:val="left" w:pos="1575" w:leader="none"/>
        <w:tab w:val="left" w:pos="1680" w:leader="none"/>
      </w:tabs>
      <w:outlineLvl w:val="3"/>
    </w:pPr>
    <w:rPr>
      <w:rFonts w:eastAsia="仿宋_GB2312"/>
      <w:sz w:val="28"/>
      <w:szCs w:val="20"/>
    </w:rPr>
  </w:style>
  <w:style w:type="paragraph" w:styleId="Heading5">
    <w:name w:val="Heading 5"/>
    <w:basedOn w:val="Normal"/>
    <w:next w:val="Normal"/>
    <w:qFormat/>
    <w:pPr>
      <w:keepNext w:val="true"/>
      <w:numPr>
        <w:ilvl w:val="0"/>
        <w:numId w:val="29"/>
      </w:numPr>
      <w:tabs>
        <w:tab w:val="clear" w:pos="420"/>
        <w:tab w:val="left" w:pos="1050" w:leader="none"/>
      </w:tabs>
      <w:ind w:hanging="870"/>
      <w:outlineLvl w:val="4"/>
    </w:pPr>
    <w:rPr>
      <w:rFonts w:ascii="仿宋_GB2312" w:hAnsi="仿宋_GB2312" w:eastAsia="仿宋_GB2312"/>
      <w:sz w:val="30"/>
      <w:szCs w:val="20"/>
    </w:rPr>
  </w:style>
  <w:style w:type="paragraph" w:styleId="Heading8">
    <w:name w:val="Heading 8"/>
    <w:basedOn w:val="Normal"/>
    <w:next w:val="Normal"/>
    <w:qFormat/>
    <w:pPr>
      <w:keepNext w:val="true"/>
      <w:numPr>
        <w:ilvl w:val="0"/>
        <w:numId w:val="25"/>
      </w:numPr>
      <w:tabs>
        <w:tab w:val="clear" w:pos="420"/>
        <w:tab w:val="left" w:pos="1260" w:leader="none"/>
      </w:tabs>
      <w:ind w:hanging="780"/>
      <w:outlineLvl w:val="7"/>
    </w:pPr>
    <w:rPr>
      <w:rFonts w:ascii="仿宋_GB2312" w:hAnsi="仿宋_GB2312" w:eastAsia="仿宋_GB2312"/>
      <w:sz w:val="30"/>
      <w:szCs w:val="20"/>
    </w:rPr>
  </w:style>
  <w:style w:type="character" w:styleId="WW8Num1z0">
    <w:name w:val="WW8Num1z0"/>
    <w:qFormat/>
    <w:rPr>
      <w:rFonts w:ascii="Times New Roman" w:hAnsi="Times New Roman" w:eastAsia="宋体" w:cs="Times New Roman"/>
      <w:b w:val="false"/>
      <w:i w:val="false"/>
      <w:sz w:val="24"/>
    </w:rPr>
  </w:style>
  <w:style w:type="character" w:styleId="WW8Num1z1">
    <w:name w:val="WW8Num1z1"/>
    <w:qFormat/>
    <w:rPr>
      <w:b w:val="false"/>
      <w:i w:val="false"/>
      <w:color w:val="000000"/>
      <w:sz w:val="21"/>
      <w:szCs w:val="21"/>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imes New Roman"/>
      <w:b w:val="false"/>
      <w:i w:val="false"/>
      <w:sz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cs="Times New Roman"/>
      <w:b w:val="false"/>
      <w:i w:val="false"/>
      <w:sz w:val="24"/>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cs="Times New Roman"/>
      <w:b w:val="false"/>
      <w:i w:val="false"/>
      <w:sz w:val="24"/>
      <w:szCs w:val="21"/>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cs="Times New Roman"/>
      <w:sz w:val="24"/>
      <w:szCs w:val="21"/>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宋体" w:hAnsi="宋体" w:cs="宋体"/>
      <w:color w:val="000000"/>
      <w:szCs w:val="21"/>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w:hAnsi="Times New Roman" w:cs="Times New Roman"/>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eastAsia="黑体"/>
    </w:rPr>
  </w:style>
  <w:style w:type="character" w:styleId="WW8Num12z0">
    <w:name w:val="WW8Num12z0"/>
    <w:qFormat/>
    <w:rPr>
      <w:rFonts w:ascii="Times New Roman" w:hAnsi="Times New Roman" w:cs="Times New Roman"/>
      <w:color w:val="000000"/>
      <w:szCs w:val="21"/>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cs="Times New Roman"/>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w:hAnsi="Times New Roman" w:cs="Times New Roman"/>
      <w:b w:val="false"/>
      <w:i w:val="false"/>
      <w:sz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Times New Roman" w:hAnsi="Times New Roman" w:cs="Times New Roman"/>
      <w:b w:val="false"/>
      <w:i w:val="false"/>
      <w:sz w:val="2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Times New Roman" w:hAnsi="Times New Roman" w:cs="Times New Roman"/>
      <w:b w:val="false"/>
      <w:i w:val="false"/>
      <w:sz w:val="24"/>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Times New Roman" w:hAnsi="Times New Roman" w:cs="Times New Roman"/>
      <w:b w:val="false"/>
      <w:i w:val="false"/>
      <w:sz w:val="24"/>
      <w:szCs w:val="21"/>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Times New Roman" w:hAnsi="Times New Roman" w:cs="Times New Roman"/>
      <w:b w:val="false"/>
      <w:i w:val="false"/>
      <w:sz w:val="24"/>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Times New Roman" w:hAnsi="Times New Roman" w:cs="Times New Roman"/>
      <w:b w:val="false"/>
      <w:i w:val="false"/>
      <w:sz w:val="24"/>
      <w:szCs w:val="21"/>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color w:val="000000"/>
      <w:sz w:val="24"/>
      <w:szCs w:val="24"/>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b/>
    </w:rPr>
  </w:style>
  <w:style w:type="character" w:styleId="WW8Num24z0">
    <w:name w:val="WW8Num24z0"/>
    <w:qFormat/>
    <w:rPr>
      <w:rFonts w:eastAsia="宋体"/>
      <w:b/>
      <w:i w:val="false"/>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Times New Roman" w:hAnsi="Times New Roman" w:cs="Times New Roman"/>
      <w:b w:val="false"/>
      <w:i w:val="false"/>
      <w:sz w:val="24"/>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Times New Roman" w:hAnsi="Times New Roman" w:cs="Times New Roman"/>
      <w:b w:val="false"/>
      <w:i w:val="false"/>
      <w:sz w:val="24"/>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Wingdings" w:hAnsi="Wingdings" w:eastAsia="黑体" w:cs="Wingdings"/>
      <w:color w:val="000000"/>
      <w:szCs w:val="21"/>
    </w:rPr>
  </w:style>
  <w:style w:type="character" w:styleId="WW8Num27z1">
    <w:name w:val="WW8Num27z1"/>
    <w:qFormat/>
    <w:rPr>
      <w:rFonts w:ascii="Wingdings" w:hAnsi="Wingdings" w:cs="Wingdings"/>
    </w:rPr>
  </w:style>
  <w:style w:type="character" w:styleId="WW8Num28z0">
    <w:name w:val="WW8Num28z0"/>
    <w:qFormat/>
    <w:rPr/>
  </w:style>
  <w:style w:type="character" w:styleId="WW8Num29z0">
    <w:name w:val="WW8Num29z0"/>
    <w:qFormat/>
    <w:rPr>
      <w:rFonts w:ascii="Times New Roman" w:hAnsi="Times New Roman" w:cs="Times New Roman"/>
      <w:sz w:val="24"/>
      <w:szCs w:val="21"/>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Times New Roman" w:hAnsi="Times New Roman" w:cs="Times New Roman"/>
      <w:b w:val="false"/>
      <w:i w:val="false"/>
      <w:sz w:val="24"/>
    </w:rPr>
  </w:style>
  <w:style w:type="character" w:styleId="WW8Num31z0">
    <w:name w:val="WW8Num31z0"/>
    <w:qFormat/>
    <w:rPr>
      <w:rFonts w:ascii="宋体" w:hAnsi="宋体" w:eastAsia="宋体"/>
      <w:sz w:val="24"/>
      <w:szCs w:val="21"/>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z w:val="21"/>
      <w:szCs w:val="21"/>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Times New Roman" w:hAnsi="Times New Roman" w:cs="Times New Roman"/>
      <w:b w:val="false"/>
      <w:i w:val="false"/>
      <w:sz w:val="24"/>
      <w:szCs w:val="21"/>
    </w:rPr>
  </w:style>
  <w:style w:type="character" w:styleId="WW8Num33z1">
    <w:name w:val="WW8Num33z1"/>
    <w:qFormat/>
    <w:rPr>
      <w:b w:val="false"/>
      <w:i w:val="false"/>
      <w:sz w:val="24"/>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宋体" w:hAnsi="宋体" w:cs="宋体"/>
      <w:color w:val="000000"/>
      <w:szCs w:val="21"/>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rFonts w:ascii="Times New Roman" w:hAnsi="Times New Roman" w:cs="Times New Roman"/>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ascii="Times New Roman" w:hAnsi="Times New Roman" w:cs="Times New Roman"/>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rFonts w:ascii="Times New Roman" w:hAnsi="Times New Roman" w:cs="Times New Roman"/>
      <w:b w:val="false"/>
      <w:i w:val="false"/>
      <w:sz w:val="24"/>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z w:val="24"/>
    </w:rPr>
  </w:style>
  <w:style w:type="character" w:styleId="WW8Num42z0">
    <w:name w:val="WW8Num42z0"/>
    <w:qFormat/>
    <w:rPr>
      <w:b w:val="false"/>
      <w:i w:val="false"/>
      <w:color w:val="000000"/>
      <w:sz w:val="21"/>
      <w:szCs w:val="21"/>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rFonts w:ascii="宋体" w:hAnsi="宋体" w:cs="宋体"/>
      <w:color w:val="000000"/>
      <w:szCs w:val="21"/>
    </w:rPr>
  </w:style>
  <w:style w:type="character" w:styleId="WW8Num44z1">
    <w:name w:val="WW8Num44z1"/>
    <w:qFormat/>
    <w:rPr/>
  </w:style>
  <w:style w:type="character" w:styleId="WW8Num44z2">
    <w:name w:val="WW8Num44z2"/>
    <w:qFormat/>
    <w:rPr>
      <w:sz w:val="24"/>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rFonts w:eastAsia="宋体"/>
      <w:sz w:val="24"/>
      <w:szCs w:val="21"/>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rFonts w:ascii="Times New Roman" w:hAnsi="Times New Roman" w:cs="Times New Roman"/>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z w:val="24"/>
      <w:szCs w:val="24"/>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Style8">
    <w:name w:val="默认段落字体"/>
    <w:qFormat/>
    <w:rPr/>
  </w:style>
  <w:style w:type="character" w:styleId="StrongEmphasis">
    <w:name w:val="Strong Emphasis"/>
    <w:basedOn w:val="Style8"/>
    <w:qFormat/>
    <w:rPr>
      <w:b/>
      <w:bCs/>
    </w:rPr>
  </w:style>
  <w:style w:type="character" w:styleId="InternetLink">
    <w:name w:val="Hyperlink"/>
    <w:basedOn w:val="Style8"/>
    <w:rPr>
      <w:color w:val="0000FF"/>
      <w:u w:val="single"/>
    </w:rPr>
  </w:style>
  <w:style w:type="character" w:styleId="Style11">
    <w:name w:val="style1"/>
    <w:basedOn w:val="Style8"/>
    <w:qFormat/>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tabs>
        <w:tab w:val="clear" w:pos="420"/>
        <w:tab w:val="left" w:pos="1050" w:leader="none"/>
      </w:tabs>
      <w:spacing w:lineRule="auto" w:line="360"/>
    </w:pPr>
    <w:rPr>
      <w:rFonts w:ascii="宋体" w:hAnsi="宋体" w:cs="宋体"/>
      <w:sz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9">
    <w:name w:val="批注框文本"/>
    <w:basedOn w:val="Normal"/>
    <w:qFormat/>
    <w:pPr/>
    <w:rPr>
      <w:sz w:val="18"/>
      <w:szCs w:val="18"/>
    </w:rPr>
  </w:style>
  <w:style w:type="paragraph" w:styleId="TextBodyIndent">
    <w:name w:val="Body Text Indent"/>
    <w:basedOn w:val="Normal"/>
    <w:pPr>
      <w:ind w:firstLine="899"/>
    </w:pPr>
    <w:rPr/>
  </w:style>
  <w:style w:type="paragraph" w:styleId="2">
    <w:name w:val="正文文本缩进 2"/>
    <w:basedOn w:val="Normal"/>
    <w:qFormat/>
    <w:pPr>
      <w:ind w:start="525" w:firstLine="30"/>
    </w:pPr>
    <w:rPr>
      <w:rFonts w:ascii="仿宋_GB2312" w:hAnsi="仿宋_GB2312" w:eastAsia="仿宋_GB2312"/>
      <w:sz w:val="28"/>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pPr>
      <w:tabs>
        <w:tab w:val="clear" w:pos="420"/>
        <w:tab w:val="right" w:pos="9000" w:leader="dot"/>
      </w:tabs>
      <w:spacing w:lineRule="exact" w:line="260"/>
    </w:pPr>
    <w:rPr>
      <w:rFonts w:eastAsia="黑体"/>
      <w:sz w:val="24"/>
      <w:lang w:val="en-US" w:eastAsia="en-US"/>
    </w:rPr>
  </w:style>
  <w:style w:type="paragraph" w:styleId="3">
    <w:name w:val="正文文本缩进 3"/>
    <w:basedOn w:val="Normal"/>
    <w:qFormat/>
    <w:pPr>
      <w:ind w:start="552" w:hanging="0"/>
    </w:pPr>
    <w:rPr>
      <w:rFonts w:eastAsia="仿宋_GB2312"/>
      <w:sz w:val="28"/>
      <w:szCs w:val="20"/>
    </w:rPr>
  </w:style>
  <w:style w:type="paragraph" w:styleId="Contents2">
    <w:name w:val="TOC 2"/>
    <w:basedOn w:val="Normal"/>
    <w:next w:val="Normal"/>
    <w:pPr>
      <w:tabs>
        <w:tab w:val="clear" w:pos="420"/>
        <w:tab w:val="left" w:pos="1470" w:leader="none"/>
        <w:tab w:val="right" w:pos="9000" w:leader="dot"/>
      </w:tabs>
      <w:spacing w:lineRule="exact" w:line="260"/>
      <w:ind w:start="420" w:hanging="0"/>
    </w:pPr>
    <w:rPr/>
  </w:style>
  <w:style w:type="paragraph" w:styleId="21">
    <w:name w:val="正文文本 2"/>
    <w:basedOn w:val="Normal"/>
    <w:qFormat/>
    <w:pPr/>
    <w:rPr>
      <w:b/>
      <w:bCs/>
      <w:sz w:val="15"/>
      <w:szCs w:val="21"/>
    </w:rPr>
  </w:style>
  <w:style w:type="paragraph" w:styleId="PlainText">
    <w:name w:val="Plain Text"/>
    <w:basedOn w:val="Normal"/>
    <w:qFormat/>
    <w:pPr>
      <w:textAlignment w:val="baseline"/>
    </w:pPr>
    <w:rPr>
      <w:rFonts w:ascii="宋体" w:hAnsi="宋体" w:cs="Roman 10cpi;Lucida Console"/>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2008-12-10T09:59:00Z</dcterms:created>
  <dc:creator>Xiahaiping</dc:creator>
  <dc:description/>
  <dc:language>en-US</dc:language>
  <cp:lastModifiedBy>Administrator</cp:lastModifiedBy>
  <cp:lastPrinted>2010-07-12T14:51:00Z</cp:lastPrinted>
  <dcterms:modified xsi:type="dcterms:W3CDTF">2015-11-19T15:06:29Z</dcterms:modified>
  <cp:revision>344</cp:revision>
  <dc:subject/>
  <dc:title>翔宇人事（2007）1号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