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32"/>
        </w:rPr>
      </w:pPr>
      <w:bookmarkStart w:id="0" w:name="_Toc529273377"/>
      <w:bookmarkStart w:id="1" w:name="_Toc529273665"/>
      <w:bookmarkStart w:id="79" w:name="_GoBack"/>
      <w:bookmarkEnd w:id="79"/>
      <w:r>
        <w:rPr>
          <w:rFonts w:hint="eastAsia" w:ascii="SimHei" w:hAnsi="SimHei" w:eastAsia="黑体"/>
          <w:sz w:val="44"/>
        </w:rPr>
        <w:t>XX科技公司员工职业发展手册</w:t>
      </w:r>
    </w:p>
    <w:p>
      <w:pPr>
        <w:rPr>
          <w:rFonts w:hint="eastAsia" w:ascii="宋体" w:hAnsi="宋体"/>
          <w:b/>
          <w:bCs/>
          <w:sz w:val="32"/>
        </w:rPr>
      </w:pPr>
      <w:r>
        <w:rPr>
          <w:rFonts w:hint="eastAsia" w:ascii="SimHei" w:hAnsi="SimHei" w:eastAsia="黑体"/>
          <w:b/>
          <w:bCs/>
          <w:sz w:val="32"/>
        </w:rPr>
        <w:t>目          录</w:t>
      </w:r>
    </w:p>
    <w:p>
      <w:pPr>
        <w:pStyle w:val="18"/>
        <w:tabs>
          <w:tab w:val="right" w:leader="middleDot" w:pos="8302"/>
        </w:tabs>
        <w:rPr>
          <w:b w:val="0"/>
          <w:bCs w:val="0"/>
          <w:caps w:val="0"/>
          <w:kern w:val="2"/>
          <w:sz w:val="21"/>
          <w:lang/>
        </w:rPr>
      </w:pPr>
      <w:bookmarkStart w:id="2" w:name="_Toc529761951"/>
      <w:r>
        <w:rPr>
          <w:rFonts w:ascii="SimHei" w:hAnsi="SimHei" w:eastAsia="黑体"/>
          <w:sz w:val="21"/>
        </w:rPr>
      </w:r>
      <w:r>
        <w:rPr>
          <w:rFonts w:ascii="SimHei" w:hAnsi="SimHei" w:eastAsia="黑体"/>
          <w:sz w:val="21"/>
        </w:rPr>
      </w:r>
      <w:r>
        <w:rPr>
          <w:rFonts w:ascii="SimHei" w:hAnsi="SimHei" w:eastAsia="黑体"/>
          <w:sz w:val="21"/>
        </w:rPr>
      </w:r>
      <w:r>
        <w:rPr>
          <w:rStyle w:val="29"/>
          <w:rFonts w:hint="eastAsia" w:ascii="SimHei" w:hAnsi="SimHei" w:eastAsia="黑体"/>
          <w:color w:val="000000"/>
          <w:szCs w:val="30"/>
          <w:u w:val="none"/>
          <w:lang/>
        </w:rPr>
        <w:t>第一章：总则</w:t>
      </w:r>
      <w:r>
        <w:rPr>
          <w:rFonts w:ascii="SimHei" w:hAnsi="SimHei" w:eastAsia="黑体"/>
          <w:color w:val="000000"/>
          <w:lang/>
        </w:rPr>
        <w:tab/>
      </w:r>
      <w:r>
        <w:rPr>
          <w:rFonts w:ascii="SimHei" w:hAnsi="SimHei" w:eastAsia="黑体"/>
          <w:color w:val="000000"/>
          <w:lang/>
        </w:rPr>
        <w:t>3</w:t>
      </w:r>
    </w:p>
    <w:p>
      <w:pPr>
        <w:pStyle w:val="21"/>
        <w:tabs>
          <w:tab w:val="right" w:leader="middleDot" w:pos="8302"/>
        </w:tabs>
        <w:rPr>
          <w:smallCaps w:val="0"/>
          <w:kern w:val="2"/>
          <w:sz w:val="21"/>
          <w:lang/>
        </w:rPr>
      </w:pPr>
      <w:r>
        <w:rPr>
          <w:rStyle w:val="29"/>
          <w:rFonts w:ascii="SimHei" w:hAnsi="SimHei" w:eastAsia="黑体"/>
          <w:color w:val="000000"/>
          <w:szCs w:val="28"/>
          <w:u w:val="none"/>
          <w:lang/>
        </w:rPr>
        <w:t>1.1</w:t>
      </w:r>
      <w:r>
        <w:rPr>
          <w:rStyle w:val="29"/>
          <w:rFonts w:hint="eastAsia" w:ascii="SimHei" w:hAnsi="SimHei" w:eastAsia="黑体"/>
          <w:color w:val="000000"/>
          <w:szCs w:val="28"/>
          <w:u w:val="none"/>
          <w:lang/>
        </w:rPr>
        <w:t>设立职业发展系统的意义</w:t>
      </w:r>
      <w:r>
        <w:rPr>
          <w:rFonts w:ascii="SimHei" w:hAnsi="SimHei" w:eastAsia="黑体"/>
          <w:color w:val="000000"/>
          <w:lang/>
        </w:rPr>
        <w:tab/>
      </w:r>
      <w:r>
        <w:rPr>
          <w:rFonts w:ascii="SimHei" w:hAnsi="SimHei" w:eastAsia="黑体"/>
          <w:color w:val="000000"/>
          <w:lang/>
        </w:rPr>
        <w:t>3</w:t>
      </w:r>
    </w:p>
    <w:p>
      <w:pPr>
        <w:pStyle w:val="21"/>
        <w:tabs>
          <w:tab w:val="right" w:leader="middleDot" w:pos="8302"/>
        </w:tabs>
        <w:rPr>
          <w:smallCaps w:val="0"/>
          <w:kern w:val="2"/>
          <w:sz w:val="21"/>
          <w:lang/>
        </w:rPr>
      </w:pPr>
      <w:r>
        <w:rPr>
          <w:rStyle w:val="29"/>
          <w:rFonts w:ascii="SimHei" w:hAnsi="SimHei" w:eastAsia="黑体"/>
          <w:color w:val="000000"/>
          <w:szCs w:val="28"/>
          <w:u w:val="none"/>
          <w:lang/>
        </w:rPr>
        <w:t>1.2</w:t>
      </w:r>
      <w:r>
        <w:rPr>
          <w:rStyle w:val="29"/>
          <w:rFonts w:hint="eastAsia" w:ascii="SimHei" w:hAnsi="SimHei" w:eastAsia="黑体"/>
          <w:color w:val="000000"/>
          <w:szCs w:val="28"/>
          <w:u w:val="none"/>
          <w:lang/>
        </w:rPr>
        <w:t>职业发展系统总述</w:t>
      </w:r>
      <w:r>
        <w:rPr>
          <w:rFonts w:ascii="SimHei" w:hAnsi="SimHei" w:eastAsia="黑体"/>
          <w:color w:val="000000"/>
          <w:lang/>
        </w:rPr>
        <w:tab/>
      </w:r>
      <w:r>
        <w:rPr>
          <w:rFonts w:ascii="SimHei" w:hAnsi="SimHei" w:eastAsia="黑体"/>
          <w:color w:val="000000"/>
          <w:lang/>
        </w:rPr>
        <w:t>3</w:t>
      </w:r>
    </w:p>
    <w:p>
      <w:pPr>
        <w:pStyle w:val="21"/>
        <w:tabs>
          <w:tab w:val="right" w:leader="middleDot" w:pos="8302"/>
        </w:tabs>
        <w:rPr>
          <w:smallCaps w:val="0"/>
          <w:kern w:val="2"/>
          <w:sz w:val="21"/>
          <w:lang/>
        </w:rPr>
      </w:pPr>
      <w:r>
        <w:rPr>
          <w:rStyle w:val="29"/>
          <w:rFonts w:ascii="SimHei" w:hAnsi="SimHei" w:eastAsia="黑体"/>
          <w:color w:val="000000"/>
          <w:szCs w:val="28"/>
          <w:u w:val="none"/>
          <w:lang/>
        </w:rPr>
        <w:t>1.3</w:t>
      </w:r>
      <w:r>
        <w:rPr>
          <w:rStyle w:val="29"/>
          <w:rFonts w:hint="eastAsia" w:ascii="SimHei" w:hAnsi="SimHei" w:eastAsia="黑体"/>
          <w:color w:val="000000"/>
          <w:szCs w:val="28"/>
          <w:u w:val="none"/>
          <w:lang/>
        </w:rPr>
        <w:t>职业发展执行机构</w:t>
      </w:r>
      <w:r>
        <w:rPr>
          <w:rFonts w:ascii="SimHei" w:hAnsi="SimHei" w:eastAsia="黑体"/>
          <w:color w:val="000000"/>
          <w:lang/>
        </w:rPr>
        <w:tab/>
      </w:r>
      <w:r>
        <w:rPr>
          <w:rFonts w:ascii="SimHei" w:hAnsi="SimHei" w:eastAsia="黑体"/>
          <w:color w:val="000000"/>
          <w:lang/>
        </w:rPr>
        <w:t>4</w:t>
      </w:r>
    </w:p>
    <w:p>
      <w:pPr>
        <w:pStyle w:val="21"/>
        <w:tabs>
          <w:tab w:val="right" w:leader="middleDot" w:pos="8302"/>
        </w:tabs>
        <w:rPr>
          <w:smallCaps w:val="0"/>
          <w:kern w:val="2"/>
          <w:sz w:val="21"/>
          <w:lang/>
        </w:rPr>
      </w:pPr>
      <w:r>
        <w:rPr>
          <w:rStyle w:val="29"/>
          <w:rFonts w:ascii="SimHei" w:hAnsi="SimHei" w:eastAsia="黑体"/>
          <w:color w:val="000000"/>
          <w:szCs w:val="28"/>
          <w:u w:val="none"/>
          <w:lang/>
        </w:rPr>
        <w:t>1.4</w:t>
      </w:r>
      <w:r>
        <w:rPr>
          <w:rStyle w:val="29"/>
          <w:rFonts w:hint="eastAsia" w:ascii="SimHei" w:hAnsi="SimHei" w:eastAsia="黑体"/>
          <w:color w:val="000000"/>
          <w:szCs w:val="28"/>
          <w:u w:val="none"/>
          <w:lang/>
        </w:rPr>
        <w:t>职业发展工作实施时间</w:t>
      </w:r>
      <w:r>
        <w:rPr>
          <w:rFonts w:ascii="SimHei" w:hAnsi="SimHei" w:eastAsia="黑体"/>
          <w:color w:val="000000"/>
          <w:lang/>
        </w:rPr>
        <w:tab/>
      </w:r>
      <w:r>
        <w:rPr>
          <w:rFonts w:ascii="SimHei" w:hAnsi="SimHei" w:eastAsia="黑体"/>
          <w:color w:val="000000"/>
          <w:lang/>
        </w:rPr>
        <w:t>5</w:t>
      </w:r>
    </w:p>
    <w:p>
      <w:pPr>
        <w:pStyle w:val="21"/>
        <w:tabs>
          <w:tab w:val="right" w:leader="middleDot" w:pos="8302"/>
        </w:tabs>
        <w:rPr>
          <w:smallCaps w:val="0"/>
          <w:kern w:val="2"/>
          <w:sz w:val="21"/>
          <w:lang/>
        </w:rPr>
      </w:pPr>
      <w:r>
        <w:rPr>
          <w:rStyle w:val="29"/>
          <w:rFonts w:ascii="SimHei" w:hAnsi="SimHei" w:eastAsia="黑体"/>
          <w:color w:val="000000"/>
          <w:szCs w:val="28"/>
          <w:u w:val="none"/>
          <w:lang/>
        </w:rPr>
        <w:t>1.5</w:t>
      </w:r>
      <w:r>
        <w:rPr>
          <w:rStyle w:val="29"/>
          <w:rFonts w:hint="eastAsia" w:ascii="SimHei" w:hAnsi="SimHei" w:eastAsia="黑体"/>
          <w:color w:val="000000"/>
          <w:szCs w:val="28"/>
          <w:u w:val="none"/>
          <w:lang/>
        </w:rPr>
        <w:t>员工、主管与企业在职业发展中责任</w:t>
      </w:r>
      <w:r>
        <w:rPr>
          <w:rFonts w:ascii="SimHei" w:hAnsi="SimHei" w:eastAsia="黑体"/>
          <w:color w:val="000000"/>
          <w:lang/>
        </w:rPr>
        <w:tab/>
      </w:r>
      <w:r>
        <w:rPr>
          <w:rFonts w:ascii="SimHei" w:hAnsi="SimHei" w:eastAsia="黑体"/>
          <w:color w:val="000000"/>
          <w:lang/>
        </w:rPr>
        <w:t>6</w:t>
      </w:r>
    </w:p>
    <w:p>
      <w:pPr>
        <w:pStyle w:val="18"/>
        <w:tabs>
          <w:tab w:val="right" w:leader="middleDot" w:pos="8302"/>
        </w:tabs>
        <w:rPr>
          <w:b w:val="0"/>
          <w:bCs w:val="0"/>
          <w:caps w:val="0"/>
          <w:kern w:val="2"/>
          <w:sz w:val="21"/>
          <w:lang/>
        </w:rPr>
      </w:pPr>
      <w:r>
        <w:rPr>
          <w:rStyle w:val="29"/>
          <w:rFonts w:hint="eastAsia" w:ascii="SimHei" w:hAnsi="SimHei" w:eastAsia="黑体"/>
          <w:color w:val="000000"/>
          <w:szCs w:val="30"/>
          <w:u w:val="none"/>
          <w:lang/>
        </w:rPr>
        <w:t>第二章：职业发展基础体系</w:t>
      </w:r>
      <w:r>
        <w:rPr>
          <w:rFonts w:ascii="SimHei" w:hAnsi="SimHei" w:eastAsia="黑体"/>
          <w:color w:val="000000"/>
          <w:lang/>
        </w:rPr>
        <w:tab/>
      </w:r>
      <w:r>
        <w:rPr>
          <w:rFonts w:ascii="SimHei" w:hAnsi="SimHei" w:eastAsia="黑体"/>
          <w:color w:val="000000"/>
          <w:lang/>
        </w:rPr>
        <w:t>7</w:t>
      </w:r>
    </w:p>
    <w:p>
      <w:pPr>
        <w:pStyle w:val="21"/>
        <w:tabs>
          <w:tab w:val="right" w:leader="middleDot" w:pos="8302"/>
        </w:tabs>
        <w:rPr>
          <w:smallCaps w:val="0"/>
          <w:kern w:val="2"/>
          <w:sz w:val="21"/>
          <w:lang/>
        </w:rPr>
      </w:pPr>
      <w:r>
        <w:rPr>
          <w:rStyle w:val="29"/>
          <w:rFonts w:ascii="SimHei" w:hAnsi="SimHei" w:eastAsia="黑体"/>
          <w:color w:val="000000"/>
          <w:szCs w:val="28"/>
          <w:u w:val="none"/>
          <w:lang/>
        </w:rPr>
        <w:t>2.1</w:t>
      </w:r>
      <w:r>
        <w:rPr>
          <w:rStyle w:val="29"/>
          <w:rFonts w:hint="eastAsia" w:ascii="SimHei" w:hAnsi="SimHei" w:eastAsia="黑体"/>
          <w:color w:val="000000"/>
          <w:szCs w:val="28"/>
          <w:u w:val="none"/>
          <w:lang/>
        </w:rPr>
        <w:t>职业发展矩阵作用与特点</w:t>
      </w:r>
      <w:r>
        <w:rPr>
          <w:rFonts w:ascii="SimHei" w:hAnsi="SimHei" w:eastAsia="黑体"/>
          <w:color w:val="000000"/>
          <w:lang/>
        </w:rPr>
        <w:tab/>
      </w:r>
      <w:r>
        <w:rPr>
          <w:rFonts w:ascii="SimHei" w:hAnsi="SimHei" w:eastAsia="黑体"/>
          <w:color w:val="000000"/>
          <w:lang/>
        </w:rPr>
        <w:t>7</w:t>
      </w:r>
    </w:p>
    <w:p>
      <w:pPr>
        <w:pStyle w:val="21"/>
        <w:tabs>
          <w:tab w:val="right" w:leader="middleDot" w:pos="8302"/>
        </w:tabs>
        <w:rPr>
          <w:smallCaps w:val="0"/>
          <w:kern w:val="2"/>
          <w:sz w:val="21"/>
          <w:lang/>
        </w:rPr>
      </w:pPr>
      <w:r>
        <w:rPr>
          <w:rStyle w:val="29"/>
          <w:rFonts w:ascii="SimHei" w:hAnsi="SimHei" w:eastAsia="黑体"/>
          <w:color w:val="000000"/>
          <w:szCs w:val="28"/>
          <w:u w:val="none"/>
          <w:lang/>
        </w:rPr>
        <w:t>2.2</w:t>
      </w:r>
      <w:r>
        <w:rPr>
          <w:rStyle w:val="29"/>
          <w:rFonts w:hint="eastAsia" w:ascii="SimHei" w:hAnsi="SimHei" w:eastAsia="黑体"/>
          <w:color w:val="000000"/>
          <w:szCs w:val="28"/>
          <w:u w:val="none"/>
          <w:lang/>
        </w:rPr>
        <w:t>职业发展矩阵之纵向职业发展通道</w:t>
      </w:r>
      <w:r>
        <w:rPr>
          <w:rFonts w:ascii="SimHei" w:hAnsi="SimHei" w:eastAsia="黑体"/>
          <w:color w:val="000000"/>
          <w:lang/>
        </w:rPr>
        <w:tab/>
      </w:r>
      <w:r>
        <w:rPr>
          <w:rFonts w:ascii="SimHei" w:hAnsi="SimHei" w:eastAsia="黑体"/>
          <w:color w:val="000000"/>
          <w:lang/>
        </w:rPr>
        <w:t>8</w:t>
      </w:r>
    </w:p>
    <w:p>
      <w:pPr>
        <w:pStyle w:val="12"/>
        <w:tabs>
          <w:tab w:val="right" w:leader="middleDot" w:pos="8302"/>
        </w:tabs>
        <w:rPr>
          <w:iCs w:val="0"/>
          <w:kern w:val="2"/>
          <w:lang/>
        </w:rPr>
      </w:pPr>
      <w:r>
        <w:rPr>
          <w:rStyle w:val="29"/>
          <w:rFonts w:ascii="SimHei" w:hAnsi="SimHei" w:eastAsia="黑体"/>
          <w:color w:val="000000"/>
          <w:u w:val="none"/>
          <w:lang/>
        </w:rPr>
        <w:t>2.2.1</w:t>
      </w:r>
      <w:r>
        <w:rPr>
          <w:rStyle w:val="29"/>
          <w:rFonts w:hint="eastAsia" w:ascii="SimHei" w:hAnsi="SimHei" w:eastAsia="黑体"/>
          <w:color w:val="000000"/>
          <w:u w:val="none"/>
          <w:lang/>
        </w:rPr>
        <w:t>员工发展的多重阶梯</w:t>
      </w:r>
      <w:r>
        <w:rPr>
          <w:rFonts w:ascii="SimHei" w:hAnsi="SimHei" w:eastAsia="黑体"/>
          <w:color w:val="000000"/>
          <w:lang/>
        </w:rPr>
        <w:tab/>
      </w:r>
      <w:r>
        <w:rPr>
          <w:rFonts w:ascii="SimHei" w:hAnsi="SimHei" w:eastAsia="黑体"/>
          <w:color w:val="000000"/>
          <w:lang/>
        </w:rPr>
        <w:t>8</w:t>
      </w:r>
    </w:p>
    <w:p>
      <w:pPr>
        <w:pStyle w:val="12"/>
        <w:tabs>
          <w:tab w:val="right" w:leader="middleDot" w:pos="8302"/>
        </w:tabs>
        <w:rPr>
          <w:iCs w:val="0"/>
          <w:kern w:val="2"/>
          <w:lang/>
        </w:rPr>
      </w:pPr>
      <w:r>
        <w:rPr>
          <w:rStyle w:val="29"/>
          <w:rFonts w:ascii="SimHei" w:hAnsi="SimHei" w:eastAsia="黑体"/>
          <w:color w:val="000000"/>
          <w:u w:val="none"/>
          <w:lang/>
        </w:rPr>
        <w:t>2.2.2</w:t>
      </w:r>
      <w:r>
        <w:rPr>
          <w:rStyle w:val="29"/>
          <w:rFonts w:hint="eastAsia" w:ascii="SimHei" w:hAnsi="SimHei" w:eastAsia="黑体"/>
          <w:color w:val="000000"/>
          <w:u w:val="none"/>
          <w:lang/>
        </w:rPr>
        <w:t>薪酬职级与岗位职层的调整</w:t>
      </w:r>
      <w:r>
        <w:rPr>
          <w:rFonts w:ascii="SimHei" w:hAnsi="SimHei" w:eastAsia="黑体"/>
          <w:color w:val="000000"/>
          <w:lang/>
        </w:rPr>
        <w:tab/>
      </w:r>
      <w:r>
        <w:rPr>
          <w:rFonts w:ascii="SimHei" w:hAnsi="SimHei" w:eastAsia="黑体"/>
          <w:color w:val="000000"/>
          <w:lang/>
        </w:rPr>
        <w:t>8</w:t>
      </w:r>
    </w:p>
    <w:p>
      <w:pPr>
        <w:pStyle w:val="21"/>
        <w:tabs>
          <w:tab w:val="right" w:leader="middleDot" w:pos="8302"/>
        </w:tabs>
        <w:rPr>
          <w:smallCaps w:val="0"/>
          <w:kern w:val="2"/>
          <w:sz w:val="21"/>
          <w:lang/>
        </w:rPr>
      </w:pPr>
      <w:r>
        <w:rPr>
          <w:rStyle w:val="29"/>
          <w:rFonts w:ascii="SimHei" w:hAnsi="SimHei" w:eastAsia="黑体"/>
          <w:color w:val="000000"/>
          <w:szCs w:val="28"/>
          <w:u w:val="none"/>
          <w:lang/>
        </w:rPr>
        <w:t>2.3</w:t>
      </w:r>
      <w:r>
        <w:rPr>
          <w:rStyle w:val="29"/>
          <w:rFonts w:hint="eastAsia" w:ascii="SimHei" w:hAnsi="SimHei" w:eastAsia="黑体"/>
          <w:color w:val="000000"/>
          <w:szCs w:val="28"/>
          <w:u w:val="none"/>
          <w:lang/>
        </w:rPr>
        <w:t>职业发展矩阵之横向职业发展通道</w:t>
      </w:r>
      <w:r>
        <w:rPr>
          <w:rFonts w:ascii="SimHei" w:hAnsi="SimHei" w:eastAsia="黑体"/>
          <w:color w:val="000000"/>
          <w:lang/>
        </w:rPr>
        <w:tab/>
      </w:r>
      <w:r>
        <w:rPr>
          <w:rFonts w:ascii="SimHei" w:hAnsi="SimHei" w:eastAsia="黑体"/>
          <w:color w:val="000000"/>
          <w:lang/>
        </w:rPr>
        <w:t>9</w:t>
      </w:r>
    </w:p>
    <w:p>
      <w:pPr>
        <w:pStyle w:val="21"/>
        <w:tabs>
          <w:tab w:val="right" w:leader="middleDot" w:pos="8302"/>
        </w:tabs>
        <w:rPr>
          <w:smallCaps w:val="0"/>
          <w:kern w:val="2"/>
          <w:sz w:val="21"/>
          <w:lang/>
        </w:rPr>
      </w:pPr>
      <w:r>
        <w:rPr>
          <w:rStyle w:val="29"/>
          <w:rFonts w:ascii="SimHei" w:hAnsi="SimHei" w:eastAsia="黑体"/>
          <w:color w:val="000000"/>
          <w:szCs w:val="28"/>
          <w:u w:val="none"/>
          <w:lang/>
        </w:rPr>
        <w:t>2.4</w:t>
      </w:r>
      <w:r>
        <w:rPr>
          <w:rStyle w:val="29"/>
          <w:rFonts w:hint="eastAsia" w:ascii="SimHei" w:hAnsi="SimHei" w:eastAsia="黑体"/>
          <w:color w:val="000000"/>
          <w:szCs w:val="28"/>
          <w:u w:val="none"/>
          <w:lang/>
        </w:rPr>
        <w:t>岗位任职资格及能力要求</w:t>
      </w:r>
      <w:r>
        <w:rPr>
          <w:rFonts w:ascii="SimHei" w:hAnsi="SimHei" w:eastAsia="黑体"/>
          <w:color w:val="000000"/>
          <w:lang/>
        </w:rPr>
        <w:tab/>
      </w:r>
      <w:r>
        <w:rPr>
          <w:rFonts w:ascii="SimHei" w:hAnsi="SimHei" w:eastAsia="黑体"/>
          <w:color w:val="000000"/>
          <w:lang/>
        </w:rPr>
        <w:t>10</w:t>
      </w:r>
    </w:p>
    <w:p>
      <w:pPr>
        <w:pStyle w:val="21"/>
        <w:tabs>
          <w:tab w:val="right" w:leader="middleDot" w:pos="8302"/>
        </w:tabs>
        <w:rPr>
          <w:smallCaps w:val="0"/>
          <w:kern w:val="2"/>
          <w:sz w:val="21"/>
          <w:lang/>
        </w:rPr>
      </w:pPr>
      <w:r>
        <w:rPr>
          <w:rStyle w:val="29"/>
          <w:rFonts w:ascii="SimHei" w:hAnsi="SimHei" w:eastAsia="黑体"/>
          <w:color w:val="000000"/>
          <w:szCs w:val="28"/>
          <w:u w:val="none"/>
          <w:lang/>
        </w:rPr>
        <w:t>2.5</w:t>
      </w:r>
      <w:r>
        <w:rPr>
          <w:rStyle w:val="29"/>
          <w:rFonts w:hint="eastAsia" w:ascii="SimHei" w:hAnsi="SimHei" w:eastAsia="黑体"/>
          <w:color w:val="000000"/>
          <w:szCs w:val="28"/>
          <w:u w:val="none"/>
          <w:lang/>
        </w:rPr>
        <w:t>建立针对职业发展的培训体系</w:t>
      </w:r>
      <w:r>
        <w:rPr>
          <w:rFonts w:ascii="SimHei" w:hAnsi="SimHei" w:eastAsia="黑体"/>
          <w:color w:val="000000"/>
          <w:lang/>
        </w:rPr>
        <w:tab/>
      </w:r>
      <w:r>
        <w:rPr>
          <w:rFonts w:ascii="SimHei" w:hAnsi="SimHei" w:eastAsia="黑体"/>
          <w:color w:val="000000"/>
          <w:lang/>
        </w:rPr>
        <w:t>10</w:t>
      </w:r>
    </w:p>
    <w:p>
      <w:pPr>
        <w:pStyle w:val="18"/>
        <w:tabs>
          <w:tab w:val="right" w:leader="middleDot" w:pos="8302"/>
        </w:tabs>
        <w:rPr>
          <w:b w:val="0"/>
          <w:bCs w:val="0"/>
          <w:caps w:val="0"/>
          <w:kern w:val="2"/>
          <w:sz w:val="21"/>
          <w:lang/>
        </w:rPr>
      </w:pPr>
      <w:r>
        <w:rPr>
          <w:rStyle w:val="29"/>
          <w:rFonts w:hint="eastAsia" w:ascii="SimHei" w:hAnsi="SimHei" w:eastAsia="黑体"/>
          <w:color w:val="000000"/>
          <w:szCs w:val="30"/>
          <w:u w:val="none"/>
          <w:lang/>
        </w:rPr>
        <w:t>第三章：实施员工职业发展</w:t>
      </w:r>
      <w:r>
        <w:rPr>
          <w:rFonts w:ascii="SimHei" w:hAnsi="SimHei" w:eastAsia="黑体"/>
          <w:color w:val="000000"/>
          <w:lang/>
        </w:rPr>
        <w:tab/>
      </w:r>
      <w:r>
        <w:rPr>
          <w:rFonts w:ascii="SimHei" w:hAnsi="SimHei" w:eastAsia="黑体"/>
          <w:color w:val="000000"/>
          <w:lang/>
        </w:rPr>
        <w:t>11</w:t>
      </w:r>
    </w:p>
    <w:p>
      <w:pPr>
        <w:pStyle w:val="21"/>
        <w:tabs>
          <w:tab w:val="right" w:leader="middleDot" w:pos="8302"/>
        </w:tabs>
        <w:rPr>
          <w:smallCaps w:val="0"/>
          <w:kern w:val="2"/>
          <w:sz w:val="21"/>
          <w:lang/>
        </w:rPr>
      </w:pPr>
      <w:r>
        <w:rPr>
          <w:rStyle w:val="29"/>
          <w:rFonts w:ascii="SimHei" w:hAnsi="SimHei" w:eastAsia="黑体"/>
          <w:color w:val="000000"/>
          <w:szCs w:val="28"/>
          <w:u w:val="none"/>
          <w:lang/>
        </w:rPr>
        <w:t>3.1</w:t>
      </w:r>
      <w:r>
        <w:rPr>
          <w:rStyle w:val="29"/>
          <w:rFonts w:hint="eastAsia" w:ascii="SimHei" w:hAnsi="SimHei" w:eastAsia="黑体"/>
          <w:color w:val="000000"/>
          <w:szCs w:val="28"/>
          <w:u w:val="none"/>
          <w:lang/>
        </w:rPr>
        <w:t>员工制定个人发展计划</w:t>
      </w:r>
      <w:r>
        <w:rPr>
          <w:rFonts w:ascii="SimHei" w:hAnsi="SimHei" w:eastAsia="黑体"/>
          <w:color w:val="000000"/>
          <w:lang/>
        </w:rPr>
        <w:tab/>
      </w:r>
      <w:r>
        <w:rPr>
          <w:rFonts w:ascii="SimHei" w:hAnsi="SimHei" w:eastAsia="黑体"/>
          <w:color w:val="000000"/>
          <w:lang/>
        </w:rPr>
        <w:t>11</w:t>
      </w:r>
    </w:p>
    <w:p>
      <w:pPr>
        <w:pStyle w:val="21"/>
        <w:tabs>
          <w:tab w:val="right" w:leader="middleDot" w:pos="8302"/>
        </w:tabs>
        <w:rPr>
          <w:smallCaps w:val="0"/>
          <w:kern w:val="2"/>
          <w:sz w:val="21"/>
          <w:lang/>
        </w:rPr>
      </w:pPr>
      <w:r>
        <w:rPr>
          <w:rStyle w:val="29"/>
          <w:rFonts w:ascii="SimHei" w:hAnsi="SimHei" w:eastAsia="黑体"/>
          <w:color w:val="000000"/>
          <w:szCs w:val="28"/>
          <w:u w:val="none"/>
          <w:lang/>
        </w:rPr>
        <w:t xml:space="preserve">3.2 </w:t>
      </w:r>
      <w:r>
        <w:rPr>
          <w:rStyle w:val="29"/>
          <w:rFonts w:hint="eastAsia" w:ascii="SimHei" w:hAnsi="SimHei" w:eastAsia="黑体"/>
          <w:color w:val="000000"/>
          <w:szCs w:val="28"/>
          <w:u w:val="none"/>
          <w:lang/>
        </w:rPr>
        <w:t>公司协助加强职业发展规划</w:t>
      </w:r>
      <w:r>
        <w:rPr>
          <w:rFonts w:ascii="SimHei" w:hAnsi="SimHei" w:eastAsia="黑体"/>
          <w:color w:val="000000"/>
          <w:lang/>
        </w:rPr>
        <w:tab/>
      </w:r>
      <w:r>
        <w:rPr>
          <w:rFonts w:ascii="SimHei" w:hAnsi="SimHei" w:eastAsia="黑体"/>
          <w:color w:val="000000"/>
          <w:lang/>
        </w:rPr>
        <w:t>11</w:t>
      </w:r>
    </w:p>
    <w:p>
      <w:pPr>
        <w:pStyle w:val="12"/>
        <w:tabs>
          <w:tab w:val="right" w:leader="middleDot" w:pos="8302"/>
        </w:tabs>
        <w:rPr>
          <w:iCs w:val="0"/>
          <w:kern w:val="2"/>
          <w:lang/>
        </w:rPr>
      </w:pPr>
      <w:r>
        <w:rPr>
          <w:rStyle w:val="29"/>
          <w:rFonts w:ascii="SimHei" w:hAnsi="SimHei" w:eastAsia="黑体"/>
          <w:color w:val="000000"/>
          <w:u w:val="none"/>
          <w:lang/>
        </w:rPr>
        <w:t>3.2.1</w:t>
      </w:r>
      <w:r>
        <w:rPr>
          <w:rStyle w:val="29"/>
          <w:rFonts w:hint="eastAsia" w:ascii="SimHei" w:hAnsi="SimHei" w:eastAsia="黑体"/>
          <w:color w:val="000000"/>
          <w:u w:val="none"/>
          <w:lang/>
        </w:rPr>
        <w:t>管理人员开发</w:t>
      </w:r>
      <w:r>
        <w:rPr>
          <w:rFonts w:ascii="SimHei" w:hAnsi="SimHei" w:eastAsia="黑体"/>
          <w:color w:val="000000"/>
          <w:lang/>
        </w:rPr>
        <w:tab/>
      </w:r>
      <w:r>
        <w:rPr>
          <w:rFonts w:ascii="SimHei" w:hAnsi="SimHei" w:eastAsia="黑体"/>
          <w:color w:val="000000"/>
          <w:lang/>
        </w:rPr>
        <w:t>11</w:t>
      </w:r>
    </w:p>
    <w:p>
      <w:pPr>
        <w:pStyle w:val="12"/>
        <w:tabs>
          <w:tab w:val="right" w:leader="middleDot" w:pos="8302"/>
        </w:tabs>
        <w:rPr>
          <w:iCs w:val="0"/>
          <w:kern w:val="2"/>
          <w:lang/>
        </w:rPr>
      </w:pPr>
      <w:r>
        <w:rPr>
          <w:rStyle w:val="29"/>
          <w:rFonts w:ascii="SimHei" w:hAnsi="SimHei" w:eastAsia="黑体"/>
          <w:color w:val="000000"/>
          <w:u w:val="none"/>
          <w:lang/>
        </w:rPr>
        <w:t>3.2.2</w:t>
      </w:r>
      <w:r>
        <w:rPr>
          <w:rStyle w:val="29"/>
          <w:rFonts w:hint="eastAsia" w:ascii="SimHei" w:hAnsi="SimHei" w:eastAsia="黑体"/>
          <w:color w:val="000000"/>
          <w:u w:val="none"/>
          <w:lang/>
        </w:rPr>
        <w:t>绩效考评结果运用</w:t>
      </w:r>
      <w:r>
        <w:rPr>
          <w:rFonts w:ascii="SimHei" w:hAnsi="SimHei" w:eastAsia="黑体"/>
          <w:color w:val="000000"/>
          <w:lang/>
        </w:rPr>
        <w:tab/>
      </w:r>
      <w:r>
        <w:rPr>
          <w:rFonts w:ascii="SimHei" w:hAnsi="SimHei" w:eastAsia="黑体"/>
          <w:color w:val="000000"/>
          <w:lang/>
        </w:rPr>
        <w:t>12</w:t>
      </w:r>
    </w:p>
    <w:p>
      <w:pPr>
        <w:pStyle w:val="21"/>
        <w:tabs>
          <w:tab w:val="right" w:leader="middleDot" w:pos="8302"/>
        </w:tabs>
        <w:rPr>
          <w:smallCaps w:val="0"/>
          <w:kern w:val="2"/>
          <w:sz w:val="21"/>
          <w:lang/>
        </w:rPr>
      </w:pPr>
      <w:r>
        <w:rPr>
          <w:rStyle w:val="29"/>
          <w:rFonts w:ascii="SimHei" w:hAnsi="SimHei" w:eastAsia="黑体"/>
          <w:color w:val="000000"/>
          <w:szCs w:val="28"/>
          <w:u w:val="none"/>
          <w:lang/>
        </w:rPr>
        <w:t>3.3</w:t>
      </w:r>
      <w:r>
        <w:rPr>
          <w:rStyle w:val="29"/>
          <w:rFonts w:hint="eastAsia" w:ascii="SimHei" w:hAnsi="SimHei" w:eastAsia="黑体"/>
          <w:color w:val="000000"/>
          <w:szCs w:val="28"/>
          <w:u w:val="none"/>
          <w:lang/>
        </w:rPr>
        <w:t>实施纵向职业发展</w:t>
      </w:r>
      <w:r>
        <w:rPr>
          <w:rFonts w:ascii="SimHei" w:hAnsi="SimHei" w:eastAsia="黑体"/>
          <w:color w:val="000000"/>
          <w:lang/>
        </w:rPr>
        <w:tab/>
      </w:r>
      <w:r>
        <w:rPr>
          <w:rFonts w:ascii="SimHei" w:hAnsi="SimHei" w:eastAsia="黑体"/>
          <w:color w:val="000000"/>
          <w:lang/>
        </w:rPr>
        <w:t>13</w:t>
      </w:r>
    </w:p>
    <w:p>
      <w:pPr>
        <w:pStyle w:val="12"/>
        <w:tabs>
          <w:tab w:val="right" w:leader="middleDot" w:pos="8302"/>
        </w:tabs>
        <w:rPr>
          <w:iCs w:val="0"/>
          <w:kern w:val="2"/>
          <w:lang/>
        </w:rPr>
      </w:pPr>
      <w:r>
        <w:rPr>
          <w:rStyle w:val="29"/>
          <w:rFonts w:ascii="SimHei" w:hAnsi="SimHei" w:eastAsia="黑体"/>
          <w:color w:val="000000"/>
          <w:u w:val="none"/>
          <w:lang/>
        </w:rPr>
        <w:t>3.3.1</w:t>
      </w:r>
      <w:r>
        <w:rPr>
          <w:rStyle w:val="29"/>
          <w:rFonts w:hint="eastAsia" w:ascii="SimHei" w:hAnsi="SimHei" w:eastAsia="黑体"/>
          <w:color w:val="000000"/>
          <w:u w:val="none"/>
          <w:lang/>
        </w:rPr>
        <w:t>实施薪酬职级调整</w:t>
      </w:r>
      <w:r>
        <w:rPr>
          <w:rFonts w:ascii="SimHei" w:hAnsi="SimHei" w:eastAsia="黑体"/>
          <w:color w:val="000000"/>
          <w:lang/>
        </w:rPr>
        <w:tab/>
      </w:r>
      <w:r>
        <w:rPr>
          <w:rFonts w:ascii="SimHei" w:hAnsi="SimHei" w:eastAsia="黑体"/>
          <w:color w:val="000000"/>
          <w:lang/>
        </w:rPr>
        <w:t>13</w:t>
      </w:r>
    </w:p>
    <w:p>
      <w:pPr>
        <w:pStyle w:val="12"/>
        <w:tabs>
          <w:tab w:val="right" w:leader="middleDot" w:pos="8302"/>
        </w:tabs>
        <w:rPr>
          <w:iCs w:val="0"/>
          <w:kern w:val="2"/>
          <w:lang/>
        </w:rPr>
      </w:pPr>
      <w:r>
        <w:rPr>
          <w:rStyle w:val="29"/>
          <w:rFonts w:ascii="SimHei" w:hAnsi="SimHei" w:eastAsia="黑体"/>
          <w:color w:val="000000"/>
          <w:u w:val="none"/>
          <w:lang/>
        </w:rPr>
        <w:t>3.3.2</w:t>
      </w:r>
      <w:r>
        <w:rPr>
          <w:rStyle w:val="29"/>
          <w:rFonts w:hint="eastAsia" w:ascii="SimHei" w:hAnsi="SimHei" w:eastAsia="黑体"/>
          <w:color w:val="000000"/>
          <w:u w:val="none"/>
          <w:lang/>
        </w:rPr>
        <w:t>实施岗位职层调整</w:t>
      </w:r>
      <w:r>
        <w:rPr>
          <w:rFonts w:ascii="SimHei" w:hAnsi="SimHei" w:eastAsia="黑体"/>
          <w:color w:val="000000"/>
          <w:lang/>
        </w:rPr>
        <w:tab/>
      </w:r>
      <w:r>
        <w:rPr>
          <w:rFonts w:ascii="SimHei" w:hAnsi="SimHei" w:eastAsia="黑体"/>
          <w:color w:val="000000"/>
          <w:lang/>
        </w:rPr>
        <w:t>13</w:t>
      </w:r>
    </w:p>
    <w:p>
      <w:pPr>
        <w:pStyle w:val="21"/>
        <w:tabs>
          <w:tab w:val="right" w:leader="middleDot" w:pos="8302"/>
        </w:tabs>
        <w:rPr>
          <w:smallCaps w:val="0"/>
          <w:kern w:val="2"/>
          <w:sz w:val="21"/>
          <w:lang/>
        </w:rPr>
      </w:pPr>
      <w:r>
        <w:rPr>
          <w:rStyle w:val="29"/>
          <w:rFonts w:ascii="SimHei" w:hAnsi="SimHei" w:eastAsia="黑体"/>
          <w:color w:val="000000"/>
          <w:szCs w:val="28"/>
          <w:u w:val="none"/>
          <w:lang/>
        </w:rPr>
        <w:t>3.4</w:t>
      </w:r>
      <w:r>
        <w:rPr>
          <w:rStyle w:val="29"/>
          <w:rFonts w:hint="eastAsia" w:ascii="SimHei" w:hAnsi="SimHei" w:eastAsia="黑体"/>
          <w:color w:val="000000"/>
          <w:szCs w:val="28"/>
          <w:u w:val="none"/>
          <w:lang/>
        </w:rPr>
        <w:t>实施横向职业发展</w:t>
      </w:r>
      <w:r>
        <w:rPr>
          <w:rFonts w:ascii="SimHei" w:hAnsi="SimHei" w:eastAsia="黑体"/>
          <w:color w:val="000000"/>
          <w:lang/>
        </w:rPr>
        <w:tab/>
      </w:r>
      <w:r>
        <w:rPr>
          <w:rFonts w:ascii="SimHei" w:hAnsi="SimHei" w:eastAsia="黑体"/>
          <w:color w:val="000000"/>
          <w:lang/>
        </w:rPr>
        <w:t>14</w:t>
      </w:r>
    </w:p>
    <w:p>
      <w:pPr>
        <w:pStyle w:val="21"/>
        <w:tabs>
          <w:tab w:val="right" w:leader="middleDot" w:pos="8302"/>
        </w:tabs>
        <w:rPr>
          <w:smallCaps w:val="0"/>
          <w:kern w:val="2"/>
          <w:sz w:val="21"/>
          <w:lang/>
        </w:rPr>
      </w:pPr>
      <w:r>
        <w:rPr>
          <w:rStyle w:val="29"/>
          <w:rFonts w:ascii="SimHei" w:hAnsi="SimHei" w:eastAsia="黑体"/>
          <w:color w:val="000000"/>
          <w:szCs w:val="28"/>
          <w:u w:val="none"/>
          <w:lang/>
        </w:rPr>
        <w:t>3.5</w:t>
      </w:r>
      <w:r>
        <w:rPr>
          <w:rStyle w:val="29"/>
          <w:rFonts w:hint="eastAsia" w:ascii="SimHei" w:hAnsi="SimHei" w:eastAsia="黑体"/>
          <w:color w:val="000000"/>
          <w:szCs w:val="28"/>
          <w:u w:val="none"/>
          <w:lang/>
        </w:rPr>
        <w:t>职业发展相关培训</w:t>
      </w:r>
      <w:r>
        <w:rPr>
          <w:rFonts w:ascii="SimHei" w:hAnsi="SimHei" w:eastAsia="黑体"/>
          <w:color w:val="000000"/>
          <w:lang/>
        </w:rPr>
        <w:tab/>
      </w:r>
      <w:r>
        <w:rPr>
          <w:rFonts w:ascii="SimHei" w:hAnsi="SimHei" w:eastAsia="黑体"/>
          <w:color w:val="000000"/>
          <w:lang/>
        </w:rPr>
        <w:t>15</w:t>
      </w:r>
    </w:p>
    <w:p>
      <w:pPr>
        <w:pStyle w:val="12"/>
        <w:tabs>
          <w:tab w:val="right" w:leader="middleDot" w:pos="8302"/>
        </w:tabs>
        <w:rPr>
          <w:iCs w:val="0"/>
          <w:kern w:val="2"/>
          <w:lang/>
        </w:rPr>
      </w:pPr>
      <w:r>
        <w:rPr>
          <w:rStyle w:val="29"/>
          <w:rFonts w:ascii="SimHei" w:hAnsi="SimHei" w:eastAsia="黑体"/>
          <w:color w:val="000000"/>
          <w:u w:val="none"/>
          <w:lang/>
        </w:rPr>
        <w:t>3.5.1</w:t>
      </w:r>
      <w:r>
        <w:rPr>
          <w:rStyle w:val="29"/>
          <w:rFonts w:hint="eastAsia" w:hAnsi="SimHei" w:ascii="SimHei" w:eastAsia="黑体"/>
          <w:color w:val="000000"/>
          <w:u w:val="none"/>
          <w:lang/>
        </w:rPr>
        <w:t>入职培训</w:t>
      </w:r>
      <w:r>
        <w:rPr>
          <w:rFonts w:ascii="SimHei" w:hAnsi="SimHei" w:eastAsia="黑体"/>
          <w:color w:val="000000"/>
          <w:lang/>
        </w:rPr>
        <w:tab/>
      </w:r>
      <w:r>
        <w:rPr>
          <w:rFonts w:ascii="SimHei" w:hAnsi="SimHei" w:eastAsia="黑体"/>
          <w:color w:val="000000"/>
          <w:lang/>
        </w:rPr>
        <w:t>15</w:t>
      </w:r>
    </w:p>
    <w:p>
      <w:pPr>
        <w:pStyle w:val="12"/>
        <w:tabs>
          <w:tab w:val="right" w:leader="middleDot" w:pos="8302"/>
        </w:tabs>
        <w:rPr>
          <w:iCs w:val="0"/>
          <w:kern w:val="2"/>
          <w:lang/>
        </w:rPr>
      </w:pPr>
      <w:r>
        <w:rPr>
          <w:rStyle w:val="29"/>
          <w:rFonts w:ascii="SimHei" w:hAnsi="SimHei" w:eastAsia="黑体"/>
          <w:color w:val="000000"/>
          <w:u w:val="none"/>
          <w:lang/>
        </w:rPr>
        <w:t>3.5.2</w:t>
      </w:r>
      <w:r>
        <w:rPr>
          <w:rStyle w:val="29"/>
          <w:rFonts w:hint="eastAsia" w:hAnsi="SimHei" w:ascii="SimHei" w:eastAsia="黑体"/>
          <w:color w:val="000000"/>
          <w:u w:val="none"/>
          <w:lang/>
        </w:rPr>
        <w:t>在岗培训</w:t>
      </w:r>
      <w:r>
        <w:rPr>
          <w:rFonts w:ascii="SimHei" w:hAnsi="SimHei" w:eastAsia="黑体"/>
          <w:color w:val="000000"/>
          <w:lang/>
        </w:rPr>
        <w:tab/>
      </w:r>
      <w:r>
        <w:rPr>
          <w:rFonts w:ascii="SimHei" w:hAnsi="SimHei" w:eastAsia="黑体"/>
          <w:color w:val="000000"/>
          <w:lang/>
        </w:rPr>
        <w:t>15</w:t>
      </w:r>
    </w:p>
    <w:p>
      <w:pPr>
        <w:pStyle w:val="12"/>
        <w:tabs>
          <w:tab w:val="right" w:leader="middleDot" w:pos="8302"/>
        </w:tabs>
        <w:rPr>
          <w:iCs w:val="0"/>
          <w:kern w:val="2"/>
          <w:lang/>
        </w:rPr>
      </w:pPr>
      <w:r>
        <w:rPr>
          <w:rStyle w:val="29"/>
          <w:rFonts w:ascii="SimHei" w:hAnsi="SimHei" w:eastAsia="黑体"/>
          <w:color w:val="000000"/>
          <w:u w:val="none"/>
          <w:lang/>
        </w:rPr>
        <w:t>3.5.3</w:t>
      </w:r>
      <w:r>
        <w:rPr>
          <w:rStyle w:val="29"/>
          <w:rFonts w:hint="eastAsia" w:hAnsi="SimHei" w:ascii="SimHei" w:eastAsia="黑体"/>
          <w:color w:val="000000"/>
          <w:u w:val="none"/>
          <w:lang/>
        </w:rPr>
        <w:t>转岗培训</w:t>
      </w:r>
      <w:r>
        <w:rPr>
          <w:rFonts w:ascii="SimHei" w:hAnsi="SimHei" w:eastAsia="黑体"/>
          <w:color w:val="000000"/>
          <w:lang/>
        </w:rPr>
        <w:tab/>
      </w:r>
      <w:r>
        <w:rPr>
          <w:rFonts w:ascii="SimHei" w:hAnsi="SimHei" w:eastAsia="黑体"/>
          <w:color w:val="000000"/>
          <w:lang/>
        </w:rPr>
        <w:t>16</w:t>
      </w:r>
    </w:p>
    <w:p>
      <w:pPr>
        <w:pStyle w:val="18"/>
        <w:tabs>
          <w:tab w:val="right" w:leader="middleDot" w:pos="8302"/>
        </w:tabs>
        <w:rPr>
          <w:b w:val="0"/>
          <w:bCs w:val="0"/>
          <w:caps w:val="0"/>
          <w:kern w:val="2"/>
          <w:sz w:val="21"/>
          <w:lang/>
        </w:rPr>
      </w:pPr>
      <w:r>
        <w:rPr>
          <w:rStyle w:val="29"/>
          <w:rFonts w:hint="eastAsia" w:ascii="SimHei" w:hAnsi="SimHei" w:eastAsia="黑体"/>
          <w:color w:val="000000"/>
          <w:szCs w:val="30"/>
          <w:u w:val="none"/>
          <w:lang/>
        </w:rPr>
        <w:t>第四章：补充规定</w:t>
      </w:r>
      <w:r>
        <w:rPr>
          <w:rFonts w:ascii="SimHei" w:hAnsi="SimHei" w:eastAsia="黑体"/>
          <w:color w:val="000000"/>
          <w:lang/>
        </w:rPr>
        <w:tab/>
      </w:r>
      <w:r>
        <w:rPr>
          <w:rFonts w:ascii="SimHei" w:hAnsi="SimHei" w:eastAsia="黑体"/>
          <w:color w:val="000000"/>
          <w:lang/>
        </w:rPr>
        <w:t>17</w:t>
      </w:r>
    </w:p>
    <w:p>
      <w:pPr>
        <w:pStyle w:val="21"/>
        <w:tabs>
          <w:tab w:val="right" w:leader="middleDot" w:pos="8302"/>
        </w:tabs>
        <w:rPr>
          <w:smallCaps w:val="0"/>
          <w:kern w:val="2"/>
          <w:sz w:val="21"/>
          <w:lang/>
        </w:rPr>
      </w:pPr>
      <w:r>
        <w:rPr>
          <w:rStyle w:val="29"/>
          <w:rFonts w:ascii="SimHei" w:hAnsi="SimHei" w:eastAsia="黑体"/>
          <w:color w:val="000000"/>
          <w:szCs w:val="28"/>
          <w:u w:val="none"/>
          <w:lang/>
        </w:rPr>
        <w:t>4.1</w:t>
      </w:r>
      <w:r>
        <w:rPr>
          <w:rStyle w:val="29"/>
          <w:rFonts w:hint="eastAsia" w:ascii="SimHei" w:hAnsi="SimHei" w:eastAsia="黑体"/>
          <w:color w:val="000000"/>
          <w:szCs w:val="28"/>
          <w:u w:val="none"/>
          <w:lang/>
        </w:rPr>
        <w:t>员工职业发展制度的修订</w:t>
      </w:r>
      <w:r>
        <w:rPr>
          <w:rFonts w:ascii="SimHei" w:hAnsi="SimHei" w:eastAsia="黑体"/>
          <w:color w:val="000000"/>
          <w:lang/>
        </w:rPr>
        <w:tab/>
      </w:r>
      <w:r>
        <w:rPr>
          <w:rFonts w:ascii="SimHei" w:hAnsi="SimHei" w:eastAsia="黑体"/>
          <w:color w:val="000000"/>
          <w:lang/>
        </w:rPr>
        <w:t>17</w:t>
      </w:r>
    </w:p>
    <w:p>
      <w:pPr>
        <w:pStyle w:val="21"/>
        <w:tabs>
          <w:tab w:val="right" w:leader="middleDot" w:pos="8302"/>
        </w:tabs>
        <w:rPr>
          <w:smallCaps w:val="0"/>
          <w:kern w:val="2"/>
          <w:sz w:val="21"/>
          <w:lang/>
        </w:rPr>
      </w:pPr>
      <w:r>
        <w:rPr>
          <w:rStyle w:val="29"/>
          <w:rFonts w:ascii="SimHei" w:hAnsi="SimHei" w:eastAsia="黑体"/>
          <w:color w:val="000000"/>
          <w:szCs w:val="28"/>
          <w:u w:val="none"/>
          <w:lang/>
        </w:rPr>
        <w:t>4.2</w:t>
      </w:r>
      <w:r>
        <w:rPr>
          <w:rStyle w:val="29"/>
          <w:rFonts w:hint="eastAsia" w:ascii="SimHei" w:hAnsi="SimHei" w:eastAsia="黑体"/>
          <w:color w:val="000000"/>
          <w:szCs w:val="28"/>
          <w:u w:val="none"/>
          <w:lang/>
        </w:rPr>
        <w:t>职业发展申诉</w:t>
      </w:r>
      <w:r>
        <w:rPr>
          <w:rFonts w:ascii="SimHei" w:hAnsi="SimHei" w:eastAsia="黑体"/>
          <w:color w:val="000000"/>
          <w:lang/>
        </w:rPr>
        <w:tab/>
      </w:r>
      <w:r>
        <w:rPr>
          <w:rFonts w:ascii="SimHei" w:hAnsi="SimHei" w:eastAsia="黑体"/>
          <w:color w:val="000000"/>
          <w:lang/>
        </w:rPr>
        <w:t>17</w:t>
      </w:r>
    </w:p>
    <w:p>
      <w:pPr>
        <w:pStyle w:val="3"/>
        <w:spacing w:before="120" w:after="120"/>
        <w:rPr>
          <w:sz w:val="21"/>
        </w:rPr>
      </w:pPr>
      <w:r>
        <w:rPr>
          <w:rFonts w:ascii="SimHei" w:hAnsi="SimHei" w:eastAsia="黑体"/>
          <w:sz w:val="21"/>
        </w:rPr>
      </w:r>
    </w:p>
    <w:p>
      <w:pPr>
        <w:jc w:val="center"/>
        <w:rPr>
          <w:rFonts w:hint="eastAsia" w:ascii="宋体" w:hAnsi="宋体"/>
          <w:sz w:val="28"/>
        </w:rPr>
      </w:pPr>
      <w:r>
        <w:rPr>
          <w:rFonts w:ascii="SimHei" w:hAnsi="SimHei" w:eastAsia="黑体"/>
          <w:sz w:val="21"/>
        </w:rPr>
      </w:r>
      <w:r>
        <w:rPr>
          <w:rFonts w:hint="eastAsia" w:ascii="SimHei" w:hAnsi="SimHei" w:eastAsia="黑体"/>
          <w:sz w:val="28"/>
        </w:rPr>
        <w:t>前   言</w:t>
      </w:r>
      <w:bookmarkEnd w:id="0"/>
      <w:bookmarkEnd w:id="1"/>
      <w:bookmarkEnd w:id="2"/>
    </w:p>
    <w:p>
      <w:pPr>
        <w:pStyle w:val="10"/>
        <w:rPr>
          <w:rFonts w:hint="eastAsia" w:hAnsi="宋体"/>
        </w:rPr>
      </w:pPr>
      <w:r>
        <w:rPr>
          <w:rFonts w:hint="eastAsia" w:hAnsi="SimHei" w:ascii="SimHei" w:eastAsia="黑体"/>
        </w:rPr>
        <w:t xml:space="preserve">欢迎加盟XX！您将在这里开始一段全新的职业经历！经过十年的拼搏，XX已不再满足于国内的成功，而是不断向专业化、国际化方向迈进。公司认为员工是最宝贵的财富，是创新的源泉，正是广大员工的积极进取、不懈拼搏造就了XX现在的辉煌！因此公司除了为员工提供丰厚的薪酬，更是把员工的培训与发展视为己任，在这里您将能按照多种途径来规划您的职业生涯，并得到大量相关培训的支持！ </w:t>
      </w:r>
    </w:p>
    <w:p>
      <w:pPr>
        <w:pStyle w:val="10"/>
        <w:rPr>
          <w:rFonts w:hint="eastAsia" w:hAnsi="宋体"/>
        </w:rPr>
      </w:pPr>
      <w:r>
        <w:rPr>
          <w:rFonts w:hint="eastAsia" w:hAnsi="SimHei" w:ascii="SimHei" w:eastAsia="黑体"/>
        </w:rPr>
        <w:t>XX将给每位员工提供施展自己才能的舞台，在此刻，让我们一同牢记XX的企业文化：</w:t>
      </w:r>
    </w:p>
    <w:p>
      <w:pPr>
        <w:pStyle w:val="10"/>
        <w:numPr>
          <w:ilvl w:val="0"/>
          <w:numId w:val="1"/>
        </w:numPr>
        <w:tabs>
          <w:tab w:val="left" w:pos="964"/>
          <w:tab w:val="clear" w:pos="425"/>
        </w:tabs>
        <w:ind w:left="964"/>
        <w:rPr>
          <w:rFonts w:hint="eastAsia" w:hAnsi="宋体"/>
        </w:rPr>
      </w:pPr>
      <w:r>
        <w:rPr>
          <w:rFonts w:hint="eastAsia" w:hAnsi="SimHei" w:ascii="SimHei" w:eastAsia="黑体"/>
          <w:color w:val="FF0000"/>
        </w:rPr>
        <w:t xml:space="preserve">安居乐业 </w:t>
      </w:r>
    </w:p>
    <w:p>
      <w:pPr>
        <w:pStyle w:val="10"/>
        <w:numPr>
          <w:ilvl w:val="0"/>
          <w:numId w:val="1"/>
        </w:numPr>
        <w:tabs>
          <w:tab w:val="left" w:pos="964"/>
          <w:tab w:val="clear" w:pos="425"/>
        </w:tabs>
        <w:ind w:left="964"/>
        <w:rPr>
          <w:rFonts w:hint="eastAsia" w:hAnsi="宋体"/>
        </w:rPr>
      </w:pPr>
      <w:r>
        <w:rPr>
          <w:rFonts w:hint="eastAsia" w:hAnsi="SimHei" w:ascii="SimHei" w:eastAsia="黑体"/>
        </w:rPr>
        <w:t>融洽祥和</w:t>
      </w:r>
    </w:p>
    <w:p>
      <w:pPr>
        <w:pStyle w:val="10"/>
        <w:numPr>
          <w:ilvl w:val="0"/>
          <w:numId w:val="1"/>
        </w:numPr>
        <w:tabs>
          <w:tab w:val="left" w:pos="964"/>
          <w:tab w:val="clear" w:pos="425"/>
        </w:tabs>
        <w:ind w:left="964"/>
        <w:rPr>
          <w:rFonts w:hint="eastAsia" w:hAnsi="宋体"/>
        </w:rPr>
      </w:pPr>
      <w:r>
        <w:rPr>
          <w:rFonts w:hint="eastAsia" w:hAnsi="SimHei" w:ascii="SimHei" w:eastAsia="黑体"/>
        </w:rPr>
        <w:t>知书达礼</w:t>
      </w:r>
    </w:p>
    <w:p>
      <w:pPr>
        <w:pStyle w:val="10"/>
        <w:numPr>
          <w:ilvl w:val="0"/>
          <w:numId w:val="1"/>
        </w:numPr>
        <w:tabs>
          <w:tab w:val="left" w:pos="964"/>
          <w:tab w:val="clear" w:pos="425"/>
        </w:tabs>
        <w:ind w:left="964"/>
        <w:rPr>
          <w:rFonts w:hint="eastAsia" w:hAnsi="宋体"/>
        </w:rPr>
      </w:pPr>
      <w:r>
        <w:rPr>
          <w:rFonts w:hint="eastAsia" w:hAnsi="SimHei" w:ascii="SimHei" w:eastAsia="黑体"/>
        </w:rPr>
        <w:t>生机勃勃</w:t>
      </w:r>
    </w:p>
    <w:p>
      <w:pPr>
        <w:pStyle w:val="10"/>
        <w:ind w:left="539" w:firstLine="0"/>
        <w:rPr>
          <w:rFonts w:hint="eastAsia" w:hAnsi="宋体"/>
        </w:rPr>
      </w:pPr>
    </w:p>
    <w:p>
      <w:pPr>
        <w:pStyle w:val="2"/>
        <w:jc w:val="center"/>
        <w:rPr>
          <w:rFonts w:hint="eastAsia" w:ascii="宋体" w:hAnsi="宋体"/>
        </w:rPr>
      </w:pPr>
      <w:bookmarkStart w:id="3" w:name="_Toc15371177"/>
      <w:bookmarkStart w:id="4" w:name="_Toc15391302"/>
      <w:bookmarkStart w:id="5" w:name="_Toc15742140"/>
      <w:r>
        <w:rPr>
          <w:rFonts w:hint="eastAsia" w:ascii="SimHei" w:hAnsi="SimHei" w:eastAsia="黑体"/>
        </w:rPr>
        <w:t>第一章：总则</w:t>
      </w:r>
      <w:bookmarkEnd w:id="3"/>
      <w:bookmarkEnd w:id="4"/>
      <w:bookmarkEnd w:id="5"/>
    </w:p>
    <w:p>
      <w:pPr>
        <w:pStyle w:val="3"/>
        <w:rPr>
          <w:rFonts w:hint="eastAsia"/>
        </w:rPr>
      </w:pPr>
      <w:bookmarkStart w:id="6" w:name="_Toc15371178"/>
      <w:bookmarkStart w:id="7" w:name="_Toc15391303"/>
      <w:bookmarkStart w:id="8" w:name="_Toc15742141"/>
      <w:r>
        <w:rPr>
          <w:rFonts w:hint="eastAsia" w:ascii="SimHei" w:hAnsi="SimHei" w:eastAsia="黑体"/>
        </w:rPr>
        <w:t>1.1设立职业发展系统的意义</w:t>
      </w:r>
      <w:bookmarkEnd w:id="6"/>
      <w:bookmarkEnd w:id="7"/>
      <w:bookmarkEnd w:id="8"/>
    </w:p>
    <w:p>
      <w:pPr>
        <w:pStyle w:val="4"/>
        <w:numPr>
          <w:ilvl w:val="0"/>
          <w:numId w:val="2"/>
        </w:numPr>
        <w:spacing w:after="156"/>
        <w:ind w:left="840" w:hanging="840"/>
        <w:rPr>
          <w:rFonts w:hint="eastAsia" w:hAnsi="宋体"/>
        </w:rPr>
      </w:pPr>
      <w:r>
        <w:rPr>
          <w:rFonts w:hint="eastAsia" w:hAnsi="SimHei" w:ascii="SimHei" w:eastAsia="黑体"/>
        </w:rPr>
        <w:t>设立职业发展制度的直接目的是为了实现公司人力资源发展目标和帮助员工实现个人的职业发展目标；职业规划能保证企业未来人才的需要，通过为员工提供发展空间及职业发展相关的信息，引导员工发展与企业发展结合起来，有效保证企业未来发展的人才需要</w:t>
      </w:r>
    </w:p>
    <w:p>
      <w:pPr>
        <w:pStyle w:val="4"/>
        <w:numPr>
          <w:ilvl w:val="0"/>
          <w:numId w:val="2"/>
        </w:numPr>
        <w:spacing w:after="156"/>
        <w:ind w:left="840" w:hanging="840"/>
        <w:rPr>
          <w:rFonts w:hint="eastAsia" w:hAnsi="宋体"/>
          <w:color w:val="FF0000"/>
        </w:rPr>
      </w:pPr>
      <w:r>
        <w:rPr>
          <w:rFonts w:hint="eastAsia" w:hAnsi="SimHei" w:ascii="SimHei" w:eastAsia="黑体"/>
          <w:color w:val="FF0000"/>
        </w:rPr>
        <w:t>为了直接实现员工的职业发展，本制度对员工可能的各种职业发展途径进行了安排，并包括职位轮换计划、培训计划、提升计划等，通过职业发展计划可以帮助员工实现对个人创造力和职业扩展的期望，促使员工不断提高自身能力</w:t>
      </w:r>
    </w:p>
    <w:p>
      <w:pPr>
        <w:pStyle w:val="4"/>
        <w:numPr>
          <w:ilvl w:val="0"/>
          <w:numId w:val="2"/>
        </w:numPr>
        <w:spacing w:after="156"/>
        <w:ind w:left="840" w:hanging="840"/>
        <w:rPr>
          <w:rFonts w:hint="eastAsia" w:hAnsi="宋体"/>
        </w:rPr>
      </w:pPr>
      <w:r>
        <w:rPr>
          <w:rFonts w:hint="eastAsia" w:hAnsi="SimHei" w:ascii="SimHei" w:eastAsia="黑体"/>
        </w:rPr>
        <w:t>职业发展与工作分析、人力资源计划、招聘与选拨、绩效评估、培训等有密切联系</w:t>
      </w:r>
    </w:p>
    <w:p>
      <w:pPr>
        <w:pStyle w:val="3"/>
        <w:rPr>
          <w:rFonts w:hint="eastAsia"/>
        </w:rPr>
      </w:pPr>
      <w:bookmarkStart w:id="9" w:name="_Toc15371179"/>
      <w:bookmarkStart w:id="10" w:name="_Toc15391304"/>
      <w:bookmarkStart w:id="11" w:name="_Toc15742142"/>
      <w:r>
        <w:rPr>
          <w:rFonts w:hint="eastAsia" w:ascii="SimHei" w:hAnsi="SimHei" w:eastAsia="黑体"/>
        </w:rPr>
        <w:t>1.2职业发展系统总述</w:t>
      </w:r>
      <w:bookmarkEnd w:id="9"/>
      <w:bookmarkEnd w:id="10"/>
      <w:bookmarkEnd w:id="11"/>
    </w:p>
    <w:p>
      <w:pPr>
        <w:pStyle w:val="4"/>
        <w:numPr>
          <w:ilvl w:val="0"/>
          <w:numId w:val="3"/>
        </w:numPr>
        <w:spacing w:after="156"/>
        <w:rPr>
          <w:rFonts w:hint="eastAsia" w:hAnsi="宋体"/>
        </w:rPr>
      </w:pPr>
      <w:r>
        <w:rPr>
          <w:rFonts w:hint="eastAsia" w:hAnsi="SimHei" w:ascii="SimHei" w:eastAsia="黑体"/>
        </w:rPr>
        <w:t>职业发展系统包括三部分：职业发展基础制度系统、职业发展实施系统及培训支持体系（见附图1）</w:t>
      </w:r>
    </w:p>
    <w:p>
      <w:pPr>
        <w:pStyle w:val="4"/>
        <w:numPr>
          <w:ilvl w:val="0"/>
          <w:numId w:val="2"/>
        </w:numPr>
        <w:spacing w:after="156"/>
        <w:ind w:left="840" w:hanging="840"/>
        <w:rPr>
          <w:rFonts w:hint="eastAsia" w:hAnsi="宋体"/>
        </w:rPr>
      </w:pPr>
      <w:r>
        <w:rPr>
          <w:rFonts w:hint="eastAsia" w:hAnsi="SimHei" w:ascii="SimHei" w:eastAsia="黑体"/>
        </w:rPr>
        <w:t>职业发展基础制度系统包括三方面内容：</w:t>
      </w:r>
    </w:p>
    <w:p>
      <w:pPr>
        <w:pStyle w:val="4"/>
        <w:numPr>
          <w:ilvl w:val="0"/>
          <w:numId w:val="3"/>
        </w:numPr>
        <w:spacing w:after="156"/>
        <w:rPr>
          <w:rFonts w:hint="eastAsia" w:hAnsi="宋体"/>
        </w:rPr>
      </w:pPr>
      <w:r>
        <w:rPr>
          <w:rFonts w:hint="eastAsia" w:hAnsi="SimHei" w:ascii="SimHei" w:eastAsia="黑体"/>
        </w:rPr>
        <w:t>确定职业发展矩阵：即员工进入企业后，在其已有的专业知识和技能特点的基础上，配合组织发展目标进行有计划的学习、培训和锻炼，从而在职务和职位晋升方面可能获得的职业发展路线；其中包括行政管理路线和专业路线</w:t>
      </w:r>
    </w:p>
    <w:p>
      <w:pPr>
        <w:pStyle w:val="4"/>
        <w:numPr>
          <w:ilvl w:val="0"/>
          <w:numId w:val="3"/>
        </w:numPr>
        <w:spacing w:after="156"/>
        <w:rPr>
          <w:rFonts w:hint="eastAsia" w:hAnsi="宋体"/>
        </w:rPr>
      </w:pPr>
      <w:r>
        <w:rPr>
          <w:rFonts w:hint="eastAsia" w:hAnsi="SimHei" w:ascii="SimHei" w:eastAsia="黑体"/>
        </w:rPr>
        <w:t>明确岗位所需任职资格及能力：不同层次与不同类型岗位由于工作性质、内容和环境不同，对任职者的能力也有不同要求，因此必须明确各岗位的任职资格与能力要求任职资格参见各岗位职务说明书，能力要求参见各岗位5项能力考核指标</w:t>
      </w:r>
    </w:p>
    <w:p>
      <w:pPr>
        <w:pStyle w:val="4"/>
        <w:numPr>
          <w:ilvl w:val="0"/>
          <w:numId w:val="3"/>
        </w:numPr>
        <w:spacing w:after="156"/>
        <w:rPr>
          <w:rFonts w:hint="eastAsia" w:hAnsi="宋体"/>
        </w:rPr>
      </w:pPr>
      <w:r>
        <w:rPr>
          <w:rFonts w:hint="eastAsia" w:hAnsi="SimHei" w:ascii="SimHei" w:eastAsia="黑体"/>
        </w:rPr>
        <w:t>明确职业发展路线的薪酬结构：在确定职业发展矩阵的基础上，需要明确各层次岗位薪酬结构及薪酬水平，以便将绩效考评结果运用到薪酬职级调整和岗位职层调整中</w:t>
      </w:r>
    </w:p>
    <w:p>
      <w:pPr>
        <w:pStyle w:val="4"/>
        <w:numPr>
          <w:ilvl w:val="0"/>
          <w:numId w:val="2"/>
        </w:numPr>
        <w:spacing w:after="156"/>
        <w:ind w:left="840" w:hanging="840"/>
        <w:rPr>
          <w:rFonts w:hint="eastAsia" w:hAnsi="宋体"/>
        </w:rPr>
      </w:pPr>
      <w:r>
        <w:rPr>
          <w:rFonts w:hint="eastAsia" w:hAnsi="SimHei" w:ascii="SimHei" w:eastAsia="黑体"/>
        </w:rPr>
        <w:t>职业发展实施系统：</w:t>
      </w:r>
    </w:p>
    <w:p>
      <w:pPr>
        <w:pStyle w:val="4"/>
        <w:numPr>
          <w:ilvl w:val="0"/>
          <w:numId w:val="3"/>
        </w:numPr>
        <w:spacing w:after="156"/>
        <w:rPr>
          <w:rFonts w:hint="eastAsia" w:hAnsi="宋体"/>
          <w:color w:val="FF0000"/>
        </w:rPr>
      </w:pPr>
      <w:r>
        <w:rPr>
          <w:rFonts w:hint="eastAsia" w:hAnsi="SimHei" w:ascii="SimHei" w:eastAsia="黑体"/>
        </w:rPr>
        <w:t>个</w:t>
      </w:r>
      <w:r>
        <w:rPr>
          <w:rFonts w:hint="eastAsia" w:hAnsi="SimHei" w:ascii="SimHei" w:eastAsia="黑体"/>
          <w:color w:val="FF0000"/>
        </w:rPr>
        <w:t>人制定职业发展规划：个人发展规划是指员工通过各种信息来确定自己的职业兴趣、价值观、性格，从而明确本人在企业中可能的发展路线，自我评估在职业发展中有助于员工了解自己的状况，制定职业发展方案</w:t>
      </w:r>
    </w:p>
    <w:p>
      <w:pPr>
        <w:pStyle w:val="4"/>
        <w:numPr>
          <w:ilvl w:val="0"/>
          <w:numId w:val="3"/>
        </w:numPr>
        <w:spacing w:after="156"/>
        <w:rPr>
          <w:rFonts w:hint="eastAsia" w:hAnsi="宋体"/>
          <w:color w:val="FF0000"/>
        </w:rPr>
      </w:pPr>
      <w:r>
        <w:rPr>
          <w:rFonts w:hint="eastAsia" w:hAnsi="SimHei" w:ascii="SimHei" w:eastAsia="黑体"/>
          <w:color w:val="FF0000"/>
        </w:rPr>
        <w:t>组织协助确定员工职业发展规划：组织需要对员工的工作业绩、工作能力和所具备的潜力作出客观公正的评估，根据评估结果为其制定职业发展规划，组织能否正确评价每个员工个人能力和潜力是员工职业发展的关键</w:t>
      </w:r>
    </w:p>
    <w:p>
      <w:pPr>
        <w:pStyle w:val="4"/>
        <w:numPr>
          <w:ilvl w:val="0"/>
          <w:numId w:val="3"/>
        </w:numPr>
        <w:spacing w:after="156"/>
        <w:rPr>
          <w:rFonts w:hint="eastAsia" w:hAnsi="宋体"/>
        </w:rPr>
      </w:pPr>
      <w:r>
        <w:rPr>
          <w:rFonts w:hint="eastAsia" w:hAnsi="SimHei" w:ascii="SimHei" w:eastAsia="黑体"/>
          <w:color w:val="FF0000"/>
        </w:rPr>
        <w:t>员工晋升与发展的实施：包括薪酬职级的调整、岗位职层的调整、内部招聘、岗位轮换，这是员工职业发展的最终体现，其实施需要职业发展管理委员会重点控制，以确保过程的公平性</w:t>
      </w:r>
    </w:p>
    <w:p>
      <w:pPr>
        <w:pStyle w:val="4"/>
        <w:numPr>
          <w:ilvl w:val="0"/>
          <w:numId w:val="2"/>
        </w:numPr>
        <w:spacing w:after="156"/>
        <w:ind w:left="840" w:hanging="840"/>
        <w:rPr>
          <w:rFonts w:hint="eastAsia" w:hAnsi="宋体"/>
        </w:rPr>
      </w:pPr>
      <w:r>
        <w:rPr>
          <w:rFonts w:hint="eastAsia" w:hAnsi="SimHei" w:ascii="SimHei" w:eastAsia="黑体"/>
        </w:rPr>
        <w:t>培训支持体系：</w:t>
      </w:r>
    </w:p>
    <w:p>
      <w:pPr>
        <w:pStyle w:val="4"/>
        <w:numPr>
          <w:ilvl w:val="0"/>
          <w:numId w:val="3"/>
        </w:numPr>
        <w:spacing w:after="156"/>
        <w:rPr>
          <w:rFonts w:hint="eastAsia" w:hAnsi="宋体"/>
        </w:rPr>
      </w:pPr>
      <w:r>
        <w:rPr>
          <w:rFonts w:hint="eastAsia" w:hAnsi="SimHei" w:ascii="SimHei" w:eastAsia="黑体"/>
        </w:rPr>
        <w:t>入职培训：新员工入职培训（ORIENTATION）在员工到岗后的1月内进行，内容包括企业文化培训、产品知识培训及专业知识培训几个模块，可以使员工迅速熟悉公司文化，了解产品知识，同时使员工的团队合作意识得到强化</w:t>
      </w:r>
    </w:p>
    <w:p>
      <w:pPr>
        <w:pStyle w:val="4"/>
        <w:numPr>
          <w:ilvl w:val="0"/>
          <w:numId w:val="3"/>
        </w:numPr>
        <w:spacing w:after="156"/>
        <w:rPr>
          <w:rFonts w:hint="eastAsia" w:hAnsi="宋体"/>
        </w:rPr>
      </w:pPr>
      <w:r>
        <w:rPr>
          <w:rFonts w:hint="eastAsia" w:hAnsi="SimHei" w:ascii="SimHei" w:eastAsia="黑体"/>
        </w:rPr>
        <w:t>在职培训：在职培训是指在日常工作中对员工的培养训练即通过制定工作计划、分配调整工作、听取汇报和意见、评价考核业绩、推进工作改善、帮助解决问题等途径对员工进行的指导</w:t>
      </w:r>
    </w:p>
    <w:p>
      <w:pPr>
        <w:pStyle w:val="4"/>
        <w:numPr>
          <w:ilvl w:val="0"/>
          <w:numId w:val="3"/>
        </w:numPr>
        <w:spacing w:after="156"/>
        <w:rPr>
          <w:rFonts w:hint="eastAsia" w:hAnsi="宋体"/>
        </w:rPr>
      </w:pPr>
      <w:r>
        <w:rPr>
          <w:rFonts w:hint="eastAsia" w:hAnsi="SimHei" w:ascii="SimHei" w:eastAsia="黑体"/>
        </w:rPr>
        <w:t>转岗培训：职业发展执行小组为了让新晋升或轮岗的员工尽快熟悉和胜任岗位而专门开的培训工作，内容包括：岗位工作介绍、岗位任职能力培训、岗位所需专业知识培训</w:t>
      </w:r>
    </w:p>
    <w:p>
      <w:pPr>
        <w:pStyle w:val="3"/>
        <w:rPr>
          <w:rFonts w:hint="eastAsia"/>
        </w:rPr>
      </w:pPr>
      <w:bookmarkStart w:id="12" w:name="_Toc15371180"/>
      <w:bookmarkStart w:id="13" w:name="_Toc15391305"/>
      <w:bookmarkStart w:id="14" w:name="_Toc15742143"/>
      <w:r>
        <w:rPr>
          <w:rFonts w:hint="eastAsia" w:ascii="SimHei" w:hAnsi="SimHei" w:eastAsia="黑体"/>
        </w:rPr>
        <w:t>1.3职业发展执行机构</w:t>
      </w:r>
      <w:bookmarkEnd w:id="12"/>
      <w:bookmarkEnd w:id="13"/>
      <w:bookmarkEnd w:id="14"/>
    </w:p>
    <w:p>
      <w:pPr>
        <w:pStyle w:val="4"/>
        <w:numPr>
          <w:ilvl w:val="0"/>
          <w:numId w:val="2"/>
        </w:numPr>
        <w:spacing w:after="156"/>
        <w:ind w:left="840" w:hanging="840"/>
        <w:rPr>
          <w:rFonts w:hint="eastAsia" w:hAnsi="宋体"/>
        </w:rPr>
      </w:pPr>
      <w:r>
        <w:rPr>
          <w:rFonts w:hint="eastAsia" w:hAnsi="SimHei" w:ascii="SimHei" w:eastAsia="黑体"/>
        </w:rPr>
        <w:t>职业发展管理委员会组成</w:t>
      </w:r>
    </w:p>
    <w:p>
      <w:pPr>
        <w:pStyle w:val="4"/>
        <w:numPr>
          <w:ilvl w:val="0"/>
          <w:numId w:val="3"/>
        </w:numPr>
        <w:spacing w:after="156"/>
        <w:rPr>
          <w:rFonts w:hint="eastAsia" w:hAnsi="宋体"/>
        </w:rPr>
      </w:pPr>
      <w:r>
        <w:rPr>
          <w:rFonts w:hint="eastAsia" w:hAnsi="SimHei" w:ascii="SimHei" w:eastAsia="黑体"/>
        </w:rPr>
        <w:t>主席：董事长</w:t>
      </w:r>
    </w:p>
    <w:p>
      <w:pPr>
        <w:pStyle w:val="4"/>
        <w:numPr>
          <w:ilvl w:val="0"/>
          <w:numId w:val="3"/>
        </w:numPr>
        <w:spacing w:after="156"/>
        <w:rPr>
          <w:rFonts w:hint="eastAsia" w:hAnsi="宋体"/>
        </w:rPr>
      </w:pPr>
      <w:r>
        <w:rPr>
          <w:rFonts w:hint="eastAsia" w:hAnsi="SimHei" w:ascii="SimHei" w:eastAsia="黑体"/>
        </w:rPr>
        <w:t>副主席：总经理</w:t>
      </w:r>
    </w:p>
    <w:p>
      <w:pPr>
        <w:pStyle w:val="4"/>
        <w:numPr>
          <w:ilvl w:val="0"/>
          <w:numId w:val="3"/>
        </w:numPr>
        <w:spacing w:after="156"/>
        <w:rPr>
          <w:rFonts w:hint="eastAsia" w:hAnsi="宋体"/>
        </w:rPr>
      </w:pPr>
      <w:r>
        <w:rPr>
          <w:rFonts w:hint="eastAsia" w:hAnsi="SimHei" w:ascii="SimHei" w:eastAsia="黑体"/>
        </w:rPr>
        <w:t>执行副主席：人力资源部经理</w:t>
      </w:r>
    </w:p>
    <w:p>
      <w:pPr>
        <w:pStyle w:val="4"/>
        <w:numPr>
          <w:ilvl w:val="0"/>
          <w:numId w:val="3"/>
        </w:numPr>
        <w:spacing w:after="156"/>
        <w:rPr>
          <w:rFonts w:hint="eastAsia" w:hAnsi="宋体"/>
        </w:rPr>
      </w:pPr>
      <w:r>
        <w:rPr>
          <w:rFonts w:hint="eastAsia" w:hAnsi="SimHei" w:ascii="SimHei" w:eastAsia="黑体"/>
        </w:rPr>
        <w:t>委员会成员：主管制造、营销、技术的副总经理；财务总监</w:t>
      </w:r>
    </w:p>
    <w:p>
      <w:pPr>
        <w:pStyle w:val="4"/>
        <w:numPr>
          <w:ilvl w:val="0"/>
          <w:numId w:val="3"/>
        </w:numPr>
        <w:spacing w:after="156"/>
        <w:rPr>
          <w:rFonts w:hint="eastAsia" w:hAnsi="宋体"/>
        </w:rPr>
      </w:pPr>
      <w:r>
        <w:rPr>
          <w:rFonts w:hint="eastAsia" w:hAnsi="SimHei" w:ascii="SimHei" w:eastAsia="黑体"/>
        </w:rPr>
        <w:t>主席负责提出开展职业发展相关工作的总体要求</w:t>
      </w:r>
    </w:p>
    <w:p>
      <w:pPr>
        <w:pStyle w:val="4"/>
        <w:numPr>
          <w:ilvl w:val="0"/>
          <w:numId w:val="3"/>
        </w:numPr>
        <w:spacing w:after="156"/>
        <w:rPr>
          <w:rFonts w:hint="eastAsia" w:hAnsi="宋体"/>
        </w:rPr>
      </w:pPr>
      <w:r>
        <w:rPr>
          <w:rFonts w:hint="eastAsia" w:hAnsi="SimHei" w:ascii="SimHei" w:eastAsia="黑体"/>
        </w:rPr>
        <w:t>副主席负责监督完善职业发展基础制度体系，监督完成职业发展实施工作</w:t>
      </w:r>
    </w:p>
    <w:p>
      <w:pPr>
        <w:pStyle w:val="4"/>
        <w:numPr>
          <w:ilvl w:val="0"/>
          <w:numId w:val="3"/>
        </w:numPr>
        <w:spacing w:after="156"/>
        <w:rPr>
          <w:rFonts w:hint="eastAsia" w:hAnsi="宋体"/>
        </w:rPr>
      </w:pPr>
      <w:r>
        <w:rPr>
          <w:rFonts w:hint="eastAsia" w:hAnsi="SimHei" w:ascii="SimHei" w:eastAsia="黑体"/>
        </w:rPr>
        <w:t>执行副主席负责组织安排职业发展基础制度体系的完善，并负责职业发展实施工作的公平性与工作完成及时性</w:t>
      </w:r>
    </w:p>
    <w:p>
      <w:pPr>
        <w:pStyle w:val="4"/>
        <w:numPr>
          <w:ilvl w:val="0"/>
          <w:numId w:val="2"/>
        </w:numPr>
        <w:spacing w:after="156"/>
        <w:ind w:left="840" w:hanging="840"/>
        <w:rPr>
          <w:rFonts w:hint="eastAsia" w:hAnsi="宋体"/>
        </w:rPr>
      </w:pPr>
      <w:r>
        <w:rPr>
          <w:rFonts w:hint="eastAsia" w:hAnsi="SimHei" w:ascii="SimHei" w:eastAsia="黑体"/>
        </w:rPr>
        <w:t>职业发展管理委员会职能</w:t>
      </w:r>
    </w:p>
    <w:p>
      <w:pPr>
        <w:pStyle w:val="4"/>
        <w:numPr>
          <w:ilvl w:val="0"/>
          <w:numId w:val="3"/>
        </w:numPr>
        <w:spacing w:after="156"/>
        <w:rPr>
          <w:rFonts w:hint="eastAsia" w:hAnsi="宋体"/>
        </w:rPr>
      </w:pPr>
      <w:r>
        <w:rPr>
          <w:rFonts w:hint="eastAsia" w:hAnsi="SimHei" w:ascii="SimHei" w:eastAsia="黑体"/>
        </w:rPr>
        <w:t>负责处理员工内部招聘、岗位轮换及重点培训优秀员工，完成对员工的薪酬职级或岗位职层的调整</w:t>
      </w:r>
    </w:p>
    <w:p>
      <w:pPr>
        <w:pStyle w:val="4"/>
        <w:numPr>
          <w:ilvl w:val="0"/>
          <w:numId w:val="3"/>
        </w:numPr>
        <w:spacing w:after="156"/>
        <w:rPr>
          <w:rFonts w:hint="eastAsia" w:hAnsi="宋体"/>
        </w:rPr>
      </w:pPr>
      <w:r>
        <w:rPr>
          <w:rFonts w:hint="eastAsia" w:hAnsi="SimHei" w:ascii="SimHei" w:eastAsia="黑体"/>
        </w:rPr>
        <w:t>负责修正公司现有职业发展制度与日常操作过程可能存在的矛盾，从而使职业发展制度最终简明有效并易于操作，实现对员工的有效激励</w:t>
      </w:r>
    </w:p>
    <w:p>
      <w:pPr>
        <w:pStyle w:val="4"/>
        <w:numPr>
          <w:ilvl w:val="0"/>
          <w:numId w:val="2"/>
        </w:numPr>
        <w:spacing w:after="156"/>
        <w:ind w:left="840" w:hanging="840"/>
        <w:rPr>
          <w:rFonts w:hint="eastAsia" w:hAnsi="宋体"/>
        </w:rPr>
      </w:pPr>
      <w:r>
        <w:rPr>
          <w:rFonts w:hint="eastAsia" w:hAnsi="SimHei" w:ascii="SimHei" w:eastAsia="黑体"/>
        </w:rPr>
        <w:t>职业发展执行小组组成</w:t>
      </w:r>
    </w:p>
    <w:p>
      <w:pPr>
        <w:pStyle w:val="4"/>
        <w:numPr>
          <w:ilvl w:val="0"/>
          <w:numId w:val="3"/>
        </w:numPr>
        <w:spacing w:after="156"/>
        <w:rPr>
          <w:rFonts w:hint="eastAsia" w:hAnsi="宋体"/>
        </w:rPr>
      </w:pPr>
      <w:r>
        <w:rPr>
          <w:rFonts w:hint="eastAsia" w:hAnsi="SimHei" w:ascii="SimHei" w:eastAsia="黑体"/>
        </w:rPr>
        <w:t>组长：人力资源部经理(兼)</w:t>
      </w:r>
    </w:p>
    <w:p>
      <w:pPr>
        <w:pStyle w:val="4"/>
        <w:numPr>
          <w:ilvl w:val="0"/>
          <w:numId w:val="3"/>
        </w:numPr>
        <w:spacing w:after="156"/>
        <w:rPr>
          <w:rFonts w:hint="eastAsia" w:hAnsi="宋体"/>
        </w:rPr>
      </w:pPr>
      <w:r>
        <w:rPr>
          <w:rFonts w:hint="eastAsia" w:hAnsi="SimHei" w:ascii="SimHei" w:eastAsia="黑体"/>
        </w:rPr>
        <w:t>副组长：人力资源管理室主管，人力资源开发室主管</w:t>
      </w:r>
    </w:p>
    <w:p>
      <w:pPr>
        <w:pStyle w:val="4"/>
        <w:numPr>
          <w:ilvl w:val="0"/>
          <w:numId w:val="3"/>
        </w:numPr>
        <w:spacing w:after="156"/>
        <w:rPr>
          <w:rFonts w:hint="eastAsia" w:hAnsi="宋体"/>
        </w:rPr>
      </w:pPr>
      <w:r>
        <w:rPr>
          <w:rFonts w:hint="eastAsia" w:hAnsi="SimHei" w:ascii="SimHei" w:eastAsia="黑体"/>
        </w:rPr>
        <w:t>成员：人力资源部人员及各部门相关人员</w:t>
      </w:r>
    </w:p>
    <w:p>
      <w:pPr>
        <w:pStyle w:val="4"/>
        <w:numPr>
          <w:ilvl w:val="0"/>
          <w:numId w:val="3"/>
        </w:numPr>
        <w:spacing w:after="156"/>
        <w:rPr>
          <w:rFonts w:hint="eastAsia" w:hAnsi="宋体"/>
        </w:rPr>
      </w:pPr>
      <w:r>
        <w:rPr>
          <w:rFonts w:hint="eastAsia" w:hAnsi="SimHei" w:ascii="SimHei" w:eastAsia="黑体"/>
        </w:rPr>
        <w:t>职业发展执行过程亲属回避制度：职业发展执行小组成员在实施职业发展工作中，应该回避其亲属的级别调整等相关工作</w:t>
      </w:r>
    </w:p>
    <w:p>
      <w:pPr>
        <w:pStyle w:val="4"/>
        <w:numPr>
          <w:ilvl w:val="0"/>
          <w:numId w:val="2"/>
        </w:numPr>
        <w:spacing w:after="156"/>
        <w:ind w:left="840" w:hanging="840"/>
        <w:rPr>
          <w:rFonts w:hint="eastAsia" w:hAnsi="宋体"/>
        </w:rPr>
      </w:pPr>
      <w:r>
        <w:rPr>
          <w:rFonts w:hint="eastAsia" w:hAnsi="SimHei" w:ascii="SimHei" w:eastAsia="黑体"/>
        </w:rPr>
        <w:t>职业发展执行小组职能</w:t>
      </w:r>
    </w:p>
    <w:p>
      <w:pPr>
        <w:pStyle w:val="4"/>
        <w:numPr>
          <w:ilvl w:val="0"/>
          <w:numId w:val="3"/>
        </w:numPr>
        <w:spacing w:after="156"/>
        <w:rPr>
          <w:rFonts w:hint="eastAsia" w:hAnsi="宋体"/>
        </w:rPr>
      </w:pPr>
      <w:r>
        <w:rPr>
          <w:rFonts w:hint="eastAsia" w:hAnsi="SimHei" w:ascii="SimHei" w:eastAsia="黑体"/>
        </w:rPr>
        <w:t>成立目的：接受职业发展管理委员会领导，协助各部门员工制定职业发展规划、处理员工发展过程中的行政工作</w:t>
      </w:r>
    </w:p>
    <w:p>
      <w:pPr>
        <w:pStyle w:val="4"/>
        <w:numPr>
          <w:ilvl w:val="0"/>
          <w:numId w:val="3"/>
        </w:numPr>
        <w:spacing w:after="156"/>
        <w:rPr>
          <w:rFonts w:hint="eastAsia" w:hAnsi="宋体"/>
        </w:rPr>
      </w:pPr>
      <w:r>
        <w:rPr>
          <w:rFonts w:hint="eastAsia" w:hAnsi="SimHei" w:ascii="SimHei" w:eastAsia="黑体"/>
        </w:rPr>
        <w:t>组织员工制定个人职业发展计划</w:t>
      </w:r>
    </w:p>
    <w:p>
      <w:pPr>
        <w:pStyle w:val="4"/>
        <w:numPr>
          <w:ilvl w:val="0"/>
          <w:numId w:val="3"/>
        </w:numPr>
        <w:spacing w:after="156"/>
        <w:rPr>
          <w:rFonts w:hint="eastAsia" w:hAnsi="宋体"/>
        </w:rPr>
      </w:pPr>
      <w:r>
        <w:rPr>
          <w:rFonts w:hint="eastAsia" w:hAnsi="SimHei" w:ascii="SimHei" w:eastAsia="黑体"/>
        </w:rPr>
        <w:t>收集整理各部门职业发展文字资料并统一保管</w:t>
      </w:r>
    </w:p>
    <w:p>
      <w:pPr>
        <w:pStyle w:val="4"/>
        <w:numPr>
          <w:ilvl w:val="0"/>
          <w:numId w:val="2"/>
        </w:numPr>
        <w:spacing w:after="156"/>
        <w:ind w:left="840" w:hanging="840"/>
        <w:rPr>
          <w:rFonts w:hint="eastAsia" w:hAnsi="宋体"/>
        </w:rPr>
      </w:pPr>
      <w:r>
        <w:rPr>
          <w:rFonts w:hint="eastAsia" w:hAnsi="SimHei" w:ascii="SimHei" w:eastAsia="黑体"/>
        </w:rPr>
        <w:t>职业发展管理委员会、职业发展执行小组、人力资源部分工</w:t>
      </w:r>
    </w:p>
    <w:p>
      <w:pPr>
        <w:pStyle w:val="4"/>
        <w:numPr>
          <w:ilvl w:val="0"/>
          <w:numId w:val="3"/>
        </w:numPr>
        <w:spacing w:after="156"/>
        <w:rPr>
          <w:rFonts w:hint="eastAsia" w:hAnsi="宋体"/>
        </w:rPr>
      </w:pPr>
      <w:r>
        <w:rPr>
          <w:rFonts w:hint="eastAsia" w:hAnsi="SimHei" w:ascii="SimHei" w:eastAsia="黑体"/>
        </w:rPr>
        <w:t>职业发展管理委员会明确职业发展总方针并处理重大决策</w:t>
      </w:r>
    </w:p>
    <w:p>
      <w:pPr>
        <w:pStyle w:val="4"/>
        <w:numPr>
          <w:ilvl w:val="0"/>
          <w:numId w:val="3"/>
        </w:numPr>
        <w:spacing w:after="156"/>
        <w:rPr>
          <w:rFonts w:hint="eastAsia" w:hAnsi="宋体"/>
        </w:rPr>
      </w:pPr>
      <w:r>
        <w:rPr>
          <w:rFonts w:hint="eastAsia" w:hAnsi="SimHei" w:ascii="SimHei" w:eastAsia="黑体"/>
        </w:rPr>
        <w:t>职业发展执行小组根据委员会安排实施与职业发展相关的工作</w:t>
      </w:r>
    </w:p>
    <w:p>
      <w:pPr>
        <w:pStyle w:val="4"/>
        <w:numPr>
          <w:ilvl w:val="0"/>
          <w:numId w:val="3"/>
        </w:numPr>
        <w:spacing w:after="156"/>
        <w:rPr>
          <w:rFonts w:hint="eastAsia" w:hAnsi="宋体"/>
        </w:rPr>
      </w:pPr>
      <w:r>
        <w:rPr>
          <w:rFonts w:hint="eastAsia" w:hAnsi="SimHei" w:ascii="SimHei" w:eastAsia="黑体"/>
        </w:rPr>
        <w:t>人力资源部完成具体培训、晋升等人力资源工作</w:t>
      </w:r>
    </w:p>
    <w:p>
      <w:pPr>
        <w:pStyle w:val="3"/>
        <w:rPr>
          <w:rFonts w:hint="eastAsia"/>
        </w:rPr>
      </w:pPr>
      <w:bookmarkStart w:id="15" w:name="_Toc15391306"/>
      <w:bookmarkStart w:id="16" w:name="_Toc15742144"/>
      <w:r>
        <w:rPr>
          <w:rFonts w:hint="eastAsia" w:ascii="SimHei" w:hAnsi="SimHei" w:eastAsia="黑体"/>
        </w:rPr>
        <w:t>1.</w:t>
      </w:r>
      <w:bookmarkStart w:id="17" w:name="_Toc15371181"/>
      <w:r>
        <w:rPr>
          <w:rFonts w:hint="eastAsia" w:ascii="SimHei" w:hAnsi="SimHei" w:eastAsia="黑体"/>
        </w:rPr>
        <w:t>4职业发展工作实施时间</w:t>
      </w:r>
      <w:bookmarkEnd w:id="15"/>
      <w:bookmarkEnd w:id="16"/>
      <w:bookmarkEnd w:id="17"/>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 xml:space="preserve">界定岗位职层、薪酬职级概念    </w:t>
      </w:r>
    </w:p>
    <w:p>
      <w:pPr>
        <w:pStyle w:val="4"/>
        <w:numPr>
          <w:ilvl w:val="0"/>
          <w:numId w:val="4"/>
        </w:numPr>
        <w:tabs>
          <w:tab w:val="left" w:pos="0"/>
        </w:tabs>
        <w:spacing w:after="156"/>
        <w:rPr>
          <w:rFonts w:hint="eastAsia" w:hAnsi="宋体"/>
        </w:rPr>
      </w:pPr>
      <w:r>
        <w:rPr>
          <w:rFonts w:hint="eastAsia" w:hAnsi="SimHei" w:ascii="SimHei" w:eastAsia="黑体"/>
        </w:rPr>
        <w:t>岗位职层：指薪酬结构中从F6到H1中具体一层（如F3</w:t>
      </w:r>
      <w:r>
        <w:rPr>
          <w:rFonts w:hAnsi="SimHei" w:ascii="SimHei" w:eastAsia="黑体"/>
        </w:rPr>
        <w:t>）</w:t>
      </w:r>
    </w:p>
    <w:p>
      <w:pPr>
        <w:pStyle w:val="4"/>
        <w:numPr>
          <w:ilvl w:val="0"/>
          <w:numId w:val="4"/>
        </w:numPr>
        <w:tabs>
          <w:tab w:val="left" w:pos="0"/>
        </w:tabs>
        <w:spacing w:after="156"/>
        <w:rPr>
          <w:rFonts w:hint="eastAsia"/>
        </w:rPr>
      </w:pPr>
      <w:r>
        <w:rPr>
          <w:rFonts w:hint="eastAsia" w:hAnsi="SimHei" w:ascii="SimHei" w:eastAsia="黑体"/>
        </w:rPr>
        <w:t>薪酬职级：指工资表中各岗位对应的职层（例F3</w:t>
      </w:r>
      <w:r>
        <w:rPr>
          <w:rFonts w:hAnsi="SimHei" w:ascii="SimHei" w:eastAsia="黑体"/>
        </w:rPr>
        <w:t>）</w:t>
      </w:r>
      <w:r>
        <w:rPr>
          <w:rFonts w:hint="eastAsia" w:hAnsi="SimHei" w:ascii="SimHei" w:eastAsia="黑体"/>
        </w:rPr>
        <w:t>中，由九级到一级</w:t>
      </w:r>
    </w:p>
    <w:p>
      <w:pPr>
        <w:pStyle w:val="4"/>
        <w:numPr>
          <w:ilvl w:val="0"/>
          <w:numId w:val="2"/>
        </w:numPr>
        <w:spacing w:after="156"/>
        <w:ind w:left="840" w:hanging="840"/>
        <w:rPr>
          <w:rFonts w:hint="eastAsia" w:hAnsi="宋体"/>
        </w:rPr>
      </w:pPr>
      <w:r>
        <w:rPr>
          <w:rFonts w:hint="eastAsia" w:hAnsi="SimHei" w:ascii="SimHei" w:eastAsia="黑体"/>
        </w:rPr>
        <w:t>职业发展规划的制定时间</w:t>
      </w:r>
    </w:p>
    <w:p>
      <w:pPr>
        <w:pStyle w:val="4"/>
        <w:numPr>
          <w:ilvl w:val="0"/>
          <w:numId w:val="3"/>
        </w:numPr>
        <w:spacing w:after="156"/>
        <w:rPr>
          <w:rFonts w:hint="eastAsia" w:hAnsi="宋体"/>
        </w:rPr>
      </w:pPr>
      <w:r>
        <w:rPr>
          <w:rFonts w:hint="eastAsia" w:hAnsi="SimHei" w:ascii="SimHei" w:eastAsia="黑体"/>
        </w:rPr>
        <w:t>新员工入职需制定初步职业发展规划，在转正后1个月内需完成</w:t>
      </w:r>
    </w:p>
    <w:p>
      <w:pPr>
        <w:pStyle w:val="4"/>
        <w:numPr>
          <w:ilvl w:val="0"/>
          <w:numId w:val="3"/>
        </w:numPr>
        <w:spacing w:after="156"/>
        <w:rPr>
          <w:rFonts w:hint="eastAsia" w:hAnsi="宋体"/>
        </w:rPr>
      </w:pPr>
      <w:r>
        <w:rPr>
          <w:rFonts w:hint="eastAsia" w:hAnsi="SimHei" w:ascii="SimHei" w:eastAsia="黑体"/>
        </w:rPr>
        <w:t>年度绩效考评完成后1个月内，职业发展执行小组将对优秀员工制作进一步职业发展规划</w:t>
      </w:r>
    </w:p>
    <w:p>
      <w:pPr>
        <w:pStyle w:val="4"/>
        <w:numPr>
          <w:ilvl w:val="0"/>
          <w:numId w:val="3"/>
        </w:numPr>
        <w:spacing w:after="156"/>
        <w:rPr>
          <w:rFonts w:hint="eastAsia" w:hAnsi="宋体"/>
        </w:rPr>
      </w:pPr>
      <w:r>
        <w:rPr>
          <w:rFonts w:hint="eastAsia" w:hAnsi="SimHei" w:ascii="SimHei" w:eastAsia="黑体"/>
        </w:rPr>
        <w:t>在特殊情况下，职业发展管理委员会将在一年中安排职业发展执行小组对某岗位员工制定职业发展规划</w:t>
      </w:r>
    </w:p>
    <w:p>
      <w:pPr>
        <w:pStyle w:val="4"/>
        <w:numPr>
          <w:ilvl w:val="0"/>
          <w:numId w:val="2"/>
        </w:numPr>
        <w:spacing w:after="156"/>
        <w:ind w:left="840" w:hanging="840"/>
        <w:rPr>
          <w:rFonts w:hint="eastAsia" w:hAnsi="宋体"/>
        </w:rPr>
      </w:pPr>
      <w:r>
        <w:rPr>
          <w:rFonts w:hint="eastAsia" w:hAnsi="SimHei" w:ascii="SimHei" w:eastAsia="黑体"/>
        </w:rPr>
        <w:t>绩效考评结果运用时间</w:t>
      </w:r>
    </w:p>
    <w:p>
      <w:pPr>
        <w:pStyle w:val="4"/>
        <w:numPr>
          <w:ilvl w:val="0"/>
          <w:numId w:val="3"/>
        </w:numPr>
        <w:spacing w:after="156"/>
        <w:rPr>
          <w:rFonts w:hint="eastAsia" w:hAnsi="宋体"/>
        </w:rPr>
      </w:pPr>
      <w:r>
        <w:rPr>
          <w:rFonts w:hint="eastAsia" w:hAnsi="SimHei" w:ascii="SimHei" w:eastAsia="黑体"/>
        </w:rPr>
        <w:t>参见《绩效考评手册》</w:t>
      </w:r>
    </w:p>
    <w:p>
      <w:pPr>
        <w:pStyle w:val="4"/>
        <w:numPr>
          <w:ilvl w:val="0"/>
          <w:numId w:val="2"/>
        </w:numPr>
        <w:tabs>
          <w:tab w:val="left" w:pos="240"/>
          <w:tab w:val="clear" w:pos="833"/>
        </w:tabs>
        <w:spacing w:after="156"/>
        <w:ind w:hanging="284"/>
        <w:rPr>
          <w:rFonts w:hint="eastAsia" w:hAnsi="宋体"/>
        </w:rPr>
      </w:pPr>
      <w:r>
        <w:rPr>
          <w:rFonts w:hint="eastAsia" w:hAnsi="SimHei" w:ascii="SimHei" w:eastAsia="黑体"/>
        </w:rPr>
        <w:t>纵向职业发展实施时间</w:t>
      </w:r>
    </w:p>
    <w:p>
      <w:pPr>
        <w:pStyle w:val="4"/>
        <w:numPr>
          <w:ilvl w:val="0"/>
          <w:numId w:val="3"/>
        </w:numPr>
        <w:spacing w:after="156"/>
        <w:rPr>
          <w:rFonts w:hint="eastAsia" w:hAnsi="宋体"/>
        </w:rPr>
      </w:pPr>
      <w:r>
        <w:rPr>
          <w:rFonts w:hint="eastAsia" w:hAnsi="SimHei" w:ascii="SimHei" w:eastAsia="黑体"/>
        </w:rPr>
        <w:t>薪酬职级及岗位职层调整时间</w:t>
      </w:r>
    </w:p>
    <w:p>
      <w:pPr>
        <w:pStyle w:val="4"/>
        <w:numPr>
          <w:ilvl w:val="1"/>
          <w:numId w:val="5"/>
        </w:numPr>
        <w:spacing w:after="156"/>
        <w:rPr>
          <w:rFonts w:hint="eastAsia" w:hAnsi="宋体"/>
        </w:rPr>
      </w:pPr>
      <w:r>
        <w:rPr>
          <w:rFonts w:hint="eastAsia" w:hAnsi="SimHei" w:ascii="SimHei" w:eastAsia="黑体"/>
        </w:rPr>
        <w:t>新员工转正薪酬职级及岗位职层调整：参见人力资源部相关制度</w:t>
      </w:r>
    </w:p>
    <w:p>
      <w:pPr>
        <w:pStyle w:val="4"/>
        <w:numPr>
          <w:ilvl w:val="1"/>
          <w:numId w:val="5"/>
        </w:numPr>
        <w:spacing w:after="156"/>
        <w:rPr>
          <w:rFonts w:hint="eastAsia" w:hAnsi="宋体"/>
        </w:rPr>
      </w:pPr>
      <w:r>
        <w:rPr>
          <w:rFonts w:hint="eastAsia" w:hAnsi="SimHei" w:ascii="SimHei" w:eastAsia="黑体"/>
        </w:rPr>
        <w:t>薪酬职级定期调整：年度绩效考评结束后1个月内</w:t>
      </w:r>
    </w:p>
    <w:p>
      <w:pPr>
        <w:pStyle w:val="4"/>
        <w:numPr>
          <w:ilvl w:val="1"/>
          <w:numId w:val="5"/>
        </w:numPr>
        <w:spacing w:after="156"/>
        <w:rPr>
          <w:rFonts w:hint="eastAsia" w:hAnsi="宋体"/>
        </w:rPr>
      </w:pPr>
      <w:r>
        <w:rPr>
          <w:rFonts w:hint="eastAsia" w:hAnsi="SimHei" w:ascii="SimHei" w:eastAsia="黑体"/>
        </w:rPr>
        <w:t>薪酬职级及岗位职层不定期调整：对于表现特优异(或特差)员工，职业发展管理会将不定期进行级别调整</w:t>
      </w:r>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横向职业发展实施时间</w:t>
      </w:r>
    </w:p>
    <w:p>
      <w:pPr>
        <w:pStyle w:val="4"/>
        <w:numPr>
          <w:ilvl w:val="0"/>
          <w:numId w:val="3"/>
        </w:numPr>
        <w:spacing w:after="156"/>
        <w:rPr>
          <w:rFonts w:hint="eastAsia" w:hAnsi="宋体"/>
        </w:rPr>
      </w:pPr>
      <w:r>
        <w:rPr>
          <w:rFonts w:hint="eastAsia" w:hAnsi="SimHei" w:ascii="SimHei" w:eastAsia="黑体"/>
        </w:rPr>
        <w:t>内部招聘时间：当公司有空缺岗位或新增岗位时，当需要公司开展内部招聘时，由职业发展管理委员会决定具体竞聘时间</w:t>
      </w:r>
    </w:p>
    <w:p>
      <w:pPr>
        <w:pStyle w:val="4"/>
        <w:numPr>
          <w:ilvl w:val="0"/>
          <w:numId w:val="3"/>
        </w:numPr>
        <w:spacing w:after="156"/>
        <w:rPr>
          <w:rFonts w:hint="eastAsia" w:hAnsi="宋体"/>
        </w:rPr>
      </w:pPr>
      <w:r>
        <w:rPr>
          <w:rFonts w:hint="eastAsia" w:hAnsi="SimHei" w:ascii="SimHei" w:eastAsia="黑体"/>
        </w:rPr>
        <w:t>岗位轮换时间：员工提出岗位轮换要求后，经职业发展执行小组审批通过后执行，具体时间在岗位轮换批准后2周内执行</w:t>
      </w:r>
    </w:p>
    <w:p>
      <w:pPr>
        <w:pStyle w:val="3"/>
        <w:rPr>
          <w:rFonts w:hint="eastAsia"/>
        </w:rPr>
      </w:pPr>
      <w:bookmarkStart w:id="18" w:name="_Toc15391307"/>
      <w:bookmarkStart w:id="19" w:name="_Toc15742145"/>
      <w:r>
        <w:rPr>
          <w:rFonts w:hint="eastAsia" w:ascii="SimHei" w:hAnsi="SimHei" w:eastAsia="黑体"/>
        </w:rPr>
        <w:t>1.</w:t>
      </w:r>
      <w:bookmarkStart w:id="20" w:name="_Toc15371182"/>
      <w:r>
        <w:rPr>
          <w:rFonts w:hint="eastAsia" w:ascii="SimHei" w:hAnsi="SimHei" w:eastAsia="黑体"/>
        </w:rPr>
        <w:t>5员工、</w:t>
      </w:r>
      <w:r>
        <w:rPr>
          <w:rFonts w:hint="eastAsia" w:ascii="SimHei" w:hAnsi="SimHei" w:eastAsia="黑体"/>
          <w:color w:val="FF0000"/>
        </w:rPr>
        <w:t>主管领导</w:t>
      </w:r>
      <w:r>
        <w:rPr>
          <w:rFonts w:hint="eastAsia" w:ascii="SimHei" w:hAnsi="SimHei" w:eastAsia="黑体"/>
        </w:rPr>
        <w:t>与企业在职业发展中</w:t>
      </w:r>
      <w:bookmarkEnd w:id="20"/>
      <w:r>
        <w:rPr>
          <w:rFonts w:hint="eastAsia" w:ascii="SimHei" w:hAnsi="SimHei" w:eastAsia="黑体"/>
        </w:rPr>
        <w:t>责任</w:t>
      </w:r>
      <w:bookmarkEnd w:id="18"/>
      <w:bookmarkEnd w:id="19"/>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总述：</w:t>
      </w:r>
    </w:p>
    <w:p>
      <w:pPr>
        <w:pStyle w:val="4"/>
        <w:numPr>
          <w:ilvl w:val="0"/>
          <w:numId w:val="3"/>
        </w:numPr>
        <w:spacing w:after="156"/>
        <w:rPr>
          <w:rFonts w:hint="eastAsia" w:hAnsi="宋体"/>
        </w:rPr>
      </w:pPr>
      <w:r>
        <w:rPr>
          <w:rFonts w:hint="eastAsia" w:hAnsi="SimHei" w:ascii="SimHei" w:eastAsia="黑体"/>
        </w:rPr>
        <w:t>在职业发展系统内，公司、主管</w:t>
      </w:r>
      <w:r>
        <w:rPr>
          <w:rFonts w:hint="eastAsia" w:hAnsi="SimHei" w:ascii="SimHei" w:eastAsia="黑体"/>
          <w:color w:val="FF0000"/>
        </w:rPr>
        <w:t>领导</w:t>
      </w:r>
      <w:r>
        <w:rPr>
          <w:rFonts w:hint="eastAsia" w:hAnsi="SimHei" w:ascii="SimHei" w:eastAsia="黑体"/>
        </w:rPr>
        <w:t>和员工都有不同的角色和责任有效的职业发展体系需要公司、主管</w:t>
      </w:r>
      <w:r>
        <w:rPr>
          <w:rFonts w:hint="eastAsia" w:hAnsi="SimHei" w:ascii="SimHei" w:eastAsia="黑体"/>
          <w:color w:val="FF0000"/>
        </w:rPr>
        <w:t>领导</w:t>
      </w:r>
      <w:r>
        <w:rPr>
          <w:rFonts w:hint="eastAsia" w:hAnsi="SimHei" w:ascii="SimHei" w:eastAsia="黑体"/>
        </w:rPr>
        <w:t>和员工各自履行自己的责任</w:t>
      </w:r>
    </w:p>
    <w:p>
      <w:pPr>
        <w:pStyle w:val="4"/>
        <w:numPr>
          <w:ilvl w:val="0"/>
          <w:numId w:val="3"/>
        </w:numPr>
        <w:spacing w:after="156"/>
        <w:rPr>
          <w:rFonts w:hint="eastAsia" w:hAnsi="宋体"/>
        </w:rPr>
      </w:pPr>
      <w:r>
        <w:rPr>
          <w:rFonts w:hint="eastAsia" w:hAnsi="SimHei" w:ascii="SimHei" w:eastAsia="黑体"/>
        </w:rPr>
        <w:t>员工自己制定规划，主管</w:t>
      </w:r>
      <w:r>
        <w:rPr>
          <w:rFonts w:hint="eastAsia" w:hAnsi="SimHei" w:ascii="SimHei" w:eastAsia="黑体"/>
          <w:color w:val="FF0000"/>
        </w:rPr>
        <w:t>领导</w:t>
      </w:r>
      <w:r>
        <w:rPr>
          <w:rFonts w:hint="eastAsia" w:hAnsi="SimHei" w:ascii="SimHei" w:eastAsia="黑体"/>
        </w:rPr>
        <w:t>给予指导和鼓励，公司提供资源和渠道</w:t>
      </w:r>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个人在职业发展中作用及责任</w:t>
      </w:r>
    </w:p>
    <w:p>
      <w:pPr>
        <w:pStyle w:val="4"/>
        <w:numPr>
          <w:ilvl w:val="0"/>
          <w:numId w:val="3"/>
        </w:numPr>
        <w:spacing w:after="156"/>
        <w:rPr>
          <w:rFonts w:hint="eastAsia" w:hAnsi="宋体"/>
        </w:rPr>
      </w:pPr>
      <w:r>
        <w:rPr>
          <w:rFonts w:hint="eastAsia" w:hAnsi="SimHei" w:ascii="SimHei" w:eastAsia="黑体"/>
        </w:rPr>
        <w:t>从加入公司起，员工应结合本制度考虑自己在公司的职业发展方案</w:t>
      </w:r>
    </w:p>
    <w:p>
      <w:pPr>
        <w:pStyle w:val="4"/>
        <w:numPr>
          <w:ilvl w:val="0"/>
          <w:numId w:val="3"/>
        </w:numPr>
        <w:spacing w:after="156"/>
        <w:rPr>
          <w:rFonts w:hint="eastAsia" w:hAnsi="宋体"/>
        </w:rPr>
      </w:pPr>
      <w:r>
        <w:rPr>
          <w:rFonts w:hint="eastAsia" w:hAnsi="SimHei" w:ascii="SimHei" w:eastAsia="黑体"/>
        </w:rPr>
        <w:t>与主管沟通自己的事业目标并讨论职业发展需要支持</w:t>
      </w:r>
    </w:p>
    <w:p>
      <w:pPr>
        <w:pStyle w:val="4"/>
        <w:numPr>
          <w:ilvl w:val="0"/>
          <w:numId w:val="3"/>
        </w:numPr>
        <w:spacing w:after="156"/>
        <w:rPr>
          <w:rFonts w:hint="eastAsia" w:hAnsi="宋体"/>
        </w:rPr>
      </w:pPr>
      <w:r>
        <w:rPr>
          <w:rFonts w:hint="eastAsia" w:hAnsi="SimHei" w:ascii="SimHei" w:eastAsia="黑体"/>
        </w:rPr>
        <w:t>不断跟踪自己的发展计划</w:t>
      </w:r>
    </w:p>
    <w:p>
      <w:pPr>
        <w:pStyle w:val="4"/>
        <w:numPr>
          <w:ilvl w:val="0"/>
          <w:numId w:val="3"/>
        </w:numPr>
        <w:spacing w:after="156"/>
        <w:rPr>
          <w:rFonts w:hint="eastAsia" w:hAnsi="宋体"/>
        </w:rPr>
      </w:pPr>
      <w:r>
        <w:rPr>
          <w:rFonts w:hint="eastAsia" w:hAnsi="SimHei" w:ascii="SimHei" w:eastAsia="黑体"/>
        </w:rPr>
        <w:t>尽力履行自己的职责达到任务标准和表现要求</w:t>
      </w:r>
    </w:p>
    <w:p>
      <w:pPr>
        <w:pStyle w:val="4"/>
        <w:numPr>
          <w:ilvl w:val="0"/>
          <w:numId w:val="3"/>
        </w:numPr>
        <w:spacing w:after="156"/>
        <w:rPr>
          <w:rFonts w:hint="eastAsia" w:hAnsi="宋体"/>
        </w:rPr>
      </w:pPr>
      <w:r>
        <w:rPr>
          <w:rFonts w:hint="eastAsia" w:hAnsi="SimHei" w:ascii="SimHei" w:eastAsia="黑体"/>
        </w:rPr>
        <w:t xml:space="preserve">开放和诚实地评估自己的能力和表现（如主动向主管、下属、团队队员收集表现反馈 </w:t>
      </w:r>
      <w:r>
        <w:rPr>
          <w:rFonts w:hAnsi="SimHei" w:ascii="SimHei" w:eastAsia="黑体"/>
        </w:rPr>
        <w:t>）</w:t>
      </w:r>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主管</w:t>
      </w:r>
      <w:r>
        <w:rPr>
          <w:rFonts w:hint="eastAsia" w:hAnsi="SimHei" w:ascii="SimHei" w:eastAsia="黑体"/>
          <w:color w:val="FF0000"/>
        </w:rPr>
        <w:t>领导</w:t>
      </w:r>
      <w:r>
        <w:rPr>
          <w:rFonts w:hint="eastAsia" w:hAnsi="SimHei" w:ascii="SimHei" w:eastAsia="黑体"/>
        </w:rPr>
        <w:t>在职业发展中作用及责任</w:t>
      </w:r>
    </w:p>
    <w:p>
      <w:pPr>
        <w:pStyle w:val="4"/>
        <w:numPr>
          <w:ilvl w:val="0"/>
          <w:numId w:val="3"/>
        </w:numPr>
        <w:spacing w:after="156"/>
        <w:rPr>
          <w:rFonts w:hint="eastAsia" w:hAnsi="宋体"/>
        </w:rPr>
      </w:pPr>
      <w:r>
        <w:rPr>
          <w:rFonts w:hint="eastAsia" w:hAnsi="SimHei" w:ascii="SimHei" w:eastAsia="黑体"/>
        </w:rPr>
        <w:t>引导下属进行职业发展的讨论</w:t>
      </w:r>
    </w:p>
    <w:p>
      <w:pPr>
        <w:pStyle w:val="4"/>
        <w:numPr>
          <w:ilvl w:val="0"/>
          <w:numId w:val="3"/>
        </w:numPr>
        <w:spacing w:after="156"/>
        <w:rPr>
          <w:rFonts w:hint="eastAsia" w:hAnsi="宋体"/>
        </w:rPr>
      </w:pPr>
      <w:r>
        <w:rPr>
          <w:rFonts w:hint="eastAsia" w:hAnsi="SimHei" w:ascii="SimHei" w:eastAsia="黑体"/>
        </w:rPr>
        <w:t>介绍职业规划的程序，对职业生涯规划起到催化的反馈的作用</w:t>
      </w:r>
    </w:p>
    <w:p>
      <w:pPr>
        <w:pStyle w:val="4"/>
        <w:numPr>
          <w:ilvl w:val="0"/>
          <w:numId w:val="3"/>
        </w:numPr>
        <w:spacing w:after="156"/>
        <w:rPr>
          <w:rFonts w:hint="eastAsia" w:hAnsi="宋体"/>
        </w:rPr>
      </w:pPr>
      <w:r>
        <w:rPr>
          <w:rFonts w:hint="eastAsia" w:hAnsi="SimHei" w:ascii="SimHei" w:eastAsia="黑体"/>
        </w:rPr>
        <w:t>鼓励和支持员工去实践其个人发展计划，如提供培训机会、辅导和指导、职务工作调动，支持其申请其他合适职位</w:t>
      </w:r>
    </w:p>
    <w:p>
      <w:pPr>
        <w:pStyle w:val="4"/>
        <w:numPr>
          <w:ilvl w:val="0"/>
          <w:numId w:val="3"/>
        </w:numPr>
        <w:spacing w:after="156"/>
        <w:rPr>
          <w:rFonts w:hint="eastAsia" w:hAnsi="宋体"/>
        </w:rPr>
      </w:pPr>
      <w:r>
        <w:rPr>
          <w:rFonts w:hint="eastAsia" w:hAnsi="SimHei" w:ascii="SimHei" w:eastAsia="黑体"/>
        </w:rPr>
        <w:t>对员工的工作表现，胜任能力提供开放和诚实的意见</w:t>
      </w:r>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企业在职业发展中作用及责任</w:t>
      </w:r>
    </w:p>
    <w:p>
      <w:pPr>
        <w:pStyle w:val="4"/>
        <w:numPr>
          <w:ilvl w:val="0"/>
          <w:numId w:val="3"/>
        </w:numPr>
        <w:spacing w:after="156"/>
        <w:rPr>
          <w:rFonts w:hint="eastAsia" w:hAnsi="宋体"/>
        </w:rPr>
      </w:pPr>
      <w:r>
        <w:rPr>
          <w:rFonts w:hint="eastAsia" w:hAnsi="SimHei" w:ascii="SimHei" w:eastAsia="黑体"/>
        </w:rPr>
        <w:t>对员工制定的个人职业计划应重视和鼓励，并结合组织的需求和发展，给员工以多方面的咨询和指导，通过必要的培训、工作设计、晋升等手段，帮助员工实现个人职业目标</w:t>
      </w:r>
    </w:p>
    <w:p>
      <w:pPr>
        <w:pStyle w:val="4"/>
        <w:numPr>
          <w:ilvl w:val="0"/>
          <w:numId w:val="3"/>
        </w:numPr>
        <w:spacing w:after="156"/>
        <w:rPr>
          <w:rFonts w:hint="eastAsia" w:hAnsi="宋体"/>
        </w:rPr>
      </w:pPr>
      <w:r>
        <w:rPr>
          <w:rFonts w:hint="eastAsia" w:hAnsi="SimHei" w:ascii="SimHei" w:eastAsia="黑体"/>
        </w:rPr>
        <w:t>制定和向员工传递组织内所存在的职业选择，当空缺职位出现时，职业发展执行小组需鼓励内部提升，并公开所有职位空缺机会让员工申请</w:t>
      </w:r>
    </w:p>
    <w:p>
      <w:pPr>
        <w:pStyle w:val="4"/>
        <w:numPr>
          <w:ilvl w:val="0"/>
          <w:numId w:val="3"/>
        </w:numPr>
        <w:spacing w:after="156"/>
        <w:rPr>
          <w:rFonts w:hint="eastAsia" w:hAnsi="宋体"/>
        </w:rPr>
      </w:pPr>
      <w:r>
        <w:rPr>
          <w:rFonts w:hint="eastAsia" w:hAnsi="SimHei" w:ascii="SimHei" w:eastAsia="黑体"/>
        </w:rPr>
        <w:t>给主管提供培训，使他们能有效地辅导、引导员工进行职业发展讨论</w:t>
      </w:r>
    </w:p>
    <w:p>
      <w:pPr>
        <w:pStyle w:val="4"/>
        <w:numPr>
          <w:ilvl w:val="0"/>
          <w:numId w:val="3"/>
        </w:numPr>
        <w:spacing w:after="156"/>
        <w:rPr>
          <w:rFonts w:hint="eastAsia" w:hAnsi="宋体"/>
        </w:rPr>
      </w:pPr>
      <w:r>
        <w:rPr>
          <w:rFonts w:hint="eastAsia" w:hAnsi="SimHei" w:ascii="SimHei" w:eastAsia="黑体"/>
        </w:rPr>
        <w:t>提供资源和工具以支持员工制定个人发展计划和能力评估</w:t>
      </w:r>
    </w:p>
    <w:p>
      <w:pPr>
        <w:pStyle w:val="4"/>
        <w:spacing w:after="156"/>
        <w:rPr>
          <w:rFonts w:hint="eastAsia" w:hAnsi="宋体"/>
        </w:rPr>
      </w:pPr>
    </w:p>
    <w:p>
      <w:pPr>
        <w:pStyle w:val="2"/>
        <w:jc w:val="center"/>
        <w:rPr>
          <w:rFonts w:hint="eastAsia" w:ascii="宋体" w:hAnsi="宋体"/>
        </w:rPr>
      </w:pPr>
      <w:bookmarkStart w:id="21" w:name="_Toc15371184"/>
      <w:bookmarkStart w:id="22" w:name="_Toc15391308"/>
      <w:bookmarkStart w:id="23" w:name="_Toc15742146"/>
      <w:r>
        <w:rPr>
          <w:rFonts w:hint="eastAsia" w:ascii="SimHei" w:hAnsi="SimHei" w:eastAsia="黑体"/>
        </w:rPr>
        <w:t>第二章：职业发展基础体系</w:t>
      </w:r>
      <w:bookmarkEnd w:id="21"/>
      <w:bookmarkEnd w:id="22"/>
      <w:bookmarkEnd w:id="23"/>
    </w:p>
    <w:p>
      <w:pPr>
        <w:pStyle w:val="3"/>
        <w:rPr>
          <w:rFonts w:hint="eastAsia"/>
          <w:color w:val="FF0000"/>
        </w:rPr>
      </w:pPr>
      <w:bookmarkStart w:id="24" w:name="_Toc15742147"/>
      <w:r>
        <w:rPr>
          <w:rFonts w:hint="eastAsia" w:ascii="SimHei" w:hAnsi="SimHei" w:eastAsia="黑体"/>
        </w:rPr>
        <w:t>2.1职业发展矩阵作用与特点</w:t>
      </w:r>
      <w:bookmarkEnd w:id="24"/>
    </w:p>
    <w:p>
      <w:pPr>
        <w:pStyle w:val="4"/>
        <w:numPr>
          <w:ilvl w:val="0"/>
          <w:numId w:val="2"/>
        </w:numPr>
        <w:tabs>
          <w:tab w:val="left" w:pos="0"/>
          <w:tab w:val="clear" w:pos="833"/>
        </w:tabs>
        <w:spacing w:after="156"/>
        <w:ind w:left="0" w:firstLine="0"/>
        <w:rPr>
          <w:rFonts w:hint="eastAsia" w:hAnsi="宋体"/>
        </w:rPr>
      </w:pPr>
      <w:bookmarkStart w:id="25" w:name="_Toc15371186"/>
      <w:bookmarkStart w:id="26" w:name="_Toc15391310"/>
      <w:r>
        <w:rPr>
          <w:rFonts w:hint="eastAsia" w:hAnsi="SimHei" w:ascii="SimHei" w:eastAsia="黑体"/>
        </w:rPr>
        <w:t>设计职业发展矩阵的目的</w:t>
      </w:r>
    </w:p>
    <w:p>
      <w:pPr>
        <w:pStyle w:val="4"/>
        <w:numPr>
          <w:ilvl w:val="0"/>
          <w:numId w:val="4"/>
        </w:numPr>
        <w:spacing w:after="156"/>
        <w:rPr>
          <w:rFonts w:hint="eastAsia" w:hAnsi="宋体"/>
        </w:rPr>
      </w:pPr>
      <w:r>
        <w:rPr>
          <w:rFonts w:hint="eastAsia" w:hAnsi="SimHei" w:ascii="SimHei" w:eastAsia="黑体"/>
        </w:rPr>
        <w:t>使员工了解本岗位晋升与发展之路，从而根据本人能力特点及兴趣选择不同的发展方向</w:t>
      </w:r>
    </w:p>
    <w:p>
      <w:pPr>
        <w:pStyle w:val="4"/>
        <w:numPr>
          <w:ilvl w:val="0"/>
          <w:numId w:val="4"/>
        </w:numPr>
        <w:spacing w:after="156"/>
        <w:rPr>
          <w:rFonts w:hint="eastAsia" w:hAnsi="宋体"/>
        </w:rPr>
      </w:pPr>
      <w:r>
        <w:rPr>
          <w:rFonts w:hint="eastAsia" w:hAnsi="SimHei" w:ascii="SimHei" w:eastAsia="黑体"/>
        </w:rPr>
        <w:t>绩效符合公司要求并积极要求上进的员工有机会得到不同职责范围内的工作岗位在新的岗位上，员工将在专业知识上有新的提高，同时工作任务会更加丰富，从而通过多岗位锻炼成为一专多能的人才</w:t>
      </w:r>
    </w:p>
    <w:p>
      <w:pPr>
        <w:pStyle w:val="4"/>
        <w:numPr>
          <w:ilvl w:val="0"/>
          <w:numId w:val="4"/>
        </w:numPr>
        <w:spacing w:after="156"/>
        <w:rPr>
          <w:rFonts w:hint="eastAsia" w:hAnsi="宋体"/>
        </w:rPr>
      </w:pPr>
      <w:r>
        <w:rPr>
          <w:rFonts w:hint="eastAsia" w:hAnsi="SimHei" w:ascii="SimHei" w:eastAsia="黑体"/>
        </w:rPr>
        <w:t>使绩效考评达到公司要求的员工有机会提高薪酬职级或岗位职层</w:t>
      </w:r>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职业发展矩阵的特点</w:t>
      </w:r>
    </w:p>
    <w:p>
      <w:pPr>
        <w:pStyle w:val="4"/>
        <w:numPr>
          <w:ilvl w:val="0"/>
          <w:numId w:val="4"/>
        </w:numPr>
        <w:spacing w:after="156"/>
        <w:rPr>
          <w:rFonts w:hint="eastAsia" w:hAnsi="宋体"/>
        </w:rPr>
      </w:pPr>
      <w:r>
        <w:rPr>
          <w:rFonts w:hint="eastAsia" w:hAnsi="SimHei" w:ascii="SimHei" w:eastAsia="黑体"/>
        </w:rPr>
        <w:t>XX为员工设计了纵向职业发展、横向职业发展、多重阶梯的职业发展道路，并通过职业发展矩阵形式表现（如图所示）</w:t>
      </w:r>
    </w:p>
    <w:p>
      <w:pPr>
        <w:pStyle w:val="4"/>
        <w:numPr>
          <w:ilvl w:val="0"/>
          <w:numId w:val="4"/>
        </w:numPr>
        <w:spacing w:after="156"/>
        <w:rPr>
          <w:rFonts w:hint="eastAsia" w:hAnsi="宋体"/>
        </w:rPr>
      </w:pPr>
      <w:r>
        <w:rPr>
          <w:rFonts w:hint="eastAsia" w:hAnsi="SimHei" w:ascii="SimHei" w:eastAsia="黑体"/>
        </w:rPr>
        <w:t>职业矩阵所指示的职业发展通道是公司鼓励和希望的员工发展方向，并会在此基础制定培训计划，对于有特殊职业发展需要的员工，公司将通过内部岗位竞聘的方式来协助此类员工发展</w:t>
      </w:r>
    </w:p>
    <w:p>
      <w:pPr>
        <w:pStyle w:val="4"/>
        <w:numPr>
          <w:ilvl w:val="0"/>
          <w:numId w:val="4"/>
        </w:numPr>
        <w:spacing w:after="156"/>
        <w:rPr>
          <w:rFonts w:hint="eastAsia" w:hAnsi="宋体"/>
          <w:vanish/>
          <w:color w:val="000000"/>
          <w:szCs w:val="24"/>
        </w:rPr>
      </w:pPr>
      <w:r>
        <w:rPr>
          <w:rFonts w:hint="eastAsia" w:hAnsi="SimHei" w:ascii="SimHei" w:eastAsia="黑体"/>
        </w:rPr>
        <w:t>发展路线包括二类：　轮岗类职业发展路线图、晋升类职业发展路线图</w:t>
      </w:r>
    </w:p>
    <w:p>
      <w:pPr>
        <w:pStyle w:val="4"/>
        <w:spacing w:after="156"/>
        <w:rPr>
          <w:rFonts w:hint="eastAsia" w:hAnsi="宋体"/>
        </w:rPr>
      </w:pPr>
    </w:p>
    <w:p>
      <w:pPr>
        <w:pStyle w:val="4"/>
        <w:numPr>
          <w:ilvl w:val="1"/>
          <w:numId w:val="4"/>
        </w:numPr>
        <w:spacing w:after="156"/>
        <w:rPr>
          <w:rFonts w:hint="eastAsia" w:hAnsi="宋体"/>
          <w:vanish/>
          <w:color w:val="000000"/>
          <w:szCs w:val="24"/>
        </w:rPr>
      </w:pPr>
      <w:r>
        <w:rPr>
          <w:rFonts w:hint="eastAsia" w:hAnsi="SimHei" w:ascii="SimHei" w:eastAsia="黑体"/>
        </w:rPr>
        <w:t>轮岗类职业发展路线图：首先表明正常情况下可以相互轮换的岗位（相同编号的岗位可以轮换）；其次从培养管理人员角度可以相互轮换的岗位；最后指明需要特别关注的可轮岗岗位类别</w:t>
      </w:r>
    </w:p>
    <w:p>
      <w:pPr>
        <w:pStyle w:val="4"/>
        <w:spacing w:after="156"/>
        <w:rPr>
          <w:rFonts w:hint="eastAsia" w:hAnsi="宋体"/>
        </w:rPr>
      </w:pPr>
    </w:p>
    <w:p>
      <w:pPr>
        <w:pStyle w:val="4"/>
        <w:numPr>
          <w:ilvl w:val="1"/>
          <w:numId w:val="4"/>
        </w:numPr>
        <w:spacing w:after="156"/>
        <w:rPr>
          <w:rFonts w:hint="eastAsia" w:hAnsi="宋体"/>
          <w:vanish/>
          <w:color w:val="000000"/>
          <w:szCs w:val="24"/>
        </w:rPr>
      </w:pPr>
      <w:r>
        <w:rPr>
          <w:rFonts w:hint="eastAsia" w:hAnsi="SimHei" w:ascii="SimHei" w:eastAsia="黑体"/>
        </w:rPr>
        <w:t>晋升类职业发展路线图：指从员工层到副总经理层相关岗位之间的晋升关系</w:t>
      </w:r>
    </w:p>
    <w:p>
      <w:pPr>
        <w:pStyle w:val="4"/>
        <w:spacing w:after="156"/>
        <w:rPr>
          <w:rFonts w:hint="eastAsia" w:hAnsi="宋体"/>
          <w:vanish/>
          <w:color w:val="000000"/>
          <w:szCs w:val="24"/>
        </w:rPr>
      </w:pPr>
    </w:p>
    <w:p>
      <w:pPr>
        <w:pStyle w:val="4"/>
        <w:numPr>
          <w:ilvl w:val="0"/>
          <w:numId w:val="4"/>
        </w:numPr>
        <w:tabs>
          <w:tab w:val="left" w:pos="0"/>
        </w:tabs>
        <w:spacing w:after="156"/>
        <w:rPr>
          <w:rFonts w:hAnsi="宋体"/>
          <w:vanish/>
          <w:color w:val="000000"/>
          <w:szCs w:val="24"/>
        </w:rPr>
      </w:pPr>
    </w:p>
    <w:p>
      <w:pPr>
        <w:pStyle w:val="4"/>
        <w:numPr>
          <w:ilvl w:val="0"/>
          <w:numId w:val="4"/>
        </w:numPr>
        <w:spacing w:after="156"/>
        <w:rPr>
          <w:rFonts w:hint="eastAsia" w:hAnsi="宋体"/>
        </w:rPr>
      </w:pPr>
    </w:p>
    <w:p>
      <w:pPr>
        <w:pStyle w:val="3"/>
        <w:rPr>
          <w:rFonts w:hint="eastAsia"/>
        </w:rPr>
      </w:pPr>
      <w:bookmarkStart w:id="27" w:name="_Toc15742148"/>
      <w:r>
        <w:rPr>
          <w:rFonts w:hint="eastAsia" w:ascii="SimHei" w:hAnsi="SimHei" w:eastAsia="黑体"/>
        </w:rPr>
        <w:t>2.2职业发展矩阵之纵向职业发展通道</w:t>
      </w:r>
      <w:bookmarkEnd w:id="25"/>
      <w:bookmarkEnd w:id="26"/>
      <w:bookmarkEnd w:id="27"/>
    </w:p>
    <w:p>
      <w:pPr>
        <w:pStyle w:val="5"/>
        <w:rPr>
          <w:rFonts w:hint="eastAsia" w:ascii="宋体" w:hAnsi="宋体"/>
        </w:rPr>
      </w:pPr>
      <w:bookmarkStart w:id="28" w:name="_Toc15371187"/>
      <w:bookmarkStart w:id="29" w:name="_Toc15391311"/>
      <w:bookmarkStart w:id="30" w:name="_Toc15742149"/>
      <w:r>
        <w:rPr>
          <w:rFonts w:hint="eastAsia" w:ascii="SimHei" w:hAnsi="SimHei" w:eastAsia="黑体"/>
        </w:rPr>
        <w:t>2.2.1员工发展的多重阶梯</w:t>
      </w:r>
      <w:bookmarkEnd w:id="28"/>
      <w:bookmarkEnd w:id="29"/>
      <w:bookmarkEnd w:id="30"/>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通用之路</w:t>
      </w:r>
    </w:p>
    <w:p>
      <w:pPr>
        <w:pStyle w:val="4"/>
        <w:numPr>
          <w:ilvl w:val="0"/>
          <w:numId w:val="3"/>
        </w:numPr>
        <w:spacing w:after="156"/>
        <w:rPr>
          <w:rFonts w:hint="eastAsia" w:hAnsi="宋体"/>
        </w:rPr>
      </w:pPr>
      <w:r>
        <w:rPr>
          <w:rFonts w:hint="eastAsia" w:hAnsi="SimHei" w:ascii="SimHei" w:eastAsia="黑体"/>
        </w:rPr>
        <w:t>指非营销及技术岗位员工的发展通道，多重阶梯的发展标志主要体现在薪酬职级及岗位职层的上升</w:t>
      </w:r>
    </w:p>
    <w:p>
      <w:pPr>
        <w:pStyle w:val="4"/>
        <w:numPr>
          <w:ilvl w:val="0"/>
          <w:numId w:val="3"/>
        </w:numPr>
        <w:spacing w:after="156"/>
        <w:rPr>
          <w:rFonts w:hint="eastAsia" w:hAnsi="宋体"/>
        </w:rPr>
      </w:pPr>
      <w:r>
        <w:rPr>
          <w:rFonts w:hint="eastAsia" w:hAnsi="SimHei" w:ascii="SimHei" w:eastAsia="黑体"/>
        </w:rPr>
        <w:t>通用之路成长阶梯，适用于所有非营销或技术制造员工，员工职级为F、M、H三层，副总为H层共3档，部门经理为M层共3档，员工为F层共6档，各档又分为9级，薪酬职级的增长伴随着薪酬的提高，往往也伴随着责任的加大，工作任务的丰富化</w:t>
      </w:r>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专业之路</w:t>
      </w:r>
    </w:p>
    <w:p>
      <w:pPr>
        <w:pStyle w:val="4"/>
        <w:numPr>
          <w:ilvl w:val="0"/>
          <w:numId w:val="3"/>
        </w:numPr>
        <w:spacing w:after="156"/>
        <w:rPr>
          <w:rFonts w:hint="eastAsia" w:hAnsi="宋体"/>
          <w:color w:val="FF0000"/>
        </w:rPr>
      </w:pPr>
      <w:r>
        <w:rPr>
          <w:rFonts w:hint="eastAsia" w:hAnsi="SimHei" w:ascii="SimHei" w:eastAsia="黑体"/>
          <w:color w:val="FF0000"/>
        </w:rPr>
        <w:t>技术之路成长阶梯：面向从事研究开发技术及技术支持服务的员工，技术开发人员及技术支持人员成长阶梯分为工程师、主管工程师、主任工程师、首席研究员四层，其中工程师分为四档，其它三层各分为三档；技术服务人员分为工程师、主管工程师二档，其中工程师分为四档，主管工程师为三档；公司鼓励有技术专长的员工持续努力地发展技术水平，在技术阶梯上发展有管理专长的技术岗位的员工，也可以选择通用阶梯，成为中、高层管理人员（参见附图二</w:t>
      </w:r>
      <w:r>
        <w:rPr>
          <w:rFonts w:hAnsi="SimHei" w:ascii="SimHei" w:eastAsia="黑体"/>
          <w:color w:val="FF0000"/>
        </w:rPr>
        <w:t>c</w:t>
      </w:r>
      <w:r>
        <w:rPr>
          <w:rFonts w:hint="eastAsia" w:hAnsi="SimHei" w:ascii="SimHei" w:eastAsia="黑体"/>
          <w:color w:val="FF0000"/>
        </w:rPr>
        <w:t>：技术领域岗位技术之路职级调整范围表）</w:t>
      </w:r>
    </w:p>
    <w:p>
      <w:pPr>
        <w:pStyle w:val="4"/>
        <w:numPr>
          <w:ilvl w:val="0"/>
          <w:numId w:val="3"/>
        </w:numPr>
        <w:spacing w:after="156"/>
        <w:rPr>
          <w:rFonts w:hint="eastAsia" w:hAnsi="宋体"/>
        </w:rPr>
      </w:pPr>
      <w:r>
        <w:rPr>
          <w:rFonts w:hint="eastAsia" w:hAnsi="SimHei" w:ascii="SimHei" w:eastAsia="黑体"/>
        </w:rPr>
        <w:t>营销之路成长阶梯：面向片区销售型员工及售后服务型员工，经营业务人员成长阶梯分为分公司经理、片区经理、销售员三层，其中销售员层分为六档，其它二层各分为三档；经营服务人员成长阶梯分为技术经理层、服务站站长层、售后服务人员层，其中售后服务人员层分为六档，其它二层各分为三档；营销领域的员工也可以在通用阶梯上通过晋升、岗位轮换实现自身的价值（参见附图五</w:t>
      </w:r>
      <w:r>
        <w:rPr>
          <w:rFonts w:hAnsi="SimHei" w:ascii="SimHei" w:eastAsia="黑体"/>
        </w:rPr>
        <w:t>c</w:t>
      </w:r>
      <w:r>
        <w:rPr>
          <w:rFonts w:hint="eastAsia" w:hAnsi="SimHei" w:ascii="SimHei" w:eastAsia="黑体"/>
        </w:rPr>
        <w:t>：营销系统直线岗位专业之路职级调整范围表）</w:t>
      </w:r>
    </w:p>
    <w:p>
      <w:pPr>
        <w:pStyle w:val="4"/>
        <w:numPr>
          <w:ilvl w:val="0"/>
          <w:numId w:val="3"/>
        </w:numPr>
        <w:spacing w:after="156"/>
        <w:rPr>
          <w:rFonts w:hint="eastAsia" w:hAnsi="宋体"/>
        </w:rPr>
      </w:pPr>
      <w:r>
        <w:rPr>
          <w:rFonts w:hint="eastAsia" w:hAnsi="SimHei" w:ascii="SimHei" w:eastAsia="黑体"/>
        </w:rPr>
        <w:t>计件工人专业成长阶梯（参见附图七</w:t>
      </w:r>
      <w:r>
        <w:rPr>
          <w:rFonts w:hAnsi="SimHei" w:ascii="SimHei" w:eastAsia="黑体"/>
        </w:rPr>
        <w:t>c</w:t>
      </w:r>
      <w:r>
        <w:rPr>
          <w:rFonts w:hint="eastAsia" w:hAnsi="SimHei" w:ascii="SimHei" w:eastAsia="黑体"/>
        </w:rPr>
        <w:t>：制造系统计件工人专业发展之路，详细内容参见《计件工人绩效考评手册》）</w:t>
      </w:r>
    </w:p>
    <w:p>
      <w:pPr>
        <w:pStyle w:val="5"/>
        <w:rPr>
          <w:rFonts w:hint="eastAsia" w:ascii="宋体" w:hAnsi="宋体"/>
        </w:rPr>
      </w:pPr>
      <w:bookmarkStart w:id="31" w:name="_Toc15371188"/>
      <w:bookmarkStart w:id="32" w:name="_Toc15391312"/>
      <w:bookmarkStart w:id="33" w:name="_Toc15742150"/>
      <w:r>
        <w:rPr>
          <w:rFonts w:hint="eastAsia" w:ascii="SimHei" w:hAnsi="SimHei" w:eastAsia="黑体"/>
        </w:rPr>
        <w:t>2.2.2</w:t>
      </w:r>
      <w:bookmarkEnd w:id="31"/>
      <w:r>
        <w:rPr>
          <w:rFonts w:hint="eastAsia" w:ascii="SimHei" w:hAnsi="SimHei" w:eastAsia="黑体"/>
        </w:rPr>
        <w:t>薪酬职级与岗位职层的调整</w:t>
      </w:r>
      <w:bookmarkEnd w:id="32"/>
      <w:bookmarkEnd w:id="33"/>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薪酬职级的调整</w:t>
      </w:r>
    </w:p>
    <w:p>
      <w:pPr>
        <w:pStyle w:val="4"/>
        <w:numPr>
          <w:ilvl w:val="0"/>
          <w:numId w:val="4"/>
        </w:numPr>
        <w:spacing w:after="156"/>
        <w:rPr>
          <w:rFonts w:hint="eastAsia" w:hAnsi="宋体"/>
        </w:rPr>
      </w:pPr>
      <w:r>
        <w:rPr>
          <w:rFonts w:hint="eastAsia" w:hAnsi="SimHei" w:ascii="SimHei" w:eastAsia="黑体"/>
        </w:rPr>
        <w:t>在公司机构趋于扁平化的今天，员工的满足感将不仅仅来自传统的岗位职层晋升，而是来自薪酬职级的上升（伴随薪酬职级的上调）</w:t>
      </w:r>
    </w:p>
    <w:p>
      <w:pPr>
        <w:pStyle w:val="4"/>
        <w:numPr>
          <w:ilvl w:val="0"/>
          <w:numId w:val="4"/>
        </w:numPr>
        <w:spacing w:after="156"/>
        <w:rPr>
          <w:rFonts w:hint="eastAsia" w:hAnsi="宋体"/>
        </w:rPr>
      </w:pPr>
      <w:r>
        <w:rPr>
          <w:rFonts w:hint="eastAsia" w:hAnsi="SimHei" w:ascii="SimHei" w:eastAsia="黑体"/>
        </w:rPr>
        <w:t>对于通用类岗位而言，每个岗位对应一个薪酬档次，业绩考评优秀的员工有机会提升该档次对应的九级薪酬职级</w:t>
      </w:r>
    </w:p>
    <w:p>
      <w:pPr>
        <w:pStyle w:val="4"/>
        <w:numPr>
          <w:ilvl w:val="0"/>
          <w:numId w:val="4"/>
        </w:numPr>
        <w:spacing w:after="156"/>
        <w:rPr>
          <w:rFonts w:hint="eastAsia" w:hAnsi="宋体"/>
        </w:rPr>
      </w:pPr>
      <w:r>
        <w:rPr>
          <w:rFonts w:hint="eastAsia" w:hAnsi="SimHei" w:ascii="SimHei" w:eastAsia="黑体"/>
        </w:rPr>
        <w:t>对于专业之路岗位而言，每层岗位对应三类或六类薪酬档次，业绩考评优秀的员工有机会提升该层对应的相应薪酬职级</w:t>
      </w:r>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岗位职层的调整</w:t>
      </w:r>
    </w:p>
    <w:p>
      <w:pPr>
        <w:pStyle w:val="4"/>
        <w:numPr>
          <w:ilvl w:val="0"/>
          <w:numId w:val="4"/>
        </w:numPr>
        <w:spacing w:after="156"/>
        <w:rPr>
          <w:rFonts w:hint="eastAsia" w:hAnsi="宋体"/>
        </w:rPr>
      </w:pPr>
      <w:r>
        <w:rPr>
          <w:rFonts w:hint="eastAsia" w:hAnsi="SimHei" w:ascii="SimHei" w:eastAsia="黑体"/>
        </w:rPr>
        <w:t>在XX的职业发展体系里，纵向职业发展指的是传统的晋升道路，即岗位职层的晋升。岗位职层包括从F6到H1所有层级。公司鼓励员工努力工作，在出现职位空缺的前提下，工作勤奋、表现出色、能力出众的员工将有可能获得优先的晋升和发展机会，公司在一定程度上执行竞争上岗制度，当公司能够提供空缺岗位时，满足以下条件的员工才可能获得晋升：</w:t>
      </w:r>
    </w:p>
    <w:p>
      <w:pPr>
        <w:pStyle w:val="4"/>
        <w:numPr>
          <w:ilvl w:val="1"/>
          <w:numId w:val="4"/>
        </w:numPr>
        <w:spacing w:after="156"/>
        <w:rPr>
          <w:rFonts w:hint="eastAsia" w:hAnsi="宋体"/>
        </w:rPr>
      </w:pPr>
      <w:r>
        <w:rPr>
          <w:rFonts w:hint="eastAsia" w:hAnsi="SimHei" w:ascii="SimHei" w:eastAsia="黑体"/>
        </w:rPr>
        <w:t>年度考核成绩达到晋升的要求；</w:t>
      </w:r>
    </w:p>
    <w:p>
      <w:pPr>
        <w:pStyle w:val="4"/>
        <w:numPr>
          <w:ilvl w:val="1"/>
          <w:numId w:val="4"/>
        </w:numPr>
        <w:spacing w:after="156"/>
        <w:rPr>
          <w:rFonts w:hint="eastAsia" w:hAnsi="宋体"/>
        </w:rPr>
      </w:pPr>
      <w:r>
        <w:rPr>
          <w:rFonts w:hint="eastAsia" w:hAnsi="SimHei" w:ascii="SimHei" w:eastAsia="黑体"/>
        </w:rPr>
        <w:t>对有关职务工作内容充分了解，并体现出职务兴趣；</w:t>
      </w:r>
    </w:p>
    <w:p>
      <w:pPr>
        <w:pStyle w:val="4"/>
        <w:numPr>
          <w:ilvl w:val="1"/>
          <w:numId w:val="4"/>
        </w:numPr>
        <w:spacing w:after="156"/>
        <w:rPr>
          <w:rFonts w:hint="eastAsia" w:hAnsi="宋体"/>
        </w:rPr>
      </w:pPr>
      <w:r>
        <w:rPr>
          <w:rFonts w:hint="eastAsia" w:hAnsi="SimHei" w:ascii="SimHei" w:eastAsia="黑体"/>
        </w:rPr>
        <w:t>具备其它与职务要求相关的综合能力；</w:t>
      </w:r>
    </w:p>
    <w:p>
      <w:pPr>
        <w:pStyle w:val="4"/>
        <w:numPr>
          <w:ilvl w:val="1"/>
          <w:numId w:val="4"/>
        </w:numPr>
        <w:spacing w:after="156"/>
        <w:rPr>
          <w:rFonts w:hint="eastAsia" w:hAnsi="宋体"/>
        </w:rPr>
      </w:pPr>
      <w:r>
        <w:rPr>
          <w:rFonts w:hint="eastAsia" w:hAnsi="SimHei" w:ascii="SimHei" w:eastAsia="黑体"/>
        </w:rPr>
        <w:t>已参加过拟晋升职务需接受的系列培训，成绩合格；</w:t>
      </w:r>
    </w:p>
    <w:p>
      <w:pPr>
        <w:pStyle w:val="4"/>
        <w:numPr>
          <w:ilvl w:val="1"/>
          <w:numId w:val="4"/>
        </w:numPr>
        <w:spacing w:after="156"/>
        <w:rPr>
          <w:rFonts w:hint="eastAsia" w:hAnsi="宋体"/>
        </w:rPr>
      </w:pPr>
      <w:r>
        <w:rPr>
          <w:rFonts w:hint="eastAsia" w:hAnsi="SimHei" w:ascii="SimHei" w:eastAsia="黑体"/>
        </w:rPr>
        <w:t>达到拟晋升职务所规定的工作经验要求</w:t>
      </w:r>
    </w:p>
    <w:p>
      <w:pPr>
        <w:pStyle w:val="3"/>
        <w:rPr>
          <w:rFonts w:hint="eastAsia"/>
        </w:rPr>
      </w:pPr>
      <w:bookmarkStart w:id="34" w:name="_Toc15371189"/>
      <w:bookmarkStart w:id="35" w:name="_Toc15391313"/>
      <w:bookmarkStart w:id="36" w:name="_Toc15742151"/>
      <w:r>
        <w:rPr>
          <w:rFonts w:hint="eastAsia" w:ascii="SimHei" w:hAnsi="SimHei" w:eastAsia="黑体"/>
        </w:rPr>
        <w:t>2.3职业发展矩阵之横向职业发展通道</w:t>
      </w:r>
      <w:bookmarkEnd w:id="34"/>
      <w:bookmarkEnd w:id="35"/>
      <w:bookmarkEnd w:id="36"/>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横向职业发展通道的特点</w:t>
      </w:r>
    </w:p>
    <w:p>
      <w:pPr>
        <w:pStyle w:val="4"/>
        <w:numPr>
          <w:ilvl w:val="0"/>
          <w:numId w:val="4"/>
        </w:numPr>
        <w:spacing w:after="156"/>
        <w:rPr>
          <w:rFonts w:hint="eastAsia" w:hAnsi="宋体"/>
        </w:rPr>
      </w:pPr>
      <w:r>
        <w:rPr>
          <w:rFonts w:hint="eastAsia" w:hAnsi="SimHei" w:ascii="SimHei" w:eastAsia="黑体"/>
        </w:rPr>
        <w:t>公司设置五个职业发展领域：技术领域、财务领域、营销领域、职能管理领域、制造领域，XX鼓励员工针对自己特长提出的横向职业发展要求，也鼓励员工发展自己的多重技能在公司的职业发展矩阵里，员工可以看到自己岗位轮换的选择岗位，在与部门经理充分讨论的基础上确定岗位轮换的时间、方式</w:t>
      </w:r>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职业发展矩阵内容</w:t>
      </w:r>
    </w:p>
    <w:p>
      <w:pPr>
        <w:pStyle w:val="4"/>
        <w:numPr>
          <w:ilvl w:val="0"/>
          <w:numId w:val="4"/>
        </w:numPr>
        <w:spacing w:after="156"/>
        <w:rPr>
          <w:rFonts w:hint="eastAsia" w:hAnsi="宋体"/>
          <w:color w:val="FF0000"/>
        </w:rPr>
      </w:pPr>
      <w:r>
        <w:rPr>
          <w:rFonts w:hint="eastAsia" w:hAnsi="SimHei" w:ascii="SimHei" w:eastAsia="黑体"/>
        </w:rPr>
        <w:t>技术领域：包括企管部、研发/制造部门、营销部门相关岗位，通过编号相同的岗位之间进行轮岗或跨部门晋升，可以加强研发中心同研究所相关岗位之间的了解，并使研发\制造系统之外部门对研发工作有更深入的理解（参见附图二</w:t>
      </w:r>
      <w:r>
        <w:rPr>
          <w:rFonts w:hAnsi="SimHei" w:ascii="SimHei" w:eastAsia="黑体"/>
        </w:rPr>
        <w:t>a</w:t>
      </w:r>
      <w:r>
        <w:rPr>
          <w:rFonts w:hint="eastAsia" w:hAnsi="SimHei" w:ascii="SimHei" w:eastAsia="黑体"/>
        </w:rPr>
        <w:t>：研发系统岗位管理之路职业发展矩阵）</w:t>
      </w:r>
    </w:p>
    <w:p>
      <w:pPr>
        <w:pStyle w:val="4"/>
        <w:numPr>
          <w:ilvl w:val="0"/>
          <w:numId w:val="4"/>
        </w:numPr>
        <w:spacing w:after="156"/>
        <w:rPr>
          <w:rFonts w:hint="eastAsia" w:hAnsi="宋体"/>
          <w:color w:val="FF0000"/>
        </w:rPr>
      </w:pPr>
      <w:r>
        <w:rPr>
          <w:rFonts w:hint="eastAsia" w:hAnsi="SimHei" w:ascii="SimHei" w:eastAsia="黑体"/>
        </w:rPr>
        <w:t>财务领域：会计岗位之间可在适当的时候进行岗位轮换，以培养具有综合素质的会计人才，同时增加相关部门之间的理解（参见附图三</w:t>
      </w:r>
      <w:r>
        <w:rPr>
          <w:rFonts w:hAnsi="SimHei" w:ascii="SimHei" w:eastAsia="黑体"/>
        </w:rPr>
        <w:t>a</w:t>
      </w:r>
      <w:r>
        <w:rPr>
          <w:rFonts w:hint="eastAsia" w:hAnsi="SimHei" w:ascii="SimHei" w:eastAsia="黑体"/>
        </w:rPr>
        <w:t>：财务系统岗位职业发展矩阵）</w:t>
      </w:r>
    </w:p>
    <w:p>
      <w:pPr>
        <w:pStyle w:val="4"/>
        <w:numPr>
          <w:ilvl w:val="0"/>
          <w:numId w:val="4"/>
        </w:numPr>
        <w:spacing w:after="156"/>
        <w:rPr>
          <w:rFonts w:hint="eastAsia" w:hAnsi="宋体"/>
        </w:rPr>
      </w:pPr>
      <w:r>
        <w:rPr>
          <w:rFonts w:hint="eastAsia" w:hAnsi="SimHei" w:ascii="SimHei" w:eastAsia="黑体"/>
        </w:rPr>
        <w:t>营销职能管理领域：员工岗位轮换集中在四个部门的基础岗位，通过岗位轮换使员工深入了解营销职能部门是如何对营销系统进行管理的，营销系统岗位员工可以来自公司相关职能部门及制造部门， 这样加强了制造与营销之间的沟通（参见附图四</w:t>
      </w:r>
      <w:r>
        <w:rPr>
          <w:rFonts w:hAnsi="SimHei" w:ascii="SimHei" w:eastAsia="黑体"/>
        </w:rPr>
        <w:t>a</w:t>
      </w:r>
      <w:r>
        <w:rPr>
          <w:rFonts w:hint="eastAsia" w:hAnsi="SimHei" w:ascii="SimHei" w:eastAsia="黑体"/>
        </w:rPr>
        <w:t>：营销系统管理职能岗位职业发展矩阵）</w:t>
      </w:r>
    </w:p>
    <w:p>
      <w:pPr>
        <w:pStyle w:val="4"/>
        <w:numPr>
          <w:ilvl w:val="0"/>
          <w:numId w:val="4"/>
        </w:numPr>
        <w:spacing w:after="156"/>
        <w:rPr>
          <w:rFonts w:hint="eastAsia" w:hAnsi="宋体"/>
        </w:rPr>
      </w:pPr>
      <w:r>
        <w:rPr>
          <w:rFonts w:hint="eastAsia" w:hAnsi="SimHei" w:ascii="SimHei" w:eastAsia="黑体"/>
        </w:rPr>
        <w:t>营销销售直线领域：销售人员、售后服务人员除了选择发展专业销售之路，还可以向营销职能管理岗位发展，其进入职能管理领域岗位轮换主要通过内部招聘的形式进行（参见附图五</w:t>
      </w:r>
      <w:r>
        <w:rPr>
          <w:rFonts w:hAnsi="SimHei" w:ascii="SimHei" w:eastAsia="黑体"/>
        </w:rPr>
        <w:t>a</w:t>
      </w:r>
      <w:r>
        <w:rPr>
          <w:rFonts w:hint="eastAsia" w:hAnsi="SimHei" w:ascii="SimHei" w:eastAsia="黑体"/>
        </w:rPr>
        <w:t>：营销系统直线岗位管理之路职业发展矩阵）</w:t>
      </w:r>
    </w:p>
    <w:p>
      <w:pPr>
        <w:pStyle w:val="4"/>
        <w:numPr>
          <w:ilvl w:val="0"/>
          <w:numId w:val="4"/>
        </w:numPr>
        <w:spacing w:after="156"/>
        <w:rPr>
          <w:rFonts w:hint="eastAsia" w:hAnsi="宋体"/>
        </w:rPr>
      </w:pPr>
      <w:r>
        <w:rPr>
          <w:rFonts w:hint="eastAsia" w:hAnsi="SimHei" w:ascii="SimHei" w:eastAsia="黑体"/>
        </w:rPr>
        <w:t>职能管理领域：职能部门由于各部门岗位之间相关性不大，所以轮岗机会较少，主要在部门内选择岗位轮换的机会，公司鼓励员工在高绩效地完成本职工作后寻找相关职能部门岗位学习，以使职能管理部门相互之间增加交流机会（参见附图六</w:t>
      </w:r>
      <w:r>
        <w:rPr>
          <w:rFonts w:hAnsi="SimHei" w:ascii="SimHei" w:eastAsia="黑体"/>
        </w:rPr>
        <w:t>a</w:t>
      </w:r>
      <w:r>
        <w:rPr>
          <w:rFonts w:hint="eastAsia" w:hAnsi="SimHei" w:ascii="SimHei" w:eastAsia="黑体"/>
        </w:rPr>
        <w:t>：职能管理系统岗位职业发展矩阵）</w:t>
      </w:r>
    </w:p>
    <w:p>
      <w:pPr>
        <w:pStyle w:val="4"/>
        <w:numPr>
          <w:ilvl w:val="0"/>
          <w:numId w:val="4"/>
        </w:numPr>
        <w:spacing w:after="156"/>
        <w:rPr>
          <w:rFonts w:hAnsi="宋体"/>
          <w:vanish/>
          <w:color w:val="000000"/>
          <w:szCs w:val="24"/>
        </w:rPr>
      </w:pPr>
      <w:r>
        <w:rPr>
          <w:rFonts w:hint="eastAsia" w:hAnsi="SimHei" w:ascii="SimHei" w:eastAsia="黑体"/>
        </w:rPr>
        <w:t>制造领域：岗位较多且工作相关性较大，所以岗位轮换机会较多，公司应鼓励基层员工加强岗位轮换，以使他们摆脱过分熟悉后带来的单调感，公司鼓励以下岗位进行轮换：生产调度员与质检员、综合计划室岗位与生产部门岗位、国内采购室与进出口部及外协室岗位（参见附图七</w:t>
      </w:r>
      <w:r>
        <w:rPr>
          <w:rFonts w:hAnsi="SimHei" w:ascii="SimHei" w:eastAsia="黑体"/>
        </w:rPr>
        <w:t>a</w:t>
      </w:r>
      <w:r>
        <w:rPr>
          <w:rFonts w:hint="eastAsia" w:hAnsi="SimHei" w:ascii="SimHei" w:eastAsia="黑体"/>
        </w:rPr>
        <w:t xml:space="preserve">：制造系统岗位职业发展矩阵） </w:t>
      </w:r>
    </w:p>
    <w:p>
      <w:pPr>
        <w:pStyle w:val="4"/>
        <w:numPr>
          <w:ilvl w:val="0"/>
          <w:numId w:val="4"/>
        </w:numPr>
        <w:spacing w:after="156"/>
        <w:rPr>
          <w:rFonts w:hAnsi="宋体"/>
          <w:color w:val="FF0000"/>
        </w:rPr>
      </w:pPr>
    </w:p>
    <w:p>
      <w:pPr>
        <w:pStyle w:val="4"/>
        <w:numPr>
          <w:ilvl w:val="0"/>
          <w:numId w:val="4"/>
        </w:numPr>
        <w:spacing w:after="156"/>
        <w:rPr>
          <w:rFonts w:hint="eastAsia" w:hAnsi="宋体"/>
          <w:color w:val="FF0000"/>
        </w:rPr>
      </w:pPr>
      <w:r>
        <w:rPr>
          <w:rFonts w:hint="eastAsia" w:hAnsi="SimHei" w:ascii="SimHei" w:eastAsia="黑体"/>
        </w:rPr>
        <w:t>相对独立部门：岗位由于部门特点自成体系，很难同其它部门进行岗位轮换，但电子技术开发部内部应加大岗位轮换力度，以发挥本部门规模小但科室之间协作能力强的特点（参见附图八</w:t>
      </w:r>
      <w:r>
        <w:rPr>
          <w:rFonts w:hAnsi="SimHei" w:ascii="SimHei" w:eastAsia="黑体"/>
        </w:rPr>
        <w:t>a</w:t>
      </w:r>
      <w:r>
        <w:rPr>
          <w:rFonts w:hint="eastAsia" w:hAnsi="SimHei" w:ascii="SimHei" w:eastAsia="黑体"/>
        </w:rPr>
        <w:t>：独立部门岗位职业发展矩阵）</w:t>
      </w:r>
    </w:p>
    <w:p>
      <w:pPr>
        <w:pStyle w:val="4"/>
        <w:numPr>
          <w:ilvl w:val="0"/>
          <w:numId w:val="4"/>
        </w:numPr>
        <w:spacing w:after="156"/>
        <w:rPr>
          <w:rFonts w:hint="eastAsia" w:hAnsi="宋体"/>
        </w:rPr>
      </w:pPr>
      <w:r>
        <w:rPr>
          <w:rFonts w:hint="eastAsia" w:hAnsi="SimHei" w:ascii="SimHei" w:eastAsia="黑体"/>
        </w:rPr>
        <w:t>公司所有招聘信息会在办公信息平台上优先向内部员工发布，对这些职位有兴趣的员工可以与部门经理沟通获得许可后向职业发展执行小组提出申请，按照内部招聘流程经过相关录用程序步入新的工作岗位</w:t>
      </w:r>
    </w:p>
    <w:p>
      <w:pPr>
        <w:pStyle w:val="3"/>
        <w:rPr>
          <w:rFonts w:hint="eastAsia"/>
        </w:rPr>
      </w:pPr>
      <w:bookmarkStart w:id="37" w:name="_Toc15371190"/>
      <w:bookmarkStart w:id="38" w:name="_Toc15391314"/>
      <w:bookmarkStart w:id="39" w:name="_Toc15742152"/>
      <w:r>
        <w:rPr>
          <w:rFonts w:hint="eastAsia" w:ascii="SimHei" w:hAnsi="SimHei" w:eastAsia="黑体"/>
        </w:rPr>
        <w:t>2.4岗位任职资格及能力要求</w:t>
      </w:r>
      <w:bookmarkEnd w:id="37"/>
      <w:bookmarkEnd w:id="38"/>
      <w:bookmarkEnd w:id="39"/>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明确岗位胜任能力的作用</w:t>
      </w:r>
    </w:p>
    <w:p>
      <w:pPr>
        <w:pStyle w:val="4"/>
        <w:numPr>
          <w:ilvl w:val="0"/>
          <w:numId w:val="4"/>
        </w:numPr>
        <w:spacing w:after="156"/>
        <w:rPr>
          <w:rFonts w:hint="eastAsia" w:hAnsi="宋体"/>
        </w:rPr>
      </w:pPr>
      <w:r>
        <w:rPr>
          <w:rFonts w:hint="eastAsia" w:hAnsi="SimHei" w:ascii="SimHei" w:eastAsia="黑体"/>
        </w:rPr>
        <w:t>岗位任职资格评定的目的在于评定任职人员与岗位所需能力的匹配程度，提升各岗位员工的任职能力，保证公司整体经营目标的实现</w:t>
      </w:r>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确定岗位胜任能力的方法</w:t>
      </w:r>
    </w:p>
    <w:p>
      <w:pPr>
        <w:pStyle w:val="4"/>
        <w:numPr>
          <w:ilvl w:val="0"/>
          <w:numId w:val="4"/>
        </w:numPr>
        <w:spacing w:after="156"/>
        <w:rPr>
          <w:rFonts w:hint="eastAsia" w:hAnsi="宋体"/>
        </w:rPr>
      </w:pPr>
      <w:r>
        <w:rPr>
          <w:rFonts w:hint="eastAsia" w:hAnsi="SimHei" w:ascii="SimHei" w:eastAsia="黑体"/>
        </w:rPr>
        <w:t>任职资格的评定将以各岗位KPI及态度与能力的考核为基础进行（KPI及态度能力的考核参见《绩效考核手册》）</w:t>
      </w:r>
    </w:p>
    <w:p>
      <w:pPr>
        <w:pStyle w:val="4"/>
        <w:numPr>
          <w:ilvl w:val="0"/>
          <w:numId w:val="4"/>
        </w:numPr>
        <w:spacing w:after="156"/>
        <w:rPr>
          <w:rFonts w:hint="eastAsia" w:hAnsi="宋体"/>
        </w:rPr>
      </w:pPr>
      <w:r>
        <w:rPr>
          <w:rFonts w:hint="eastAsia" w:hAnsi="SimHei" w:ascii="SimHei" w:eastAsia="黑体"/>
        </w:rPr>
        <w:t>胜任能力：因为职位的性质和特质所需要的能力，指为有效地执行职务和获得良好的工作业绩，在职者所需要拥有的技能、知识、态度、个性</w:t>
      </w:r>
    </w:p>
    <w:p>
      <w:pPr>
        <w:pStyle w:val="4"/>
        <w:numPr>
          <w:ilvl w:val="0"/>
          <w:numId w:val="4"/>
        </w:numPr>
        <w:spacing w:after="156"/>
        <w:rPr>
          <w:rFonts w:hint="eastAsia" w:hAnsi="宋体"/>
        </w:rPr>
      </w:pPr>
      <w:r>
        <w:rPr>
          <w:rFonts w:hint="eastAsia" w:hAnsi="SimHei" w:ascii="SimHei" w:eastAsia="黑体"/>
        </w:rPr>
        <w:t>各岗位具体任职资格由各部门在职位说明书的基础上制定</w:t>
      </w:r>
    </w:p>
    <w:p>
      <w:pPr>
        <w:pStyle w:val="4"/>
        <w:numPr>
          <w:ilvl w:val="0"/>
          <w:numId w:val="4"/>
        </w:numPr>
        <w:spacing w:after="156"/>
        <w:rPr>
          <w:rFonts w:hint="eastAsia" w:hAnsi="宋体"/>
        </w:rPr>
      </w:pPr>
      <w:r>
        <w:rPr>
          <w:rFonts w:hint="eastAsia" w:hAnsi="SimHei" w:ascii="SimHei" w:eastAsia="黑体"/>
        </w:rPr>
        <w:t>各部门制定的任职资格标准在职业发展执行小组统一审核的基础上确定</w:t>
      </w:r>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关键岗位胜任能力</w:t>
      </w:r>
    </w:p>
    <w:p>
      <w:pPr>
        <w:pStyle w:val="4"/>
        <w:numPr>
          <w:ilvl w:val="0"/>
          <w:numId w:val="4"/>
        </w:numPr>
        <w:spacing w:after="156"/>
        <w:rPr>
          <w:rFonts w:hint="eastAsia" w:hAnsi="宋体"/>
        </w:rPr>
      </w:pPr>
      <w:r>
        <w:rPr>
          <w:rFonts w:hint="eastAsia" w:hAnsi="SimHei" w:ascii="SimHei" w:eastAsia="黑体"/>
        </w:rPr>
        <w:t>参见绩效考评体系中规定的各岗位5项核心能力</w:t>
      </w:r>
    </w:p>
    <w:p>
      <w:pPr>
        <w:pStyle w:val="3"/>
        <w:rPr>
          <w:rFonts w:hint="eastAsia"/>
        </w:rPr>
      </w:pPr>
      <w:bookmarkStart w:id="40" w:name="_Toc15371197"/>
      <w:bookmarkStart w:id="41" w:name="_Toc15391316"/>
      <w:bookmarkStart w:id="42" w:name="_Toc15742153"/>
      <w:r>
        <w:rPr>
          <w:rFonts w:hint="eastAsia" w:ascii="SimHei" w:hAnsi="SimHei" w:eastAsia="黑体"/>
        </w:rPr>
        <w:t>2.</w:t>
      </w:r>
      <w:bookmarkEnd w:id="40"/>
      <w:bookmarkEnd w:id="41"/>
      <w:r>
        <w:rPr>
          <w:rFonts w:hint="eastAsia" w:ascii="SimHei" w:hAnsi="SimHei" w:eastAsia="黑体"/>
        </w:rPr>
        <w:t>5建立针对职业发展的培训体系</w:t>
      </w:r>
      <w:bookmarkEnd w:id="42"/>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培训工作的意义及作用</w:t>
      </w:r>
    </w:p>
    <w:p>
      <w:pPr>
        <w:pStyle w:val="4"/>
        <w:numPr>
          <w:ilvl w:val="0"/>
          <w:numId w:val="4"/>
        </w:numPr>
        <w:spacing w:after="156"/>
        <w:rPr>
          <w:rFonts w:hint="eastAsia" w:hAnsi="宋体"/>
        </w:rPr>
      </w:pPr>
      <w:r>
        <w:rPr>
          <w:rFonts w:hint="eastAsia" w:hAnsi="SimHei" w:ascii="SimHei" w:eastAsia="黑体"/>
        </w:rPr>
        <w:t>公司培训的目的是为提升公司业绩，为提高员工技能，为公司人力资源战略规划与职业发展提供有力的支持</w:t>
      </w:r>
    </w:p>
    <w:p>
      <w:pPr>
        <w:pStyle w:val="4"/>
        <w:numPr>
          <w:ilvl w:val="0"/>
          <w:numId w:val="4"/>
        </w:numPr>
        <w:spacing w:after="156"/>
        <w:rPr>
          <w:rFonts w:hint="eastAsia" w:hAnsi="宋体"/>
        </w:rPr>
      </w:pPr>
      <w:r>
        <w:rPr>
          <w:rFonts w:hint="eastAsia" w:hAnsi="SimHei" w:ascii="SimHei" w:eastAsia="黑体"/>
        </w:rPr>
        <w:t>通过培训，充实员工的专业知识和岗位技能，提高工作绩效</w:t>
      </w:r>
    </w:p>
    <w:p>
      <w:pPr>
        <w:pStyle w:val="4"/>
        <w:numPr>
          <w:ilvl w:val="0"/>
          <w:numId w:val="4"/>
        </w:numPr>
        <w:spacing w:after="156"/>
        <w:rPr>
          <w:rFonts w:hint="eastAsia" w:hAnsi="宋体"/>
        </w:rPr>
      </w:pPr>
      <w:r>
        <w:rPr>
          <w:rFonts w:hint="eastAsia" w:hAnsi="SimHei" w:ascii="SimHei" w:eastAsia="黑体"/>
        </w:rPr>
        <w:t>培训的开展结合员工职业发展计划，实现公司发展和个人成长的结合</w:t>
      </w:r>
    </w:p>
    <w:p>
      <w:pPr>
        <w:pStyle w:val="4"/>
        <w:numPr>
          <w:ilvl w:val="0"/>
          <w:numId w:val="4"/>
        </w:numPr>
        <w:spacing w:after="156"/>
        <w:rPr>
          <w:rFonts w:hint="eastAsia" w:hAnsi="宋体"/>
        </w:rPr>
      </w:pPr>
      <w:r>
        <w:rPr>
          <w:rFonts w:hint="eastAsia" w:hAnsi="SimHei" w:ascii="SimHei" w:eastAsia="黑体"/>
        </w:rPr>
        <w:t>构建符合公司策略和发展方向的培训体系，形成“学习型组织”，提升公司整体的绩效及竞争力</w:t>
      </w:r>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实施培训工作的机构</w:t>
      </w:r>
    </w:p>
    <w:p>
      <w:pPr>
        <w:pStyle w:val="4"/>
        <w:numPr>
          <w:ilvl w:val="0"/>
          <w:numId w:val="4"/>
        </w:numPr>
        <w:spacing w:after="156"/>
        <w:rPr>
          <w:rFonts w:hint="eastAsia" w:hAnsi="宋体"/>
        </w:rPr>
      </w:pPr>
      <w:r>
        <w:rPr>
          <w:rFonts w:hint="eastAsia" w:hAnsi="SimHei" w:ascii="SimHei" w:eastAsia="黑体"/>
        </w:rPr>
        <w:t>由职业发展管理委员会制定培训工作指导方针</w:t>
      </w:r>
    </w:p>
    <w:p>
      <w:pPr>
        <w:pStyle w:val="4"/>
        <w:numPr>
          <w:ilvl w:val="0"/>
          <w:numId w:val="4"/>
        </w:numPr>
        <w:spacing w:after="156"/>
        <w:rPr>
          <w:rFonts w:hint="eastAsia" w:hAnsi="宋体"/>
        </w:rPr>
      </w:pPr>
      <w:r>
        <w:rPr>
          <w:rFonts w:hint="eastAsia" w:hAnsi="SimHei" w:ascii="SimHei" w:eastAsia="黑体"/>
        </w:rPr>
        <w:t>由职业发展执行小组负责日常培训计划的制定、培训工作的安排、培训效果的评估、培训资料的保存</w:t>
      </w:r>
    </w:p>
    <w:p>
      <w:pPr>
        <w:pStyle w:val="2"/>
        <w:jc w:val="center"/>
        <w:rPr>
          <w:rFonts w:hint="eastAsia" w:ascii="宋体" w:hAnsi="宋体"/>
        </w:rPr>
      </w:pPr>
      <w:bookmarkStart w:id="43" w:name="_Toc15371198"/>
      <w:bookmarkStart w:id="44" w:name="_Toc15391317"/>
      <w:bookmarkStart w:id="45" w:name="_Toc15742154"/>
      <w:r>
        <w:rPr>
          <w:rFonts w:hint="eastAsia" w:ascii="SimHei" w:hAnsi="SimHei" w:eastAsia="黑体"/>
        </w:rPr>
        <w:t>第三章：实施员工职业发展</w:t>
      </w:r>
      <w:bookmarkEnd w:id="43"/>
      <w:bookmarkEnd w:id="44"/>
      <w:bookmarkEnd w:id="45"/>
    </w:p>
    <w:p>
      <w:pPr>
        <w:pStyle w:val="3"/>
        <w:rPr>
          <w:rFonts w:hint="eastAsia"/>
        </w:rPr>
      </w:pPr>
      <w:bookmarkStart w:id="46" w:name="_Toc15371191"/>
      <w:bookmarkStart w:id="47" w:name="_Toc15391318"/>
      <w:bookmarkStart w:id="48" w:name="_Toc15742155"/>
      <w:r>
        <w:rPr>
          <w:rFonts w:hint="eastAsia" w:ascii="SimHei" w:hAnsi="SimHei" w:eastAsia="黑体"/>
        </w:rPr>
        <w:t>3.1员工制定个人发展计划</w:t>
      </w:r>
      <w:bookmarkEnd w:id="46"/>
      <w:bookmarkEnd w:id="47"/>
      <w:bookmarkEnd w:id="48"/>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个人发展计划内容</w:t>
      </w:r>
    </w:p>
    <w:p>
      <w:pPr>
        <w:pStyle w:val="4"/>
        <w:numPr>
          <w:ilvl w:val="0"/>
          <w:numId w:val="4"/>
        </w:numPr>
        <w:spacing w:after="156"/>
        <w:rPr>
          <w:rFonts w:hint="eastAsia" w:hAnsi="宋体"/>
        </w:rPr>
      </w:pPr>
      <w:r>
        <w:rPr>
          <w:rFonts w:hint="eastAsia" w:hAnsi="SimHei" w:ascii="SimHei" w:eastAsia="黑体"/>
        </w:rPr>
        <w:t>职业发展目标的设定：包括理想的职位、技能运用水平、工作安排及技能的获取</w:t>
      </w:r>
    </w:p>
    <w:p>
      <w:pPr>
        <w:pStyle w:val="4"/>
        <w:numPr>
          <w:ilvl w:val="0"/>
          <w:numId w:val="4"/>
        </w:numPr>
        <w:spacing w:after="156"/>
        <w:rPr>
          <w:rFonts w:hint="eastAsia" w:hAnsi="宋体"/>
        </w:rPr>
      </w:pPr>
      <w:r>
        <w:rPr>
          <w:rFonts w:hint="eastAsia" w:hAnsi="SimHei" w:ascii="SimHei" w:eastAsia="黑体"/>
        </w:rPr>
        <w:t>行动规划：员工为达到长短期职业生涯目标应采取的措施，包括参加培训课程和研讨会，开展信息交流或申请公司内的空缺职位</w:t>
      </w:r>
    </w:p>
    <w:p>
      <w:pPr>
        <w:pStyle w:val="4"/>
        <w:numPr>
          <w:ilvl w:val="0"/>
          <w:numId w:val="4"/>
        </w:numPr>
        <w:spacing w:after="156"/>
        <w:rPr>
          <w:rFonts w:hint="eastAsia" w:hAnsi="宋体"/>
        </w:rPr>
      </w:pPr>
      <w:r>
        <w:rPr>
          <w:rFonts w:hint="eastAsia" w:hAnsi="SimHei" w:ascii="SimHei" w:eastAsia="黑体"/>
        </w:rPr>
        <w:t>员工每年要和他的主管进行职业发展讨论(可包括在业绩评估/检讨会中或独立进行) , 并制定和记录个人职业发展计划</w:t>
      </w:r>
    </w:p>
    <w:p>
      <w:pPr>
        <w:pStyle w:val="4"/>
        <w:numPr>
          <w:ilvl w:val="0"/>
          <w:numId w:val="4"/>
        </w:numPr>
        <w:spacing w:after="156"/>
        <w:rPr>
          <w:rFonts w:hint="eastAsia" w:hAnsi="宋体"/>
        </w:rPr>
      </w:pPr>
      <w:r>
        <w:rPr>
          <w:rFonts w:hint="eastAsia" w:hAnsi="SimHei" w:ascii="SimHei" w:eastAsia="黑体"/>
        </w:rPr>
        <w:t>这里提供“员工职业发展计划表”供参考，此表需要在新员工入职或绩效考评结束后使用，用以方便员工进行讨论和记录，此表格由员工通过与主管讨论填写</w:t>
      </w:r>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个人发展计划实施</w:t>
      </w:r>
      <w:r>
        <w:rPr>
          <w:rFonts w:hint="eastAsia" w:hAnsi="SimHei" w:ascii="SimHei" w:eastAsia="黑体"/>
          <w:color w:val="FF0000"/>
        </w:rPr>
        <w:t>程序</w:t>
      </w:r>
    </w:p>
    <w:p>
      <w:pPr>
        <w:pStyle w:val="4"/>
        <w:numPr>
          <w:ilvl w:val="0"/>
          <w:numId w:val="4"/>
        </w:numPr>
        <w:spacing w:after="156"/>
        <w:rPr>
          <w:rFonts w:hint="eastAsia" w:hAnsi="宋体"/>
        </w:rPr>
      </w:pPr>
      <w:r>
        <w:rPr>
          <w:rFonts w:hint="eastAsia" w:hAnsi="SimHei" w:ascii="SimHei" w:eastAsia="黑体"/>
        </w:rPr>
        <w:t>步骤一：首先了解XX的业务目标</w:t>
      </w:r>
    </w:p>
    <w:p>
      <w:pPr>
        <w:pStyle w:val="4"/>
        <w:numPr>
          <w:ilvl w:val="0"/>
          <w:numId w:val="4"/>
        </w:numPr>
        <w:spacing w:after="156"/>
        <w:rPr>
          <w:rFonts w:hint="eastAsia" w:hAnsi="宋体"/>
        </w:rPr>
      </w:pPr>
      <w:r>
        <w:rPr>
          <w:rFonts w:hint="eastAsia" w:hAnsi="SimHei" w:ascii="SimHei" w:eastAsia="黑体"/>
        </w:rPr>
        <w:t>步骤二：拟订工作中的主要目标并与直接上级研究</w:t>
      </w:r>
    </w:p>
    <w:p>
      <w:pPr>
        <w:pStyle w:val="4"/>
        <w:numPr>
          <w:ilvl w:val="0"/>
          <w:numId w:val="4"/>
        </w:numPr>
        <w:spacing w:after="156"/>
        <w:rPr>
          <w:rFonts w:hint="eastAsia" w:hAnsi="宋体"/>
        </w:rPr>
      </w:pPr>
      <w:r>
        <w:rPr>
          <w:rFonts w:hint="eastAsia" w:hAnsi="SimHei" w:ascii="SimHei" w:eastAsia="黑体"/>
        </w:rPr>
        <w:t>步骤三：拟订主要工作目标上并与直接上级达成衡量标准与实施个人发展计划</w:t>
      </w:r>
    </w:p>
    <w:p>
      <w:pPr>
        <w:pStyle w:val="4"/>
        <w:numPr>
          <w:ilvl w:val="0"/>
          <w:numId w:val="4"/>
        </w:numPr>
        <w:spacing w:after="156"/>
        <w:rPr>
          <w:rFonts w:hint="eastAsia" w:hAnsi="宋体"/>
        </w:rPr>
      </w:pPr>
      <w:r>
        <w:rPr>
          <w:rFonts w:hint="eastAsia" w:hAnsi="SimHei" w:ascii="SimHei" w:eastAsia="黑体"/>
        </w:rPr>
        <w:t>步骤四：定时检查进展情况，并根据实际状况修正个人发展计划</w:t>
      </w:r>
    </w:p>
    <w:p>
      <w:pPr>
        <w:pStyle w:val="4"/>
        <w:numPr>
          <w:ilvl w:val="0"/>
          <w:numId w:val="4"/>
        </w:numPr>
        <w:spacing w:after="156"/>
        <w:rPr>
          <w:rFonts w:hint="eastAsia" w:hAnsi="宋体"/>
        </w:rPr>
      </w:pPr>
      <w:r>
        <w:rPr>
          <w:rFonts w:hint="eastAsia" w:hAnsi="SimHei" w:ascii="SimHei" w:eastAsia="黑体"/>
        </w:rPr>
        <w:t>步骤五：与直接上级共同商定培训计划</w:t>
      </w:r>
    </w:p>
    <w:p>
      <w:pPr>
        <w:pStyle w:val="4"/>
        <w:numPr>
          <w:ilvl w:val="0"/>
          <w:numId w:val="4"/>
        </w:numPr>
        <w:spacing w:after="156"/>
        <w:rPr>
          <w:rFonts w:hint="eastAsia" w:hAnsi="宋体"/>
        </w:rPr>
      </w:pPr>
      <w:r>
        <w:rPr>
          <w:rFonts w:hint="eastAsia" w:hAnsi="SimHei" w:ascii="SimHei" w:eastAsia="黑体"/>
        </w:rPr>
        <w:t>注：在讨论中主管领导需给予员工建议和意见，并在计划实施时给予适当的支持</w:t>
      </w:r>
    </w:p>
    <w:p>
      <w:pPr>
        <w:pStyle w:val="3"/>
        <w:rPr>
          <w:rFonts w:hint="eastAsia"/>
        </w:rPr>
      </w:pPr>
      <w:bookmarkStart w:id="49" w:name="_Toc15371192"/>
      <w:bookmarkStart w:id="50" w:name="_Toc15391315"/>
      <w:bookmarkStart w:id="51" w:name="_Toc15742156"/>
      <w:r>
        <w:rPr>
          <w:rFonts w:hint="eastAsia" w:ascii="SimHei" w:hAnsi="SimHei" w:eastAsia="黑体"/>
        </w:rPr>
        <w:t xml:space="preserve">3.2 </w:t>
      </w:r>
      <w:bookmarkEnd w:id="49"/>
      <w:bookmarkEnd w:id="50"/>
      <w:r>
        <w:rPr>
          <w:rFonts w:hint="eastAsia" w:ascii="SimHei" w:hAnsi="SimHei" w:eastAsia="黑体"/>
        </w:rPr>
        <w:t>公司协助开展职业发展规划</w:t>
      </w:r>
      <w:bookmarkEnd w:id="51"/>
    </w:p>
    <w:p>
      <w:pPr>
        <w:pStyle w:val="5"/>
        <w:rPr>
          <w:rFonts w:hint="eastAsia" w:ascii="宋体" w:hAnsi="宋体"/>
        </w:rPr>
      </w:pPr>
      <w:bookmarkStart w:id="52" w:name="_Toc15742157"/>
      <w:r>
        <w:rPr>
          <w:rFonts w:hint="eastAsia" w:ascii="SimHei" w:hAnsi="SimHei" w:eastAsia="黑体"/>
        </w:rPr>
        <w:t>3.2.1管理人员开发</w:t>
      </w:r>
      <w:bookmarkEnd w:id="52"/>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管理人员开发目的</w:t>
      </w:r>
    </w:p>
    <w:p>
      <w:pPr>
        <w:pStyle w:val="4"/>
        <w:numPr>
          <w:ilvl w:val="0"/>
          <w:numId w:val="4"/>
        </w:numPr>
        <w:spacing w:after="156"/>
        <w:rPr>
          <w:rFonts w:hint="eastAsia" w:hAnsi="宋体"/>
        </w:rPr>
      </w:pPr>
      <w:r>
        <w:rPr>
          <w:rFonts w:hint="eastAsia" w:hAnsi="SimHei" w:ascii="SimHei" w:eastAsia="黑体"/>
        </w:rPr>
        <w:t>内部提升是管理人员的主要来源，为保证公司可持继发展，必须为管理人员提供职业发展所必需的技能培训，以便其能适应更高的岗位要求</w:t>
      </w:r>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管理人员开发内容</w:t>
      </w:r>
    </w:p>
    <w:p>
      <w:pPr>
        <w:pStyle w:val="4"/>
        <w:numPr>
          <w:ilvl w:val="0"/>
          <w:numId w:val="4"/>
        </w:numPr>
        <w:tabs>
          <w:tab w:val="left" w:pos="0"/>
        </w:tabs>
        <w:spacing w:after="156"/>
        <w:rPr>
          <w:rFonts w:hint="eastAsia" w:hAnsi="宋体"/>
        </w:rPr>
      </w:pPr>
      <w:r>
        <w:rPr>
          <w:rFonts w:hint="eastAsia" w:hAnsi="SimHei" w:ascii="SimHei" w:eastAsia="黑体"/>
        </w:rPr>
        <w:t>职业发展执行小组介绍员工岗位特点及任职能力要求，指明本岗位职业发展路线，并协助员工针对其自身特点制定员工职业发展计划</w:t>
      </w:r>
    </w:p>
    <w:p>
      <w:pPr>
        <w:pStyle w:val="4"/>
        <w:numPr>
          <w:ilvl w:val="0"/>
          <w:numId w:val="4"/>
        </w:numPr>
        <w:tabs>
          <w:tab w:val="left" w:pos="0"/>
        </w:tabs>
        <w:spacing w:after="156"/>
        <w:rPr>
          <w:rFonts w:hint="eastAsia" w:hAnsi="宋体"/>
        </w:rPr>
      </w:pPr>
      <w:r>
        <w:rPr>
          <w:rFonts w:hint="eastAsia" w:hAnsi="SimHei" w:ascii="SimHei" w:eastAsia="黑体"/>
        </w:rPr>
        <w:t>职业发展执行小组根据员工表现及主管领导反映协助主管领导制定管理人员的开发方案，包括在职开发与脱岗开发方案，人力资源部执行管理开发方案并反馈结果</w:t>
      </w:r>
    </w:p>
    <w:p>
      <w:pPr>
        <w:pStyle w:val="5"/>
        <w:rPr>
          <w:rFonts w:hint="eastAsia" w:ascii="宋体" w:hAnsi="宋体"/>
        </w:rPr>
      </w:pPr>
      <w:bookmarkStart w:id="53" w:name="_Toc15742158"/>
      <w:r>
        <w:rPr>
          <w:rFonts w:hint="eastAsia" w:ascii="SimHei" w:hAnsi="SimHei" w:eastAsia="黑体"/>
        </w:rPr>
        <w:t>3.2.2绩效考评结果运用</w:t>
      </w:r>
      <w:bookmarkEnd w:id="53"/>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绩效考评与职业发展关系</w:t>
      </w:r>
    </w:p>
    <w:p>
      <w:pPr>
        <w:pStyle w:val="4"/>
        <w:numPr>
          <w:ilvl w:val="0"/>
          <w:numId w:val="4"/>
        </w:numPr>
        <w:spacing w:after="156"/>
        <w:rPr>
          <w:rFonts w:hint="eastAsia" w:hAnsi="宋体"/>
        </w:rPr>
      </w:pPr>
      <w:r>
        <w:rPr>
          <w:rFonts w:hint="eastAsia" w:hAnsi="SimHei" w:ascii="SimHei" w:eastAsia="黑体"/>
        </w:rPr>
        <w:t>为内部招聘、岗位轮换作资料积累</w:t>
      </w:r>
    </w:p>
    <w:p>
      <w:pPr>
        <w:pStyle w:val="4"/>
        <w:numPr>
          <w:ilvl w:val="0"/>
          <w:numId w:val="4"/>
        </w:numPr>
        <w:spacing w:after="156"/>
        <w:rPr>
          <w:rFonts w:hint="eastAsia" w:hAnsi="宋体"/>
        </w:rPr>
      </w:pPr>
      <w:r>
        <w:rPr>
          <w:rFonts w:hint="eastAsia" w:hAnsi="SimHei" w:ascii="SimHei" w:eastAsia="黑体"/>
        </w:rPr>
        <w:t>通过对绩效考评结果进行分析，完成对薪酬职级和岗位职层的调整</w:t>
      </w:r>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完善各岗位职业发展规划</w:t>
      </w:r>
    </w:p>
    <w:p>
      <w:pPr>
        <w:pStyle w:val="4"/>
        <w:numPr>
          <w:ilvl w:val="0"/>
          <w:numId w:val="4"/>
        </w:numPr>
        <w:spacing w:after="156"/>
        <w:rPr>
          <w:rFonts w:hint="eastAsia" w:hAnsi="宋体"/>
        </w:rPr>
      </w:pPr>
      <w:r>
        <w:rPr>
          <w:rFonts w:hint="eastAsia" w:hAnsi="SimHei" w:ascii="SimHei" w:eastAsia="黑体"/>
        </w:rPr>
        <w:t>每个工作年度终结之前，部门经理都应与员工共同回顾总结一年来的工作业绩，明确员工职业发展的短期目标和长期目标，同时考察员工的工作能力和态度，制定达到职业发展目标的计划</w:t>
      </w:r>
    </w:p>
    <w:p>
      <w:pPr>
        <w:pStyle w:val="4"/>
        <w:numPr>
          <w:ilvl w:val="0"/>
          <w:numId w:val="4"/>
        </w:numPr>
        <w:spacing w:after="156"/>
        <w:rPr>
          <w:rFonts w:hint="eastAsia" w:hAnsi="宋体"/>
        </w:rPr>
      </w:pPr>
      <w:r>
        <w:rPr>
          <w:rFonts w:hint="eastAsia" w:hAnsi="SimHei" w:ascii="SimHei" w:eastAsia="黑体"/>
        </w:rPr>
        <w:t>绩效考评完成后需要重新制定职业发展规划（文件存档）</w:t>
      </w:r>
    </w:p>
    <w:p>
      <w:pPr>
        <w:pStyle w:val="4"/>
        <w:numPr>
          <w:ilvl w:val="0"/>
          <w:numId w:val="4"/>
        </w:numPr>
        <w:spacing w:after="156"/>
        <w:rPr>
          <w:rFonts w:hint="eastAsia" w:hAnsi="宋体"/>
        </w:rPr>
      </w:pPr>
      <w:r>
        <w:rPr>
          <w:rFonts w:hint="eastAsia" w:hAnsi="SimHei" w:ascii="SimHei" w:eastAsia="黑体"/>
        </w:rPr>
        <w:t>确定岗位培训计划</w:t>
      </w:r>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发现重点培养对象</w:t>
      </w:r>
    </w:p>
    <w:p>
      <w:pPr>
        <w:pStyle w:val="4"/>
        <w:numPr>
          <w:ilvl w:val="0"/>
          <w:numId w:val="4"/>
        </w:numPr>
        <w:spacing w:after="156"/>
        <w:rPr>
          <w:rFonts w:hint="eastAsia" w:hAnsi="宋体"/>
        </w:rPr>
      </w:pPr>
      <w:r>
        <w:rPr>
          <w:rFonts w:hint="eastAsia" w:hAnsi="SimHei" w:ascii="SimHei" w:eastAsia="黑体"/>
        </w:rPr>
        <w:t>识别“可晋升”的员工,在遇到有员工离职和有新增职位可作内部补充,尤其对主管级别或以上的职位，为经理级和关键职位确认继任人,多数从绩效考评成绩优秀的员工中挑选</w:t>
      </w:r>
    </w:p>
    <w:p>
      <w:pPr>
        <w:pStyle w:val="4"/>
        <w:numPr>
          <w:ilvl w:val="0"/>
          <w:numId w:val="4"/>
        </w:numPr>
        <w:spacing w:after="156"/>
        <w:rPr>
          <w:rFonts w:hint="eastAsia" w:hAnsi="宋体"/>
        </w:rPr>
      </w:pPr>
      <w:r>
        <w:rPr>
          <w:rFonts w:hint="eastAsia" w:hAnsi="SimHei" w:ascii="SimHei" w:eastAsia="黑体"/>
        </w:rPr>
        <w:t>职业发展管理委员会根据年度表现评估结果对机构和部门的人才状况进行讨论，主要是对担任员工以上的岗位，识别“高潜力”的员工并讨论可能的发展机会</w:t>
      </w:r>
    </w:p>
    <w:p>
      <w:pPr>
        <w:pStyle w:val="4"/>
        <w:numPr>
          <w:ilvl w:val="0"/>
          <w:numId w:val="4"/>
        </w:numPr>
        <w:spacing w:after="156"/>
        <w:rPr>
          <w:rFonts w:hint="eastAsia" w:hAnsi="宋体"/>
        </w:rPr>
      </w:pPr>
      <w:r>
        <w:rPr>
          <w:rFonts w:hint="eastAsia" w:hAnsi="SimHei" w:ascii="SimHei" w:eastAsia="黑体"/>
        </w:rPr>
        <w:t>被评价为工作业绩、与工作能力“双高”的员工将被赋予更大的责任，职业发展管理委员会将与“双高”员工进行面谈，“双高”员工除有可能获得职级的晋升外，还可能得到精神上的奖励</w:t>
      </w:r>
    </w:p>
    <w:p>
      <w:pPr>
        <w:pStyle w:val="4"/>
        <w:numPr>
          <w:ilvl w:val="0"/>
          <w:numId w:val="4"/>
        </w:numPr>
        <w:spacing w:after="156"/>
        <w:rPr>
          <w:rFonts w:hint="eastAsia" w:hAnsi="宋体"/>
        </w:rPr>
      </w:pPr>
      <w:r>
        <w:rPr>
          <w:rFonts w:hint="eastAsia" w:hAnsi="SimHei" w:ascii="SimHei" w:eastAsia="黑体"/>
        </w:rPr>
        <w:t>被评价为“一高一符合要求”的员工将得到培训和发展的机会培训合格后，员工可能获得职级与薪酬的提升机会</w:t>
      </w:r>
    </w:p>
    <w:p>
      <w:pPr>
        <w:pStyle w:val="4"/>
        <w:numPr>
          <w:ilvl w:val="0"/>
          <w:numId w:val="4"/>
        </w:numPr>
        <w:spacing w:after="156"/>
        <w:rPr>
          <w:rFonts w:hint="eastAsia" w:hAnsi="宋体"/>
        </w:rPr>
      </w:pPr>
      <w:r>
        <w:rPr>
          <w:rFonts w:hint="eastAsia" w:hAnsi="SimHei" w:ascii="SimHei" w:eastAsia="黑体"/>
        </w:rPr>
        <w:t>“单高”的员工同样有机会参加公司的培训，被鼓励在未来提高能力、业绩，进而取得成就</w:t>
      </w:r>
    </w:p>
    <w:p>
      <w:pPr>
        <w:pStyle w:val="3"/>
        <w:rPr>
          <w:rFonts w:hint="eastAsia"/>
        </w:rPr>
      </w:pPr>
      <w:bookmarkStart w:id="54" w:name="_Toc15371202"/>
      <w:bookmarkStart w:id="55" w:name="_Toc15391319"/>
      <w:bookmarkStart w:id="56" w:name="_Toc15742159"/>
      <w:r>
        <w:rPr>
          <w:rFonts w:hint="eastAsia" w:ascii="SimHei" w:hAnsi="SimHei" w:eastAsia="黑体"/>
        </w:rPr>
        <w:t>3.3实施纵向职业发展</w:t>
      </w:r>
      <w:bookmarkEnd w:id="54"/>
      <w:bookmarkEnd w:id="55"/>
      <w:bookmarkEnd w:id="56"/>
    </w:p>
    <w:p>
      <w:pPr>
        <w:pStyle w:val="5"/>
        <w:rPr>
          <w:rFonts w:hint="eastAsia" w:ascii="宋体" w:hAnsi="宋体"/>
        </w:rPr>
      </w:pPr>
      <w:bookmarkStart w:id="57" w:name="_Toc15742160"/>
      <w:r>
        <w:rPr>
          <w:rFonts w:hint="eastAsia" w:ascii="SimHei" w:hAnsi="SimHei" w:eastAsia="黑体"/>
        </w:rPr>
        <w:t>3.3.1实施薪酬职级调整</w:t>
      </w:r>
      <w:bookmarkEnd w:id="57"/>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薪酬职级调整</w:t>
      </w:r>
      <w:r>
        <w:rPr>
          <w:rFonts w:hint="eastAsia" w:hAnsi="SimHei" w:ascii="SimHei" w:eastAsia="黑体"/>
          <w:color w:val="FF0000"/>
        </w:rPr>
        <w:t>内容</w:t>
      </w:r>
    </w:p>
    <w:p>
      <w:pPr>
        <w:pStyle w:val="4"/>
        <w:numPr>
          <w:ilvl w:val="0"/>
          <w:numId w:val="4"/>
        </w:numPr>
        <w:spacing w:after="156"/>
        <w:rPr>
          <w:rFonts w:hint="eastAsia" w:hAnsi="宋体"/>
        </w:rPr>
      </w:pPr>
      <w:r>
        <w:rPr>
          <w:rFonts w:hint="eastAsia" w:hAnsi="SimHei" w:ascii="SimHei" w:eastAsia="黑体"/>
        </w:rPr>
        <w:t>员工年度考评分数为60分以下（含60分），从下一年度起按降低一级薪酬职级标准执行</w:t>
      </w:r>
    </w:p>
    <w:p>
      <w:pPr>
        <w:pStyle w:val="4"/>
        <w:numPr>
          <w:ilvl w:val="0"/>
          <w:numId w:val="4"/>
        </w:numPr>
        <w:spacing w:after="156"/>
        <w:rPr>
          <w:rFonts w:hint="eastAsia" w:hAnsi="宋体"/>
        </w:rPr>
      </w:pPr>
      <w:r>
        <w:rPr>
          <w:rFonts w:hint="eastAsia" w:hAnsi="SimHei" w:ascii="SimHei" w:eastAsia="黑体"/>
        </w:rPr>
        <w:t>凡每年9月1日以后进入公司或年度考评成绩在75分以下的员工，都不得参加本年度的</w:t>
      </w:r>
      <w:r>
        <w:rPr>
          <w:rFonts w:hint="eastAsia" w:hAnsi="SimHei" w:ascii="SimHei" w:eastAsia="黑体"/>
          <w:color w:val="FF0000"/>
        </w:rPr>
        <w:t>薪酬职级</w:t>
      </w:r>
      <w:r>
        <w:rPr>
          <w:rFonts w:hint="eastAsia" w:hAnsi="SimHei" w:ascii="SimHei" w:eastAsia="黑体"/>
        </w:rPr>
        <w:t>晋升</w:t>
      </w:r>
    </w:p>
    <w:p>
      <w:pPr>
        <w:pStyle w:val="4"/>
        <w:numPr>
          <w:ilvl w:val="0"/>
          <w:numId w:val="4"/>
        </w:numPr>
        <w:spacing w:after="156"/>
        <w:rPr>
          <w:rFonts w:hint="eastAsia" w:hAnsi="宋体"/>
        </w:rPr>
      </w:pPr>
      <w:r>
        <w:rPr>
          <w:rFonts w:hint="eastAsia" w:hAnsi="SimHei" w:ascii="SimHei" w:eastAsia="黑体"/>
        </w:rPr>
        <w:t>凡年度考评成绩在75分以上的员工，都可以参加薪酬职级晋升的评选活动，具体薪酬职级晋升方案由各部门经理同职业发展执行小组讨论制定草案，报员工职业发展管理委员会审批，职业发展执行小组实施薪酬职级调整方案</w:t>
      </w:r>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薪酬职级调整注意事项</w:t>
      </w:r>
    </w:p>
    <w:p>
      <w:pPr>
        <w:pStyle w:val="4"/>
        <w:numPr>
          <w:ilvl w:val="0"/>
          <w:numId w:val="4"/>
        </w:numPr>
        <w:spacing w:after="156"/>
        <w:rPr>
          <w:rFonts w:hint="eastAsia" w:hAnsi="宋体"/>
        </w:rPr>
      </w:pPr>
      <w:r>
        <w:rPr>
          <w:rFonts w:hint="eastAsia" w:hAnsi="SimHei" w:ascii="SimHei" w:eastAsia="黑体"/>
        </w:rPr>
        <w:t>员工岗位发生调整后，其岗位级别应作相应调整，新的岗位级别需要其所在部门经理与职业发展执行小组共同商讨确认</w:t>
      </w:r>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试用员工转正</w:t>
      </w:r>
      <w:r>
        <w:rPr>
          <w:rFonts w:hint="eastAsia" w:hAnsi="SimHei" w:ascii="SimHei" w:eastAsia="黑体"/>
          <w:color w:val="FF0000"/>
        </w:rPr>
        <w:t>内容</w:t>
      </w:r>
    </w:p>
    <w:p>
      <w:pPr>
        <w:pStyle w:val="4"/>
        <w:numPr>
          <w:ilvl w:val="0"/>
          <w:numId w:val="4"/>
        </w:numPr>
        <w:spacing w:after="156"/>
        <w:rPr>
          <w:rFonts w:hint="eastAsia" w:hAnsi="宋体"/>
        </w:rPr>
      </w:pPr>
      <w:r>
        <w:rPr>
          <w:rFonts w:hint="eastAsia" w:hAnsi="SimHei" w:ascii="SimHei" w:eastAsia="黑体"/>
        </w:rPr>
        <w:t>根据试用期的考核结果，对员工进行转正、确定薪酬职级，具体参见附则中的基层、中层、高层员工转正定级表，对未达到转正要求者，则由职业发展执行小组提出处理意见，具体见附件中的基层、中层、高层员工转正定级申请表</w:t>
      </w:r>
    </w:p>
    <w:p>
      <w:pPr>
        <w:pStyle w:val="5"/>
        <w:rPr>
          <w:rFonts w:hint="eastAsia" w:ascii="宋体" w:hAnsi="宋体"/>
        </w:rPr>
      </w:pPr>
      <w:bookmarkStart w:id="58" w:name="_Toc15742161"/>
      <w:r>
        <w:rPr>
          <w:rFonts w:hint="eastAsia" w:ascii="SimHei" w:hAnsi="SimHei" w:eastAsia="黑体"/>
        </w:rPr>
        <w:t>3.3.2实施岗位职层调整</w:t>
      </w:r>
      <w:bookmarkEnd w:id="58"/>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岗位职层调整</w:t>
      </w:r>
      <w:r>
        <w:rPr>
          <w:rFonts w:hint="eastAsia" w:hAnsi="SimHei" w:ascii="SimHei" w:eastAsia="黑体"/>
          <w:color w:val="FF0000"/>
        </w:rPr>
        <w:t>内容</w:t>
      </w:r>
    </w:p>
    <w:p>
      <w:pPr>
        <w:pStyle w:val="4"/>
        <w:numPr>
          <w:ilvl w:val="0"/>
          <w:numId w:val="4"/>
        </w:numPr>
        <w:spacing w:after="156"/>
        <w:rPr>
          <w:rFonts w:hint="eastAsia" w:hAnsi="宋体"/>
        </w:rPr>
      </w:pPr>
      <w:r>
        <w:rPr>
          <w:rFonts w:hint="eastAsia" w:hAnsi="SimHei" w:ascii="SimHei" w:eastAsia="黑体"/>
        </w:rPr>
        <w:t>岗位职层调整包括晋升和降级，即职层不定期调整</w:t>
      </w:r>
    </w:p>
    <w:p>
      <w:pPr>
        <w:pStyle w:val="4"/>
        <w:numPr>
          <w:ilvl w:val="0"/>
          <w:numId w:val="4"/>
        </w:numPr>
        <w:spacing w:after="156"/>
        <w:rPr>
          <w:rFonts w:hint="eastAsia" w:hAnsi="宋体"/>
        </w:rPr>
      </w:pPr>
      <w:r>
        <w:rPr>
          <w:rFonts w:hint="eastAsia" w:hAnsi="SimHei" w:ascii="SimHei" w:eastAsia="黑体"/>
        </w:rPr>
        <w:t>岗位职层不定期调整程序如下：</w:t>
      </w:r>
    </w:p>
    <w:p>
      <w:pPr>
        <w:pStyle w:val="4"/>
        <w:numPr>
          <w:ilvl w:val="1"/>
          <w:numId w:val="4"/>
        </w:numPr>
        <w:spacing w:after="156"/>
        <w:rPr>
          <w:rFonts w:hint="eastAsia" w:hAnsi="宋体"/>
        </w:rPr>
      </w:pPr>
      <w:r>
        <w:rPr>
          <w:rFonts w:hint="eastAsia" w:hAnsi="SimHei" w:ascii="SimHei" w:eastAsia="黑体"/>
        </w:rPr>
        <w:t>职业发展执行小组需储备业绩优秀、能力强的员工档案资料，当公司出现岗位空缺时，职业发展管理委员会将安排对候补人员进行新岗位胜任能力考评</w:t>
      </w:r>
    </w:p>
    <w:p>
      <w:pPr>
        <w:pStyle w:val="4"/>
        <w:numPr>
          <w:ilvl w:val="1"/>
          <w:numId w:val="4"/>
        </w:numPr>
        <w:spacing w:after="156"/>
        <w:rPr>
          <w:rFonts w:hint="eastAsia" w:hAnsi="宋体"/>
        </w:rPr>
      </w:pPr>
      <w:r>
        <w:rPr>
          <w:rFonts w:hint="eastAsia" w:hAnsi="SimHei" w:ascii="SimHei" w:eastAsia="黑体"/>
        </w:rPr>
        <w:t>部门直接领导向职业发展执行小组提出职层调整申请</w:t>
      </w:r>
    </w:p>
    <w:p>
      <w:pPr>
        <w:pStyle w:val="4"/>
        <w:numPr>
          <w:ilvl w:val="1"/>
          <w:numId w:val="4"/>
        </w:numPr>
        <w:spacing w:after="156"/>
        <w:rPr>
          <w:rFonts w:hint="eastAsia" w:hAnsi="宋体"/>
        </w:rPr>
      </w:pPr>
      <w:r>
        <w:rPr>
          <w:rFonts w:hint="eastAsia" w:hAnsi="SimHei" w:ascii="SimHei" w:eastAsia="黑体"/>
        </w:rPr>
        <w:t>职业发展执行小组根据绩效考评结果及公司目前岗位调整可行性分析，提出调整意见，制定调整方案，交职业发展管理委员会审批</w:t>
      </w:r>
    </w:p>
    <w:p>
      <w:pPr>
        <w:pStyle w:val="4"/>
        <w:numPr>
          <w:ilvl w:val="1"/>
          <w:numId w:val="4"/>
        </w:numPr>
        <w:spacing w:after="156"/>
        <w:rPr>
          <w:rFonts w:hint="eastAsia" w:hAnsi="宋体"/>
        </w:rPr>
      </w:pPr>
      <w:r>
        <w:rPr>
          <w:rFonts w:hint="eastAsia" w:hAnsi="SimHei" w:ascii="SimHei" w:eastAsia="黑体"/>
        </w:rPr>
        <w:t>职业发展管理委员会审核通过的调整方案由人力资源部实施</w:t>
      </w:r>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岗位职层调整注意事项</w:t>
      </w:r>
    </w:p>
    <w:p>
      <w:pPr>
        <w:pStyle w:val="4"/>
        <w:numPr>
          <w:ilvl w:val="0"/>
          <w:numId w:val="4"/>
        </w:numPr>
        <w:spacing w:after="156"/>
        <w:rPr>
          <w:rFonts w:hint="eastAsia" w:hAnsi="宋体"/>
          <w:sz w:val="24"/>
        </w:rPr>
      </w:pPr>
      <w:r>
        <w:rPr>
          <w:rFonts w:hint="eastAsia" w:hAnsi="SimHei" w:ascii="SimHei" w:eastAsia="黑体"/>
        </w:rPr>
        <w:t>对岗位职层审定结果不满意者，可以在得知结果的一个月内向职业发展执行小组提出申诉，职业发展管理委员会须在接到申诉一个月内解决申诉</w:t>
      </w:r>
    </w:p>
    <w:p>
      <w:pPr>
        <w:pStyle w:val="3"/>
        <w:rPr>
          <w:rFonts w:hint="eastAsia"/>
        </w:rPr>
      </w:pPr>
      <w:bookmarkStart w:id="59" w:name="_Toc15371203"/>
      <w:bookmarkStart w:id="60" w:name="_Toc15391320"/>
      <w:bookmarkStart w:id="61" w:name="_Toc15742162"/>
      <w:r>
        <w:rPr>
          <w:rFonts w:hint="eastAsia" w:ascii="SimHei" w:hAnsi="SimHei" w:eastAsia="黑体"/>
        </w:rPr>
        <w:t>3.4</w:t>
      </w:r>
      <w:bookmarkEnd w:id="59"/>
      <w:bookmarkEnd w:id="60"/>
      <w:r>
        <w:rPr>
          <w:rFonts w:hint="eastAsia" w:ascii="SimHei" w:hAnsi="SimHei" w:eastAsia="黑体"/>
        </w:rPr>
        <w:t>实施横向职业发展</w:t>
      </w:r>
      <w:bookmarkEnd w:id="61"/>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内部招聘流程</w:t>
      </w:r>
    </w:p>
    <w:p>
      <w:pPr>
        <w:pStyle w:val="4"/>
        <w:numPr>
          <w:ilvl w:val="0"/>
          <w:numId w:val="4"/>
        </w:numPr>
        <w:spacing w:after="156"/>
        <w:rPr>
          <w:rFonts w:hint="eastAsia" w:hAnsi="宋体"/>
        </w:rPr>
      </w:pPr>
      <w:r>
        <w:rPr>
          <w:rFonts w:hint="eastAsia" w:hAnsi="SimHei" w:ascii="SimHei" w:eastAsia="黑体"/>
        </w:rPr>
        <w:t>当公司出现空缺职位时应首先进行内部招聘，人力资源部根据人员需求计划或《用人需求申请表》发布内部招聘信息，所有员工都可以应聘</w:t>
      </w:r>
    </w:p>
    <w:p>
      <w:pPr>
        <w:pStyle w:val="4"/>
        <w:numPr>
          <w:ilvl w:val="0"/>
          <w:numId w:val="4"/>
        </w:numPr>
        <w:spacing w:after="156"/>
        <w:rPr>
          <w:rFonts w:hint="eastAsia" w:hAnsi="宋体"/>
        </w:rPr>
      </w:pPr>
      <w:r>
        <w:rPr>
          <w:rFonts w:hint="eastAsia" w:hAnsi="SimHei" w:ascii="SimHei" w:eastAsia="黑体"/>
        </w:rPr>
        <w:t>应聘员工填写《内部应聘登记表》，和自己的直接领导做正式的沟通，并由直接领导和跨级领导签批后交人力资源部</w:t>
      </w:r>
    </w:p>
    <w:p>
      <w:pPr>
        <w:pStyle w:val="4"/>
        <w:numPr>
          <w:ilvl w:val="0"/>
          <w:numId w:val="4"/>
        </w:numPr>
        <w:spacing w:after="156"/>
        <w:rPr>
          <w:rFonts w:hint="eastAsia" w:hAnsi="宋体"/>
        </w:rPr>
      </w:pPr>
      <w:r>
        <w:rPr>
          <w:rFonts w:hint="eastAsia" w:hAnsi="SimHei" w:ascii="SimHei" w:eastAsia="黑体"/>
        </w:rPr>
        <w:t>人力资源部接到《内部应聘登记表》安排和该员工面试，并在《内部应聘登记表》填写相应的内容，签署是否合格的意见</w:t>
      </w:r>
    </w:p>
    <w:p>
      <w:pPr>
        <w:pStyle w:val="4"/>
        <w:numPr>
          <w:ilvl w:val="0"/>
          <w:numId w:val="4"/>
        </w:numPr>
        <w:spacing w:after="156"/>
        <w:rPr>
          <w:rFonts w:hint="eastAsia" w:hAnsi="宋体"/>
        </w:rPr>
      </w:pPr>
      <w:r>
        <w:rPr>
          <w:rFonts w:hint="eastAsia" w:hAnsi="SimHei" w:ascii="SimHei" w:eastAsia="黑体"/>
        </w:rPr>
        <w:t>人力资源部安排应聘员工和空缺岗位的直接领导和跨级领导面谈，必要时进行其它方式的测试</w:t>
      </w:r>
    </w:p>
    <w:p>
      <w:pPr>
        <w:pStyle w:val="4"/>
        <w:numPr>
          <w:ilvl w:val="0"/>
          <w:numId w:val="4"/>
        </w:numPr>
        <w:spacing w:after="156"/>
        <w:rPr>
          <w:rFonts w:hint="eastAsia" w:hAnsi="宋体"/>
        </w:rPr>
      </w:pPr>
      <w:r>
        <w:rPr>
          <w:rFonts w:hint="eastAsia" w:hAnsi="SimHei" w:ascii="SimHei" w:eastAsia="黑体"/>
        </w:rPr>
        <w:t>人力资源部和招聘部门沟通应聘员工的情况，达成录用的一致意见后重新核定薪酬职级，报职业发展委员会审批</w:t>
      </w:r>
    </w:p>
    <w:p>
      <w:pPr>
        <w:pStyle w:val="4"/>
        <w:numPr>
          <w:ilvl w:val="0"/>
          <w:numId w:val="4"/>
        </w:numPr>
        <w:spacing w:after="156"/>
        <w:rPr>
          <w:rFonts w:hint="eastAsia" w:hAnsi="宋体"/>
        </w:rPr>
      </w:pPr>
      <w:r>
        <w:rPr>
          <w:rFonts w:hint="eastAsia" w:hAnsi="SimHei" w:ascii="SimHei" w:eastAsia="黑体"/>
        </w:rPr>
        <w:t>人力资源部将员工的调动信息通知员工本人、调入部门、调出部门的直接领导，同时抄送职业发展执行小组其他成员</w:t>
      </w:r>
    </w:p>
    <w:p>
      <w:pPr>
        <w:pStyle w:val="4"/>
        <w:numPr>
          <w:ilvl w:val="0"/>
          <w:numId w:val="4"/>
        </w:numPr>
        <w:spacing w:after="156"/>
        <w:rPr>
          <w:rFonts w:hint="eastAsia" w:hAnsi="宋体"/>
        </w:rPr>
      </w:pPr>
      <w:r>
        <w:rPr>
          <w:rFonts w:hint="eastAsia" w:hAnsi="SimHei" w:ascii="SimHei" w:eastAsia="黑体"/>
        </w:rPr>
        <w:t>人力资源部收到调动信息后安排调出部门与员工进行工作交接，并给予必要的支持</w:t>
      </w:r>
    </w:p>
    <w:p>
      <w:pPr>
        <w:pStyle w:val="4"/>
        <w:numPr>
          <w:ilvl w:val="0"/>
          <w:numId w:val="4"/>
        </w:numPr>
        <w:spacing w:after="156"/>
        <w:rPr>
          <w:rFonts w:hint="eastAsia" w:hAnsi="宋体"/>
        </w:rPr>
      </w:pPr>
      <w:r>
        <w:rPr>
          <w:rFonts w:hint="eastAsia" w:hAnsi="SimHei" w:ascii="SimHei" w:eastAsia="黑体"/>
        </w:rPr>
        <w:t>人力资源部在员工正式调入新岗位前更新员工档案</w:t>
      </w:r>
    </w:p>
    <w:p>
      <w:pPr>
        <w:pStyle w:val="4"/>
        <w:numPr>
          <w:ilvl w:val="0"/>
          <w:numId w:val="4"/>
        </w:numPr>
        <w:spacing w:after="156"/>
        <w:rPr>
          <w:rFonts w:hint="eastAsia" w:hAnsi="宋体"/>
        </w:rPr>
      </w:pPr>
      <w:r>
        <w:rPr>
          <w:rFonts w:hint="eastAsia" w:hAnsi="SimHei" w:ascii="SimHei" w:eastAsia="黑体"/>
        </w:rPr>
        <w:t>如应征未成功，由人力资源部负责将结果通知应征员工</w:t>
      </w:r>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内部招聘注意事项</w:t>
      </w:r>
    </w:p>
    <w:p>
      <w:pPr>
        <w:pStyle w:val="4"/>
        <w:numPr>
          <w:ilvl w:val="0"/>
          <w:numId w:val="4"/>
        </w:numPr>
        <w:spacing w:after="156"/>
        <w:rPr>
          <w:rFonts w:hint="eastAsia" w:hAnsi="宋体"/>
        </w:rPr>
      </w:pPr>
      <w:r>
        <w:rPr>
          <w:rFonts w:hint="eastAsia" w:hAnsi="SimHei" w:ascii="SimHei" w:eastAsia="黑体"/>
        </w:rPr>
        <w:t>员工必须了解可利用的职业选择和职业发展机会，并获得组织内有关职业选择、职业变动和空缺的工作岗位等方面的信息，增进员工对组织的了解，包括职位升迁机会与条件限制、工作绩效评估结果、培训机会等信息，帮助员工了解自己的职业发展通道</w:t>
      </w:r>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岗位轮换流程</w:t>
      </w:r>
    </w:p>
    <w:p>
      <w:pPr>
        <w:pStyle w:val="4"/>
        <w:numPr>
          <w:ilvl w:val="0"/>
          <w:numId w:val="4"/>
        </w:numPr>
        <w:spacing w:after="156"/>
        <w:rPr>
          <w:rFonts w:hint="eastAsia" w:hAnsi="宋体"/>
        </w:rPr>
      </w:pPr>
      <w:r>
        <w:rPr>
          <w:rFonts w:hint="eastAsia" w:hAnsi="SimHei" w:ascii="SimHei" w:eastAsia="黑体"/>
        </w:rPr>
        <w:t>职业发展管理委员会每年初制定公司岗位轮换总体方针</w:t>
      </w:r>
    </w:p>
    <w:p>
      <w:pPr>
        <w:pStyle w:val="4"/>
        <w:numPr>
          <w:ilvl w:val="0"/>
          <w:numId w:val="4"/>
        </w:numPr>
        <w:spacing w:after="156"/>
        <w:rPr>
          <w:rFonts w:hint="eastAsia" w:hAnsi="宋体"/>
        </w:rPr>
      </w:pPr>
      <w:r>
        <w:rPr>
          <w:rFonts w:hint="eastAsia" w:hAnsi="SimHei" w:ascii="SimHei" w:eastAsia="黑体"/>
        </w:rPr>
        <w:t>各岗位员工有权利根据自己绩效表现及兴趣方向提出岗位轮换申请</w:t>
      </w:r>
    </w:p>
    <w:p>
      <w:pPr>
        <w:pStyle w:val="4"/>
        <w:numPr>
          <w:ilvl w:val="0"/>
          <w:numId w:val="4"/>
        </w:numPr>
        <w:spacing w:after="156"/>
        <w:rPr>
          <w:rFonts w:hint="eastAsia" w:hAnsi="宋体"/>
        </w:rPr>
      </w:pPr>
      <w:r>
        <w:rPr>
          <w:rFonts w:hint="eastAsia" w:hAnsi="SimHei" w:ascii="SimHei" w:eastAsia="黑体"/>
        </w:rPr>
        <w:t>半年绩效考评结束后，执行小组通过与各部门负责人讨论，根据各岗位绩效表现及各岗位提交的轮换申请确定半年岗位轮换初步方案</w:t>
      </w:r>
    </w:p>
    <w:p>
      <w:pPr>
        <w:pStyle w:val="4"/>
        <w:numPr>
          <w:ilvl w:val="0"/>
          <w:numId w:val="4"/>
        </w:numPr>
        <w:spacing w:after="156"/>
        <w:rPr>
          <w:rFonts w:hint="eastAsia" w:hAnsi="宋体"/>
        </w:rPr>
      </w:pPr>
      <w:r>
        <w:rPr>
          <w:rFonts w:hint="eastAsia" w:hAnsi="SimHei" w:ascii="SimHei" w:eastAsia="黑体"/>
        </w:rPr>
        <w:t>职业发展执行小组向职业发展管理委员会提交岗位轮换方案，经审批通过后执行</w:t>
      </w:r>
    </w:p>
    <w:p>
      <w:pPr>
        <w:pStyle w:val="4"/>
        <w:numPr>
          <w:ilvl w:val="0"/>
          <w:numId w:val="4"/>
        </w:numPr>
        <w:spacing w:after="156"/>
        <w:rPr>
          <w:rFonts w:hint="eastAsia" w:hAnsi="宋体"/>
        </w:rPr>
      </w:pPr>
      <w:r>
        <w:rPr>
          <w:rFonts w:hint="eastAsia" w:hAnsi="SimHei" w:ascii="SimHei" w:eastAsia="黑体"/>
        </w:rPr>
        <w:t>人力资源部负责实施岗位轮换工作</w:t>
      </w:r>
    </w:p>
    <w:p>
      <w:pPr>
        <w:pStyle w:val="4"/>
        <w:numPr>
          <w:ilvl w:val="0"/>
          <w:numId w:val="4"/>
        </w:numPr>
        <w:spacing w:after="156"/>
        <w:rPr>
          <w:rFonts w:hint="eastAsia" w:hAnsi="宋体"/>
        </w:rPr>
      </w:pPr>
      <w:r>
        <w:rPr>
          <w:rFonts w:hint="eastAsia" w:hAnsi="SimHei" w:ascii="SimHei" w:eastAsia="黑体"/>
        </w:rPr>
        <w:t>工作轮换有利于员工综合理解企业的目标，了解企业不同的职能部门，形成一个联系网络，并提高员工解决问题和决策问题的能力</w:t>
      </w:r>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岗位轮换注意事项</w:t>
      </w:r>
    </w:p>
    <w:p>
      <w:pPr>
        <w:pStyle w:val="4"/>
        <w:numPr>
          <w:ilvl w:val="0"/>
          <w:numId w:val="4"/>
        </w:numPr>
        <w:spacing w:after="156"/>
        <w:rPr>
          <w:rFonts w:hint="eastAsia" w:hAnsi="宋体"/>
        </w:rPr>
      </w:pPr>
      <w:r>
        <w:rPr>
          <w:rFonts w:hint="eastAsia" w:hAnsi="SimHei" w:ascii="SimHei" w:eastAsia="黑体"/>
        </w:rPr>
        <w:t>岗位轮换是指职业发展矩阵所表示的可以通过互相换岗增加知识技能的岗位</w:t>
      </w:r>
    </w:p>
    <w:p>
      <w:pPr>
        <w:pStyle w:val="4"/>
        <w:numPr>
          <w:ilvl w:val="0"/>
          <w:numId w:val="4"/>
        </w:numPr>
        <w:spacing w:after="156"/>
        <w:rPr>
          <w:rFonts w:hint="eastAsia" w:hAnsi="宋体"/>
        </w:rPr>
      </w:pPr>
      <w:r>
        <w:rPr>
          <w:rFonts w:hint="eastAsia" w:hAnsi="SimHei" w:ascii="SimHei" w:eastAsia="黑体"/>
        </w:rPr>
        <w:t>岗位轮换是职业发展执行小组根据员工的表现并参考员工的职业发展规划制定的，在征得部门经理和岗位本人同意后实施</w:t>
      </w:r>
    </w:p>
    <w:p>
      <w:pPr>
        <w:pStyle w:val="3"/>
        <w:rPr>
          <w:rFonts w:hint="eastAsia"/>
        </w:rPr>
      </w:pPr>
      <w:bookmarkStart w:id="62" w:name="_Toc15371205"/>
      <w:bookmarkStart w:id="63" w:name="_Toc15391323"/>
      <w:bookmarkStart w:id="64" w:name="_Toc15742163"/>
      <w:r>
        <w:rPr>
          <w:rFonts w:hint="eastAsia" w:ascii="SimHei" w:hAnsi="SimHei" w:eastAsia="黑体"/>
        </w:rPr>
        <w:t>3.</w:t>
      </w:r>
      <w:bookmarkEnd w:id="62"/>
      <w:bookmarkEnd w:id="63"/>
      <w:r>
        <w:rPr>
          <w:rFonts w:hint="eastAsia" w:ascii="SimHei" w:hAnsi="SimHei" w:eastAsia="黑体"/>
        </w:rPr>
        <w:t>5职业发展相关培训</w:t>
      </w:r>
      <w:bookmarkEnd w:id="64"/>
    </w:p>
    <w:p>
      <w:pPr>
        <w:pStyle w:val="5"/>
        <w:rPr>
          <w:rFonts w:hint="eastAsia"/>
        </w:rPr>
      </w:pPr>
      <w:bookmarkStart w:id="65" w:name="_Toc15742164"/>
      <w:r>
        <w:rPr>
          <w:rFonts w:hint="eastAsia" w:ascii="SimHei" w:hAnsi="SimHei" w:eastAsia="黑体"/>
        </w:rPr>
        <w:t>3.5.1</w:t>
      </w:r>
      <w:r>
        <w:rPr>
          <w:rFonts w:hint="eastAsia" w:hAnsi="SimHei" w:ascii="SimHei" w:eastAsia="黑体"/>
        </w:rPr>
        <w:t>入职培训</w:t>
      </w:r>
      <w:bookmarkEnd w:id="65"/>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color w:val="FF0000"/>
        </w:rPr>
        <w:t>新员工培训目的与</w:t>
      </w:r>
      <w:r>
        <w:rPr>
          <w:rFonts w:hint="eastAsia" w:hAnsi="SimHei" w:ascii="SimHei" w:eastAsia="黑体"/>
        </w:rPr>
        <w:t>内容</w:t>
      </w:r>
    </w:p>
    <w:p>
      <w:pPr>
        <w:pStyle w:val="4"/>
        <w:numPr>
          <w:ilvl w:val="0"/>
          <w:numId w:val="4"/>
        </w:numPr>
        <w:spacing w:after="156"/>
        <w:rPr>
          <w:rFonts w:hint="eastAsia" w:hAnsi="宋体"/>
        </w:rPr>
      </w:pPr>
      <w:r>
        <w:rPr>
          <w:rFonts w:hint="eastAsia" w:hAnsi="SimHei" w:ascii="SimHei" w:eastAsia="黑体"/>
        </w:rPr>
        <w:t>新员工从报到的第一天起，每位员工就步入了XX的职业发展管理系统，员工所填写的《员工登记表》及其它资料会被及时录入XX的职业发展管理系统，并适时补充新的资料</w:t>
      </w:r>
    </w:p>
    <w:p>
      <w:pPr>
        <w:pStyle w:val="4"/>
        <w:numPr>
          <w:ilvl w:val="0"/>
          <w:numId w:val="4"/>
        </w:numPr>
        <w:spacing w:after="156"/>
        <w:rPr>
          <w:rFonts w:hint="eastAsia" w:hAnsi="宋体"/>
        </w:rPr>
      </w:pPr>
      <w:r>
        <w:rPr>
          <w:rFonts w:hint="eastAsia" w:hAnsi="SimHei" w:ascii="SimHei" w:eastAsia="黑体"/>
        </w:rPr>
        <w:t>各部门经理在试用期中对新员工进行严格细致的观察使用，在工作能力、态度、业绩、执行指令程度、团队合作、公司文化认同、自身学习提高、遵守工作规则等各方面向新员工提出具体要求，并进行监督检查</w:t>
      </w:r>
    </w:p>
    <w:p>
      <w:pPr>
        <w:pStyle w:val="4"/>
        <w:numPr>
          <w:ilvl w:val="0"/>
          <w:numId w:val="4"/>
        </w:numPr>
        <w:spacing w:after="156"/>
        <w:rPr>
          <w:rFonts w:hint="eastAsia" w:hAnsi="宋体"/>
        </w:rPr>
      </w:pPr>
      <w:r>
        <w:rPr>
          <w:rFonts w:hint="eastAsia" w:hAnsi="SimHei" w:ascii="SimHei" w:eastAsia="黑体"/>
        </w:rPr>
        <w:t>入职培训的目的是要使新进人员了解公司概况、发展前景、企业文化、员工福利待遇及相关规章制度等，便于新进人员更快胜任工作</w:t>
      </w:r>
    </w:p>
    <w:p>
      <w:pPr>
        <w:pStyle w:val="4"/>
        <w:numPr>
          <w:ilvl w:val="0"/>
          <w:numId w:val="4"/>
        </w:numPr>
        <w:spacing w:after="156"/>
        <w:rPr>
          <w:rFonts w:hint="eastAsia" w:hAnsi="宋体"/>
        </w:rPr>
      </w:pPr>
      <w:r>
        <w:rPr>
          <w:rFonts w:hint="eastAsia" w:hAnsi="SimHei" w:ascii="SimHei" w:eastAsia="黑体"/>
        </w:rPr>
        <w:t>入职培训的内容包括：公司历史、发展规划、企业文化建设、公司经营状况、组织结构、管理制度、相关岗位（职务）的业务知识和工作责任制等</w:t>
      </w:r>
    </w:p>
    <w:p>
      <w:pPr>
        <w:pStyle w:val="4"/>
        <w:numPr>
          <w:ilvl w:val="0"/>
          <w:numId w:val="2"/>
        </w:numPr>
        <w:tabs>
          <w:tab w:val="left" w:pos="0"/>
          <w:tab w:val="clear" w:pos="833"/>
        </w:tabs>
        <w:spacing w:after="156"/>
        <w:ind w:left="0" w:firstLine="0"/>
        <w:rPr>
          <w:rFonts w:hint="eastAsia" w:hAnsi="宋体"/>
          <w:color w:val="FF0000"/>
        </w:rPr>
      </w:pPr>
      <w:r>
        <w:rPr>
          <w:rFonts w:hint="eastAsia" w:hAnsi="SimHei" w:ascii="SimHei" w:eastAsia="黑体"/>
          <w:color w:val="FF0000"/>
        </w:rPr>
        <w:t>新员工培训流程</w:t>
      </w:r>
    </w:p>
    <w:p>
      <w:pPr>
        <w:pStyle w:val="4"/>
        <w:numPr>
          <w:ilvl w:val="0"/>
          <w:numId w:val="4"/>
        </w:numPr>
        <w:spacing w:after="156"/>
        <w:rPr>
          <w:rFonts w:hint="eastAsia" w:hAnsi="宋体"/>
        </w:rPr>
      </w:pPr>
      <w:r>
        <w:rPr>
          <w:rFonts w:hint="eastAsia" w:hAnsi="SimHei" w:ascii="SimHei" w:eastAsia="黑体"/>
        </w:rPr>
        <w:t>年初由人力资源部组织公司部门经理以上岗位讨论确定部门各岗位入职培训内容，并以此制定本年度新员工总体培训计划及师资安排</w:t>
      </w:r>
    </w:p>
    <w:p>
      <w:pPr>
        <w:pStyle w:val="4"/>
        <w:numPr>
          <w:ilvl w:val="0"/>
          <w:numId w:val="4"/>
        </w:numPr>
        <w:spacing w:after="156"/>
        <w:rPr>
          <w:rFonts w:hint="eastAsia" w:hAnsi="宋体"/>
        </w:rPr>
      </w:pPr>
      <w:r>
        <w:rPr>
          <w:rFonts w:hint="eastAsia" w:hAnsi="SimHei" w:ascii="SimHei" w:eastAsia="黑体"/>
        </w:rPr>
        <w:t>新员工入职前一周，人力资源部组织适当内部培训师资，制定不少于14学时的新员工培训计划，新员工培训一般安排在新员工入职时或入职后一个月内</w:t>
      </w:r>
    </w:p>
    <w:p>
      <w:pPr>
        <w:pStyle w:val="4"/>
        <w:numPr>
          <w:ilvl w:val="0"/>
          <w:numId w:val="4"/>
        </w:numPr>
        <w:spacing w:after="156"/>
        <w:rPr>
          <w:rFonts w:hint="eastAsia" w:hAnsi="宋体"/>
        </w:rPr>
      </w:pPr>
      <w:r>
        <w:rPr>
          <w:rFonts w:hint="eastAsia" w:hAnsi="SimHei" w:ascii="SimHei" w:eastAsia="黑体"/>
        </w:rPr>
        <w:t>人力资源部根据培训计划，填写《培训安排通知单》，发放至各部门经理，要求部门经理安排新员工按照规定的时间和地点准时参加培训</w:t>
      </w:r>
    </w:p>
    <w:p>
      <w:pPr>
        <w:pStyle w:val="4"/>
        <w:numPr>
          <w:ilvl w:val="0"/>
          <w:numId w:val="4"/>
        </w:numPr>
        <w:spacing w:after="156"/>
        <w:rPr>
          <w:rFonts w:hint="eastAsia" w:hAnsi="宋体"/>
        </w:rPr>
      </w:pPr>
      <w:r>
        <w:rPr>
          <w:rFonts w:hint="eastAsia" w:hAnsi="SimHei" w:ascii="SimHei" w:eastAsia="黑体"/>
        </w:rPr>
        <w:t>人力资源部负责培训实施过程的协调、组织和控制工作，并对每位新员工的表现情况做下记录</w:t>
      </w:r>
    </w:p>
    <w:p>
      <w:pPr>
        <w:pStyle w:val="4"/>
        <w:numPr>
          <w:ilvl w:val="0"/>
          <w:numId w:val="4"/>
        </w:numPr>
        <w:spacing w:after="156"/>
        <w:rPr>
          <w:rFonts w:hint="eastAsia" w:hAnsi="宋体"/>
        </w:rPr>
      </w:pPr>
      <w:r>
        <w:rPr>
          <w:rFonts w:hint="eastAsia" w:hAnsi="SimHei" w:ascii="SimHei" w:eastAsia="黑体"/>
        </w:rPr>
        <w:t>培训结束时，人力资源部将综合评估新员工的培训效果，成绩合格者准许回部门参加工作，人力资源部将其《培训成绩单》提交各部门，同时为新员工建立培训档案，并留存此次培训记录</w:t>
      </w:r>
    </w:p>
    <w:p>
      <w:pPr>
        <w:pStyle w:val="4"/>
        <w:numPr>
          <w:ilvl w:val="0"/>
          <w:numId w:val="4"/>
        </w:numPr>
        <w:spacing w:after="156"/>
        <w:rPr>
          <w:rFonts w:hint="eastAsia" w:hAnsi="宋体"/>
        </w:rPr>
      </w:pPr>
      <w:r>
        <w:rPr>
          <w:rFonts w:hint="eastAsia" w:hAnsi="SimHei" w:ascii="SimHei" w:eastAsia="黑体"/>
        </w:rPr>
        <w:t>因任何原因未能参加新员工培训的员工，不得转正</w:t>
      </w:r>
    </w:p>
    <w:p>
      <w:pPr>
        <w:pStyle w:val="5"/>
        <w:rPr>
          <w:rFonts w:hint="eastAsia" w:hAnsi="宋体"/>
        </w:rPr>
      </w:pPr>
      <w:bookmarkStart w:id="66" w:name="_Toc15742165"/>
      <w:r>
        <w:rPr>
          <w:rFonts w:hint="eastAsia" w:ascii="SimHei" w:hAnsi="SimHei" w:eastAsia="黑体"/>
        </w:rPr>
        <w:t>3.5.2</w:t>
      </w:r>
      <w:r>
        <w:rPr>
          <w:rFonts w:hint="eastAsia" w:hAnsi="SimHei" w:ascii="SimHei" w:eastAsia="黑体"/>
        </w:rPr>
        <w:t>在岗培训</w:t>
      </w:r>
      <w:bookmarkEnd w:id="66"/>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在岗培训</w:t>
      </w:r>
      <w:r>
        <w:rPr>
          <w:rFonts w:hint="eastAsia" w:hAnsi="SimHei" w:ascii="SimHei" w:eastAsia="黑体"/>
          <w:color w:val="FF0000"/>
        </w:rPr>
        <w:t>目的与</w:t>
      </w:r>
      <w:r>
        <w:rPr>
          <w:rFonts w:hint="eastAsia" w:hAnsi="SimHei" w:ascii="SimHei" w:eastAsia="黑体"/>
        </w:rPr>
        <w:t>内容</w:t>
      </w:r>
    </w:p>
    <w:p>
      <w:pPr>
        <w:pStyle w:val="4"/>
        <w:numPr>
          <w:ilvl w:val="0"/>
          <w:numId w:val="4"/>
        </w:numPr>
        <w:spacing w:after="156"/>
        <w:rPr>
          <w:rFonts w:hint="eastAsia" w:hAnsi="宋体"/>
        </w:rPr>
      </w:pPr>
      <w:r>
        <w:rPr>
          <w:rFonts w:hint="eastAsia" w:hAnsi="SimHei" w:ascii="SimHei" w:eastAsia="黑体"/>
        </w:rPr>
        <w:t>在岗培训是根据员工绩效考评结果并配合员工职业发展路线设计的培训方案，其目的是为了更好地提高各岗位员工任职能力</w:t>
      </w:r>
    </w:p>
    <w:p>
      <w:pPr>
        <w:pStyle w:val="4"/>
        <w:numPr>
          <w:ilvl w:val="0"/>
          <w:numId w:val="4"/>
        </w:numPr>
        <w:spacing w:after="156"/>
        <w:rPr>
          <w:rFonts w:hint="eastAsia" w:hAnsi="宋体"/>
        </w:rPr>
      </w:pPr>
      <w:r>
        <w:rPr>
          <w:rFonts w:hint="eastAsia" w:hAnsi="SimHei" w:ascii="SimHei" w:eastAsia="黑体"/>
        </w:rPr>
        <w:t>在岗培训内容包括通用知识类和专业知识类</w:t>
      </w:r>
    </w:p>
    <w:p>
      <w:pPr>
        <w:pStyle w:val="4"/>
        <w:numPr>
          <w:ilvl w:val="0"/>
          <w:numId w:val="4"/>
        </w:numPr>
        <w:spacing w:after="156"/>
        <w:rPr>
          <w:rFonts w:hint="eastAsia" w:hAnsi="宋体"/>
        </w:rPr>
      </w:pPr>
      <w:r>
        <w:rPr>
          <w:rFonts w:hint="eastAsia" w:hAnsi="SimHei" w:ascii="SimHei" w:eastAsia="黑体"/>
        </w:rPr>
        <w:t>管理知识类：指利用内外部培训资源组织开展的全员适用的通用类知识、技能和态度培训</w:t>
      </w:r>
    </w:p>
    <w:p>
      <w:pPr>
        <w:pStyle w:val="4"/>
        <w:numPr>
          <w:ilvl w:val="0"/>
          <w:numId w:val="4"/>
        </w:numPr>
        <w:spacing w:after="156"/>
        <w:rPr>
          <w:rFonts w:hint="eastAsia" w:hAnsi="宋体"/>
        </w:rPr>
      </w:pPr>
      <w:r>
        <w:rPr>
          <w:rFonts w:hint="eastAsia" w:hAnsi="SimHei" w:ascii="SimHei" w:eastAsia="黑体"/>
        </w:rPr>
        <w:t>专业知识类：指利用外部培训资源开展的与业务、技术相关的知识和技能培训</w:t>
      </w:r>
    </w:p>
    <w:p>
      <w:pPr>
        <w:pStyle w:val="4"/>
        <w:numPr>
          <w:ilvl w:val="0"/>
          <w:numId w:val="4"/>
        </w:numPr>
        <w:spacing w:after="156"/>
        <w:rPr>
          <w:rFonts w:hint="eastAsia" w:hAnsi="宋体"/>
        </w:rPr>
      </w:pPr>
      <w:r>
        <w:rPr>
          <w:rFonts w:hint="eastAsia" w:hAnsi="SimHei" w:ascii="SimHei" w:eastAsia="黑体"/>
        </w:rPr>
        <w:t>员工参加培训的考核成绩，由人力资源部记入员工培训档案，作为其调职、晋升职层、调整薪酬职级的重要依据</w:t>
      </w:r>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在岗培训流程</w:t>
      </w:r>
    </w:p>
    <w:p>
      <w:pPr>
        <w:pStyle w:val="4"/>
        <w:numPr>
          <w:ilvl w:val="0"/>
          <w:numId w:val="4"/>
        </w:numPr>
        <w:spacing w:after="156"/>
        <w:rPr>
          <w:rFonts w:hint="eastAsia" w:hAnsi="宋体"/>
        </w:rPr>
      </w:pPr>
      <w:r>
        <w:rPr>
          <w:rFonts w:hint="eastAsia" w:hAnsi="SimHei" w:ascii="SimHei" w:eastAsia="黑体"/>
        </w:rPr>
        <w:t>每年初职业发展执行小组与职业发展管理委员会讨论制定本年度人力资源培训初步方案；</w:t>
      </w:r>
    </w:p>
    <w:p>
      <w:pPr>
        <w:pStyle w:val="4"/>
        <w:numPr>
          <w:ilvl w:val="0"/>
          <w:numId w:val="4"/>
        </w:numPr>
        <w:spacing w:after="156"/>
        <w:rPr>
          <w:rFonts w:hint="eastAsia" w:hAnsi="宋体"/>
        </w:rPr>
      </w:pPr>
      <w:r>
        <w:rPr>
          <w:rFonts w:hint="eastAsia" w:hAnsi="SimHei" w:ascii="SimHei" w:eastAsia="黑体"/>
        </w:rPr>
        <w:t>人力资源部向各部门下发《培训需求调查问卷》</w:t>
      </w:r>
    </w:p>
    <w:p>
      <w:pPr>
        <w:pStyle w:val="4"/>
        <w:numPr>
          <w:ilvl w:val="0"/>
          <w:numId w:val="4"/>
        </w:numPr>
        <w:spacing w:after="156"/>
        <w:rPr>
          <w:rFonts w:hint="eastAsia" w:hAnsi="宋体"/>
        </w:rPr>
      </w:pPr>
      <w:r>
        <w:rPr>
          <w:rFonts w:hint="eastAsia" w:hAnsi="SimHei" w:ascii="SimHei" w:eastAsia="黑体"/>
        </w:rPr>
        <w:t>年度绩效考评工作结束后，人力资源部结合各岗位考评成绩及员工培训需求反馈确定各类岗位的在岗培训计划</w:t>
      </w:r>
    </w:p>
    <w:p>
      <w:pPr>
        <w:pStyle w:val="4"/>
        <w:numPr>
          <w:ilvl w:val="0"/>
          <w:numId w:val="4"/>
        </w:numPr>
        <w:spacing w:after="156"/>
        <w:rPr>
          <w:rFonts w:hint="eastAsia" w:hAnsi="宋体"/>
        </w:rPr>
      </w:pPr>
      <w:r>
        <w:rPr>
          <w:rFonts w:hint="eastAsia" w:hAnsi="SimHei" w:ascii="SimHei" w:eastAsia="黑体"/>
        </w:rPr>
        <w:t>当经营环境、工作内容等情况发生变化时，各部门也可以随时向人力资源部提交临时培训需求申请，填写《临时培训申请单》</w:t>
      </w:r>
    </w:p>
    <w:p>
      <w:pPr>
        <w:pStyle w:val="4"/>
        <w:numPr>
          <w:ilvl w:val="0"/>
          <w:numId w:val="4"/>
        </w:numPr>
        <w:spacing w:after="156"/>
        <w:rPr>
          <w:rFonts w:hint="eastAsia" w:hAnsi="宋体"/>
        </w:rPr>
      </w:pPr>
      <w:r>
        <w:rPr>
          <w:rFonts w:hint="eastAsia" w:hAnsi="SimHei" w:ascii="SimHei" w:eastAsia="黑体"/>
        </w:rPr>
        <w:t>人力资源部根据部门和员工提出的培训申请，经实际情况分析，以提高岗位任职能力为目标，制定当月的培训计划</w:t>
      </w:r>
    </w:p>
    <w:p>
      <w:pPr>
        <w:pStyle w:val="4"/>
        <w:numPr>
          <w:ilvl w:val="0"/>
          <w:numId w:val="4"/>
        </w:numPr>
        <w:spacing w:after="156"/>
        <w:rPr>
          <w:rFonts w:hint="eastAsia" w:hAnsi="宋体"/>
        </w:rPr>
      </w:pPr>
      <w:r>
        <w:rPr>
          <w:rFonts w:hint="eastAsia" w:hAnsi="SimHei" w:ascii="SimHei" w:eastAsia="黑体"/>
        </w:rPr>
        <w:t>根据培训计划，人力资源部负责选择外部资源、安排培训实施，各部门要积极配合，确保效果</w:t>
      </w:r>
    </w:p>
    <w:p>
      <w:pPr>
        <w:pStyle w:val="4"/>
        <w:numPr>
          <w:ilvl w:val="0"/>
          <w:numId w:val="4"/>
        </w:numPr>
        <w:spacing w:after="156"/>
        <w:rPr>
          <w:rFonts w:hint="eastAsia" w:hAnsi="宋体"/>
        </w:rPr>
      </w:pPr>
      <w:r>
        <w:rPr>
          <w:rFonts w:hint="eastAsia" w:hAnsi="SimHei" w:ascii="SimHei" w:eastAsia="黑体"/>
        </w:rPr>
        <w:t>实践已批准的计划，并在完成课程后，与员工一起评估成效，最终将资料存档</w:t>
      </w:r>
    </w:p>
    <w:p>
      <w:pPr>
        <w:pStyle w:val="5"/>
        <w:rPr>
          <w:rFonts w:hint="eastAsia" w:hAnsi="宋体"/>
        </w:rPr>
      </w:pPr>
      <w:bookmarkStart w:id="67" w:name="_Toc15742166"/>
      <w:r>
        <w:rPr>
          <w:rFonts w:hint="eastAsia" w:ascii="SimHei" w:hAnsi="SimHei" w:eastAsia="黑体"/>
        </w:rPr>
        <w:t>3.5.3</w:t>
      </w:r>
      <w:r>
        <w:rPr>
          <w:rFonts w:hint="eastAsia" w:hAnsi="SimHei" w:ascii="SimHei" w:eastAsia="黑体"/>
        </w:rPr>
        <w:t>转岗培训</w:t>
      </w:r>
      <w:bookmarkEnd w:id="67"/>
    </w:p>
    <w:p>
      <w:pPr>
        <w:pStyle w:val="4"/>
        <w:numPr>
          <w:ilvl w:val="0"/>
          <w:numId w:val="2"/>
        </w:numPr>
        <w:tabs>
          <w:tab w:val="left" w:pos="0"/>
          <w:tab w:val="clear" w:pos="833"/>
        </w:tabs>
        <w:spacing w:after="156"/>
        <w:ind w:left="0" w:firstLine="0"/>
        <w:rPr>
          <w:rFonts w:hint="eastAsia"/>
        </w:rPr>
      </w:pPr>
      <w:r>
        <w:rPr>
          <w:rFonts w:hint="eastAsia" w:ascii="SimHei" w:hAnsi="SimHei" w:eastAsia="黑体"/>
        </w:rPr>
        <w:t>转岗培训</w:t>
      </w:r>
      <w:r>
        <w:rPr>
          <w:rFonts w:hint="eastAsia" w:hAnsi="SimHei" w:ascii="SimHei" w:eastAsia="黑体"/>
          <w:color w:val="FF0000"/>
        </w:rPr>
        <w:t>目的与</w:t>
      </w:r>
      <w:r>
        <w:rPr>
          <w:rFonts w:hint="eastAsia" w:hAnsi="SimHei" w:ascii="SimHei" w:eastAsia="黑体"/>
        </w:rPr>
        <w:t>内容</w:t>
      </w:r>
    </w:p>
    <w:p>
      <w:pPr>
        <w:pStyle w:val="4"/>
        <w:numPr>
          <w:ilvl w:val="0"/>
          <w:numId w:val="4"/>
        </w:numPr>
        <w:spacing w:after="156"/>
        <w:rPr>
          <w:rFonts w:hint="eastAsia" w:hAnsi="宋体"/>
        </w:rPr>
      </w:pPr>
      <w:r>
        <w:rPr>
          <w:rFonts w:hint="eastAsia" w:hAnsi="SimHei" w:ascii="SimHei" w:eastAsia="黑体"/>
        </w:rPr>
        <w:t>转岗培训是针对性很强的培训，主要是对即将进行岗位轮换或职层晋升的员工开展的，目的是使转岗员工尽快熟悉新岗位的工作内容并具备新岗位的任职能力</w:t>
      </w:r>
    </w:p>
    <w:p>
      <w:pPr>
        <w:pStyle w:val="4"/>
        <w:numPr>
          <w:ilvl w:val="0"/>
          <w:numId w:val="4"/>
        </w:numPr>
        <w:spacing w:after="156"/>
        <w:rPr>
          <w:rFonts w:hint="eastAsia" w:hAnsi="宋体"/>
        </w:rPr>
      </w:pPr>
      <w:r>
        <w:rPr>
          <w:rFonts w:hint="eastAsia" w:hAnsi="SimHei" w:ascii="SimHei" w:eastAsia="黑体"/>
        </w:rPr>
        <w:t>转岗培训内容包括：新岗位工作内容介绍；提高任职能力的针对性培训；新岗位专业知识培训</w:t>
      </w:r>
    </w:p>
    <w:p>
      <w:pPr>
        <w:pStyle w:val="4"/>
        <w:numPr>
          <w:ilvl w:val="0"/>
          <w:numId w:val="4"/>
        </w:numPr>
        <w:spacing w:after="156"/>
        <w:rPr>
          <w:rFonts w:hint="eastAsia"/>
        </w:rPr>
      </w:pPr>
      <w:r>
        <w:rPr>
          <w:rFonts w:hint="eastAsia" w:hAnsi="SimHei" w:ascii="SimHei" w:eastAsia="黑体"/>
        </w:rPr>
        <w:t>接受转岗培训的人员包括晋升人员与转岗人员</w:t>
      </w:r>
    </w:p>
    <w:p>
      <w:pPr>
        <w:pStyle w:val="4"/>
        <w:numPr>
          <w:ilvl w:val="0"/>
          <w:numId w:val="2"/>
        </w:numPr>
        <w:tabs>
          <w:tab w:val="left" w:pos="0"/>
          <w:tab w:val="clear" w:pos="833"/>
        </w:tabs>
        <w:spacing w:after="156"/>
        <w:ind w:left="0" w:firstLine="0"/>
        <w:rPr>
          <w:rFonts w:hint="eastAsia"/>
        </w:rPr>
      </w:pPr>
      <w:r>
        <w:rPr>
          <w:rFonts w:hint="eastAsia" w:ascii="SimHei" w:hAnsi="SimHei" w:eastAsia="黑体"/>
        </w:rPr>
        <w:t>转岗培训流程</w:t>
      </w:r>
    </w:p>
    <w:p>
      <w:pPr>
        <w:pStyle w:val="4"/>
        <w:numPr>
          <w:ilvl w:val="0"/>
          <w:numId w:val="4"/>
        </w:numPr>
        <w:spacing w:after="156"/>
        <w:rPr>
          <w:rFonts w:hint="eastAsia" w:hAnsi="宋体"/>
        </w:rPr>
      </w:pPr>
      <w:r>
        <w:rPr>
          <w:rFonts w:hint="eastAsia" w:hAnsi="SimHei" w:ascii="SimHei" w:eastAsia="黑体"/>
        </w:rPr>
        <w:t>员工在年度绩效考评期间提出转岗申请</w:t>
      </w:r>
    </w:p>
    <w:p>
      <w:pPr>
        <w:pStyle w:val="4"/>
        <w:numPr>
          <w:ilvl w:val="0"/>
          <w:numId w:val="4"/>
        </w:numPr>
        <w:spacing w:after="156"/>
        <w:rPr>
          <w:rFonts w:hint="eastAsia" w:hAnsi="宋体"/>
        </w:rPr>
      </w:pPr>
      <w:r>
        <w:rPr>
          <w:rFonts w:hint="eastAsia" w:hAnsi="SimHei" w:ascii="SimHei" w:eastAsia="黑体"/>
        </w:rPr>
        <w:t>职业发展执行小组根据年度绩效考评成绩及员工转岗申请确定员工晋升和转岗人员名单</w:t>
      </w:r>
    </w:p>
    <w:p>
      <w:pPr>
        <w:pStyle w:val="4"/>
        <w:numPr>
          <w:ilvl w:val="0"/>
          <w:numId w:val="4"/>
        </w:numPr>
        <w:spacing w:after="156"/>
        <w:rPr>
          <w:rFonts w:hint="eastAsia" w:hAnsi="宋体"/>
        </w:rPr>
      </w:pPr>
      <w:r>
        <w:rPr>
          <w:rFonts w:hint="eastAsia" w:hAnsi="SimHei" w:ascii="SimHei" w:eastAsia="黑体"/>
        </w:rPr>
        <w:t>职业发展执行小组参考员工目前工作业绩以及员工所在岗位（或潜在轮换岗位）所需的知识技能，分析转岗人员目前能力存在的不足</w:t>
      </w:r>
    </w:p>
    <w:p>
      <w:pPr>
        <w:pStyle w:val="4"/>
        <w:numPr>
          <w:ilvl w:val="0"/>
          <w:numId w:val="4"/>
        </w:numPr>
        <w:spacing w:after="156"/>
        <w:rPr>
          <w:rFonts w:hint="eastAsia" w:hAnsi="宋体"/>
        </w:rPr>
      </w:pPr>
      <w:r>
        <w:rPr>
          <w:rFonts w:hint="eastAsia" w:hAnsi="SimHei" w:ascii="SimHei" w:eastAsia="黑体"/>
        </w:rPr>
        <w:t>职业发展执行小组与被培训人</w:t>
      </w:r>
      <w:r>
        <w:rPr>
          <w:rFonts w:hint="eastAsia" w:hAnsi="SimHei" w:ascii="SimHei" w:eastAsia="黑体"/>
          <w:color w:val="FF0000"/>
        </w:rPr>
        <w:t>将转入岗位</w:t>
      </w:r>
      <w:r>
        <w:rPr>
          <w:rFonts w:hint="eastAsia" w:hAnsi="SimHei" w:ascii="SimHei" w:eastAsia="黑体"/>
        </w:rPr>
        <w:t>直接领导讨论个人培训计划草案，最终落实培训计划，由被培训人直接领导批准后生效</w:t>
      </w:r>
    </w:p>
    <w:p>
      <w:pPr>
        <w:pStyle w:val="4"/>
        <w:numPr>
          <w:ilvl w:val="0"/>
          <w:numId w:val="4"/>
        </w:numPr>
        <w:spacing w:after="156"/>
        <w:rPr>
          <w:rFonts w:hint="eastAsia" w:hAnsi="宋体"/>
        </w:rPr>
      </w:pPr>
      <w:r>
        <w:rPr>
          <w:rFonts w:hint="eastAsia" w:hAnsi="SimHei" w:ascii="SimHei" w:eastAsia="黑体"/>
        </w:rPr>
        <w:t>根据培训计划，人力资源部负责选择相关部门培训教师、安排培训实施，各部门要积极配合以确保效果</w:t>
      </w:r>
    </w:p>
    <w:p>
      <w:pPr>
        <w:pStyle w:val="4"/>
        <w:numPr>
          <w:ilvl w:val="0"/>
          <w:numId w:val="4"/>
        </w:numPr>
        <w:spacing w:after="156"/>
        <w:rPr>
          <w:rFonts w:hint="eastAsia"/>
        </w:rPr>
      </w:pPr>
      <w:r>
        <w:rPr>
          <w:rFonts w:hint="eastAsia" w:hAnsi="SimHei" w:ascii="SimHei" w:eastAsia="黑体"/>
        </w:rPr>
        <w:t>人力资源部对培训结果进行评估，对培训成绩合格的员工实施晋升或轮岗</w:t>
      </w:r>
    </w:p>
    <w:p>
      <w:pPr>
        <w:pStyle w:val="2"/>
        <w:jc w:val="center"/>
        <w:rPr>
          <w:rFonts w:hint="eastAsia" w:ascii="宋体" w:hAnsi="宋体"/>
        </w:rPr>
      </w:pPr>
      <w:bookmarkStart w:id="68" w:name="_Toc15371206"/>
      <w:bookmarkStart w:id="69" w:name="_Toc15391324"/>
      <w:bookmarkStart w:id="70" w:name="_Toc15742167"/>
      <w:r>
        <w:rPr>
          <w:rFonts w:hint="eastAsia" w:ascii="SimHei" w:hAnsi="SimHei" w:eastAsia="黑体"/>
        </w:rPr>
        <w:t>第四章：补充规定</w:t>
      </w:r>
      <w:bookmarkEnd w:id="68"/>
      <w:bookmarkEnd w:id="69"/>
      <w:bookmarkEnd w:id="70"/>
    </w:p>
    <w:p>
      <w:pPr>
        <w:pStyle w:val="3"/>
        <w:rPr>
          <w:rFonts w:hint="eastAsia"/>
        </w:rPr>
      </w:pPr>
      <w:bookmarkStart w:id="71" w:name="_Toc15371207"/>
      <w:bookmarkStart w:id="72" w:name="_Toc15391325"/>
      <w:bookmarkStart w:id="73" w:name="_Toc15742168"/>
      <w:r>
        <w:rPr>
          <w:rFonts w:hint="eastAsia" w:ascii="SimHei" w:hAnsi="SimHei" w:eastAsia="黑体"/>
        </w:rPr>
        <w:t>4.1职业发展制度的修订</w:t>
      </w:r>
      <w:bookmarkEnd w:id="71"/>
      <w:bookmarkEnd w:id="72"/>
      <w:bookmarkEnd w:id="73"/>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职业发展制度修订议案的提出</w:t>
      </w:r>
    </w:p>
    <w:p>
      <w:pPr>
        <w:pStyle w:val="4"/>
        <w:numPr>
          <w:ilvl w:val="0"/>
          <w:numId w:val="4"/>
        </w:numPr>
        <w:spacing w:after="156"/>
        <w:rPr>
          <w:rFonts w:hint="eastAsia" w:hAnsi="宋体"/>
        </w:rPr>
      </w:pPr>
      <w:r>
        <w:rPr>
          <w:rFonts w:hint="eastAsia" w:hAnsi="SimHei" w:ascii="SimHei" w:eastAsia="黑体"/>
        </w:rPr>
        <w:t>当公司组织结构或岗位职责发生变动时，职业发展执行小组需要及时向职业发展管理委员会提出修改职业发展矩阵及岗位任职资格要求</w:t>
      </w:r>
    </w:p>
    <w:p>
      <w:pPr>
        <w:pStyle w:val="4"/>
        <w:numPr>
          <w:ilvl w:val="0"/>
          <w:numId w:val="4"/>
        </w:numPr>
        <w:spacing w:after="156"/>
        <w:rPr>
          <w:rFonts w:hint="eastAsia" w:hAnsi="宋体"/>
        </w:rPr>
      </w:pPr>
      <w:r>
        <w:rPr>
          <w:rFonts w:hint="eastAsia" w:hAnsi="SimHei" w:ascii="SimHei" w:eastAsia="黑体"/>
        </w:rPr>
        <w:t>任何对薪酬职级调整、职层调整、岗位轮换等与职业发展制度相关事项有疑问的员工都有权向职业发展管理委员会提出职业发展管理制度修订提案，提案发起人必须持有修订建议的书面报告，提交职业发展管理委员主席或委员</w:t>
      </w:r>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职业发展制度修订流程</w:t>
      </w:r>
    </w:p>
    <w:p>
      <w:pPr>
        <w:pStyle w:val="4"/>
        <w:numPr>
          <w:ilvl w:val="0"/>
          <w:numId w:val="4"/>
        </w:numPr>
        <w:spacing w:after="156"/>
        <w:rPr>
          <w:rFonts w:hint="eastAsia" w:hAnsi="宋体"/>
        </w:rPr>
      </w:pPr>
      <w:r>
        <w:rPr>
          <w:rFonts w:hint="eastAsia" w:hAnsi="SimHei" w:ascii="SimHei" w:eastAsia="黑体"/>
        </w:rPr>
        <w:t>职业发展管理委员接到发起人所提交的制度修订提议后，职业发展执行小组需要对提议中出现的问题进行深入调查了解，并根据调查结果提交修订提议调查报告，职业发展管理委员根据调查结果决定是否召开职业发展制度修订会议，会议上将最终决定是否对职业发展制度进行修改</w:t>
      </w:r>
    </w:p>
    <w:p>
      <w:pPr>
        <w:pStyle w:val="4"/>
        <w:numPr>
          <w:ilvl w:val="0"/>
          <w:numId w:val="2"/>
        </w:numPr>
        <w:tabs>
          <w:tab w:val="left" w:pos="0"/>
          <w:tab w:val="clear" w:pos="833"/>
        </w:tabs>
        <w:spacing w:after="156"/>
        <w:ind w:left="0" w:firstLine="0"/>
        <w:rPr>
          <w:rFonts w:hint="eastAsia" w:hAnsi="宋体"/>
        </w:rPr>
      </w:pPr>
      <w:r>
        <w:rPr>
          <w:rFonts w:hint="eastAsia" w:hAnsi="SimHei" w:ascii="SimHei" w:eastAsia="黑体"/>
        </w:rPr>
        <w:t>职业发展制度修订决策</w:t>
      </w:r>
    </w:p>
    <w:p>
      <w:pPr>
        <w:pStyle w:val="4"/>
        <w:numPr>
          <w:ilvl w:val="0"/>
          <w:numId w:val="4"/>
        </w:numPr>
        <w:spacing w:after="156"/>
        <w:rPr>
          <w:rFonts w:hint="eastAsia" w:hAnsi="宋体"/>
        </w:rPr>
      </w:pPr>
      <w:r>
        <w:rPr>
          <w:rFonts w:hint="eastAsia" w:hAnsi="SimHei" w:ascii="SimHei" w:eastAsia="黑体"/>
        </w:rPr>
        <w:t>职业发展制度修订会议上，修订提案通过与否采取投票方式决定，各修订提案超过三分之二参会委员投赞成票就认为提案通过，职业发展执行小组负责整理通过的修订提案，并根据修订提案修订职业发展制度，由董事长签发后生效</w:t>
      </w:r>
    </w:p>
    <w:p>
      <w:pPr>
        <w:pStyle w:val="3"/>
        <w:rPr>
          <w:rFonts w:hint="eastAsia"/>
        </w:rPr>
      </w:pPr>
      <w:bookmarkStart w:id="74" w:name="_Toc15742169"/>
      <w:r>
        <w:rPr>
          <w:rFonts w:hint="eastAsia" w:ascii="SimHei" w:hAnsi="SimHei" w:eastAsia="黑体"/>
        </w:rPr>
        <w:t>4.</w:t>
      </w:r>
      <w:bookmarkStart w:id="75" w:name="_Toc14260141"/>
      <w:r>
        <w:rPr>
          <w:rFonts w:hint="eastAsia" w:ascii="SimHei" w:hAnsi="SimHei" w:eastAsia="黑体"/>
        </w:rPr>
        <w:t>2职业发展申诉</w:t>
      </w:r>
      <w:bookmarkEnd w:id="74"/>
      <w:bookmarkEnd w:id="75"/>
    </w:p>
    <w:p>
      <w:pPr>
        <w:pStyle w:val="4"/>
        <w:numPr>
          <w:ilvl w:val="0"/>
          <w:numId w:val="2"/>
        </w:numPr>
        <w:tabs>
          <w:tab w:val="left" w:pos="0"/>
          <w:tab w:val="clear" w:pos="833"/>
        </w:tabs>
        <w:spacing w:after="156"/>
        <w:ind w:left="0" w:firstLine="0"/>
      </w:pPr>
      <w:bookmarkStart w:id="76" w:name="_Toc14260142"/>
      <w:r>
        <w:rPr>
          <w:rFonts w:hint="eastAsia" w:hAnsi="SimHei" w:ascii="SimHei" w:eastAsia="黑体"/>
        </w:rPr>
        <w:t>申诉条件</w:t>
      </w:r>
      <w:bookmarkEnd w:id="76"/>
    </w:p>
    <w:p>
      <w:pPr>
        <w:pStyle w:val="4"/>
        <w:numPr>
          <w:ilvl w:val="0"/>
          <w:numId w:val="4"/>
        </w:numPr>
        <w:spacing w:after="156"/>
        <w:rPr>
          <w:rFonts w:hint="eastAsia" w:hAnsi="宋体"/>
        </w:rPr>
      </w:pPr>
      <w:r>
        <w:rPr>
          <w:rFonts w:hint="eastAsia" w:hAnsi="SimHei" w:ascii="SimHei" w:eastAsia="黑体"/>
        </w:rPr>
        <w:t>员工如认为公司在对本岗位实施职层调整、职级调整、岗位轮换、培训方案设计等项工作过程中存在不合理现象</w:t>
      </w:r>
      <w:r>
        <w:rPr>
          <w:rFonts w:hAnsi="SimHei" w:ascii="SimHei" w:eastAsia="黑体"/>
        </w:rPr>
        <w:t>,</w:t>
      </w:r>
      <w:r>
        <w:rPr>
          <w:rFonts w:hint="eastAsia" w:hAnsi="SimHei" w:ascii="SimHei" w:eastAsia="黑体"/>
        </w:rPr>
        <w:t>有权在此项工作结束10天内直接向职业发展管理委员会申诉</w:t>
      </w:r>
    </w:p>
    <w:p>
      <w:pPr>
        <w:pStyle w:val="4"/>
        <w:numPr>
          <w:ilvl w:val="0"/>
          <w:numId w:val="2"/>
        </w:numPr>
        <w:tabs>
          <w:tab w:val="left" w:pos="0"/>
          <w:tab w:val="clear" w:pos="833"/>
        </w:tabs>
        <w:spacing w:after="156"/>
        <w:ind w:left="0" w:firstLine="0"/>
        <w:rPr>
          <w:rFonts w:hint="eastAsia"/>
        </w:rPr>
      </w:pPr>
      <w:bookmarkStart w:id="77" w:name="_Toc14260143"/>
      <w:r>
        <w:rPr>
          <w:rFonts w:hint="eastAsia" w:ascii="SimHei" w:hAnsi="SimHei" w:eastAsia="黑体"/>
        </w:rPr>
        <w:t>申诉形式</w:t>
      </w:r>
      <w:bookmarkEnd w:id="77"/>
    </w:p>
    <w:p>
      <w:pPr>
        <w:pStyle w:val="4"/>
        <w:numPr>
          <w:ilvl w:val="0"/>
          <w:numId w:val="4"/>
        </w:numPr>
        <w:spacing w:after="156"/>
        <w:rPr>
          <w:rFonts w:hint="eastAsia" w:hAnsi="宋体"/>
        </w:rPr>
      </w:pPr>
      <w:r>
        <w:rPr>
          <w:rFonts w:hint="eastAsia" w:hAnsi="SimHei" w:ascii="SimHei" w:eastAsia="黑体"/>
        </w:rPr>
        <w:t>公司统一由职业发展执行小组处理员工申诉</w:t>
      </w:r>
    </w:p>
    <w:p>
      <w:pPr>
        <w:pStyle w:val="4"/>
        <w:numPr>
          <w:ilvl w:val="0"/>
          <w:numId w:val="4"/>
        </w:numPr>
        <w:spacing w:after="156"/>
        <w:rPr>
          <w:rFonts w:hint="eastAsia" w:hAnsi="宋体"/>
        </w:rPr>
      </w:pPr>
      <w:r>
        <w:rPr>
          <w:rFonts w:hint="eastAsia" w:hAnsi="SimHei" w:ascii="SimHei" w:eastAsia="黑体"/>
        </w:rPr>
        <w:t>申诉人向职业发展执行小组申诉时需要以书面形式提交申诉报告，职业发展执行小组负责将员工申诉统一记录备案，并将员工申诉报告和申诉记录提交职业发展执行小组</w:t>
      </w:r>
    </w:p>
    <w:p>
      <w:pPr>
        <w:pStyle w:val="4"/>
        <w:numPr>
          <w:ilvl w:val="0"/>
          <w:numId w:val="2"/>
        </w:numPr>
        <w:tabs>
          <w:tab w:val="left" w:pos="0"/>
          <w:tab w:val="clear" w:pos="833"/>
        </w:tabs>
        <w:spacing w:after="156"/>
        <w:ind w:left="0" w:firstLine="0"/>
        <w:rPr>
          <w:rFonts w:hint="eastAsia"/>
        </w:rPr>
      </w:pPr>
      <w:bookmarkStart w:id="78" w:name="_Toc14260144"/>
      <w:r>
        <w:rPr>
          <w:rFonts w:hint="eastAsia" w:ascii="SimHei" w:hAnsi="SimHei" w:eastAsia="黑体"/>
        </w:rPr>
        <w:t>申诉处理</w:t>
      </w:r>
      <w:bookmarkEnd w:id="78"/>
    </w:p>
    <w:p>
      <w:pPr>
        <w:pStyle w:val="4"/>
        <w:numPr>
          <w:ilvl w:val="0"/>
          <w:numId w:val="4"/>
        </w:numPr>
        <w:spacing w:after="156"/>
        <w:rPr>
          <w:rFonts w:hint="eastAsia" w:hAnsi="宋体"/>
        </w:rPr>
      </w:pPr>
      <w:r>
        <w:rPr>
          <w:rFonts w:hint="eastAsia" w:hAnsi="SimHei" w:ascii="SimHei" w:eastAsia="黑体"/>
        </w:rPr>
        <w:t>职业发展执行小组与申诉人核实后对其申诉报告进行审核，将处理意见提交职业发展管理委员会</w:t>
      </w:r>
    </w:p>
    <w:p>
      <w:pPr>
        <w:pStyle w:val="4"/>
        <w:numPr>
          <w:ilvl w:val="0"/>
          <w:numId w:val="4"/>
        </w:numPr>
        <w:spacing w:after="156"/>
        <w:rPr>
          <w:rFonts w:hint="eastAsia" w:hAnsi="宋体"/>
        </w:rPr>
      </w:pPr>
      <w:r>
        <w:rPr>
          <w:rFonts w:hint="eastAsia" w:hAnsi="SimHei" w:ascii="SimHei" w:eastAsia="黑体"/>
        </w:rPr>
        <w:t>职业发展管理委员会根据职业发展执行小组提交资料决定是否需要召开由申诉人、职业发展管理委员会、职业发展执行小组组长组成的申诉评审会</w:t>
      </w:r>
    </w:p>
    <w:p>
      <w:pPr>
        <w:pStyle w:val="4"/>
        <w:numPr>
          <w:ilvl w:val="0"/>
          <w:numId w:val="4"/>
        </w:numPr>
        <w:spacing w:after="156"/>
        <w:rPr>
          <w:rFonts w:hint="eastAsia" w:hAnsi="宋体"/>
        </w:rPr>
      </w:pPr>
      <w:r>
        <w:rPr>
          <w:rFonts w:hint="eastAsia" w:ascii="SimHei" w:hAnsi="SimHei" w:eastAsia="黑体"/>
        </w:rPr>
        <w:t>如果员工申诉内容属实，申诉评审会需要根据此项工作流程对申诉人重新实施职业发展相关工作</w:t>
      </w:r>
    </w:p>
    <w:p>
      <w:pPr>
        <w:tabs>
          <w:tab w:val="left" w:pos="5200"/>
        </w:tabs>
        <w:spacing w:after="124" w:afterLines="40" w:line="440" w:lineRule="exact"/>
        <w:jc w:val="center"/>
        <w:rPr>
          <w:rFonts w:hint="eastAsia" w:ascii="宋体" w:hAnsi="宋体"/>
          <w:b/>
          <w:bCs/>
          <w:sz w:val="28"/>
        </w:rPr>
      </w:pPr>
      <w:r>
        <w:rPr>
          <w:rFonts w:ascii="SimHei" w:hAnsi="SimHei" w:eastAsia="黑体"/>
        </w:rPr>
      </w:r>
      <w:r>
        <w:rPr>
          <w:rFonts w:hint="eastAsia" w:ascii="SimHei" w:hAnsi="SimHei" w:eastAsia="黑体"/>
          <w:b/>
          <w:bCs/>
          <w:sz w:val="28"/>
        </w:rPr>
        <w:t>员工职业发展规划表</w:t>
      </w:r>
    </w:p>
    <w:tbl>
      <w:tblPr>
        <w:tblStyle w:val="24"/>
        <w:tblW w:w="9600" w:type="dxa"/>
        <w:tblInd w:w="-4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6"/>
        <w:gridCol w:w="4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4756" w:type="dxa"/>
            <w:noWrap w:val="0"/>
            <w:vAlign w:val="top"/>
          </w:tcPr>
          <w:p>
            <w:pPr>
              <w:tabs>
                <w:tab w:val="left" w:pos="5200"/>
              </w:tabs>
              <w:spacing w:after="124" w:afterLines="40" w:line="440" w:lineRule="exact"/>
              <w:jc w:val="both"/>
              <w:rPr>
                <w:rFonts w:hint="eastAsia" w:ascii="宋体" w:hAnsi="宋体"/>
              </w:rPr>
            </w:pPr>
            <w:r>
              <w:rPr>
                <w:rFonts w:hint="eastAsia" w:ascii="SimHei" w:hAnsi="SimHei" w:eastAsia="黑体"/>
              </w:rPr>
              <w:t>员工姓名</w:t>
            </w:r>
          </w:p>
        </w:tc>
        <w:tc>
          <w:tcPr>
            <w:tcW w:w="4844" w:type="dxa"/>
            <w:noWrap w:val="0"/>
            <w:vAlign w:val="top"/>
          </w:tcPr>
          <w:p>
            <w:pPr>
              <w:tabs>
                <w:tab w:val="left" w:pos="5200"/>
              </w:tabs>
              <w:spacing w:after="124" w:afterLines="40" w:line="440" w:lineRule="exact"/>
              <w:jc w:val="both"/>
              <w:rPr>
                <w:rFonts w:hint="eastAsia" w:ascii="宋体" w:hAnsi="宋体"/>
              </w:rPr>
            </w:pPr>
            <w:r>
              <w:rPr>
                <w:rFonts w:hint="eastAsia" w:ascii="SimHei" w:hAnsi="SimHei" w:eastAsia="黑体"/>
              </w:rPr>
              <w:t>职位/薪酬职级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4756" w:type="dxa"/>
            <w:noWrap w:val="0"/>
            <w:vAlign w:val="top"/>
          </w:tcPr>
          <w:p>
            <w:pPr>
              <w:tabs>
                <w:tab w:val="left" w:pos="5200"/>
              </w:tabs>
              <w:spacing w:line="440" w:lineRule="exact"/>
              <w:jc w:val="both"/>
              <w:rPr>
                <w:rFonts w:hint="eastAsia" w:ascii="宋体" w:hAnsi="宋体"/>
              </w:rPr>
            </w:pPr>
            <w:r>
              <w:rPr>
                <w:rFonts w:hint="eastAsia" w:ascii="SimHei" w:hAnsi="SimHei" w:eastAsia="黑体"/>
              </w:rPr>
              <w:t>所在部门</w:t>
            </w:r>
          </w:p>
        </w:tc>
        <w:tc>
          <w:tcPr>
            <w:tcW w:w="4844" w:type="dxa"/>
            <w:noWrap w:val="0"/>
            <w:vAlign w:val="top"/>
          </w:tcPr>
          <w:p>
            <w:pPr>
              <w:tabs>
                <w:tab w:val="left" w:pos="5200"/>
              </w:tabs>
              <w:spacing w:line="440" w:lineRule="exact"/>
              <w:jc w:val="both"/>
              <w:rPr>
                <w:rFonts w:hint="eastAsia" w:ascii="宋体" w:hAnsi="宋体"/>
              </w:rPr>
            </w:pPr>
            <w:r>
              <w:rPr>
                <w:rFonts w:hint="eastAsia" w:ascii="SimHei" w:hAnsi="SimHei" w:eastAsia="黑体"/>
              </w:rPr>
              <w:t>评估时间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1740" w:hRule="atLeast"/>
        </w:trPr>
        <w:tc>
          <w:tcPr>
            <w:tcW w:w="9600" w:type="dxa"/>
            <w:gridSpan w:val="2"/>
            <w:noWrap w:val="0"/>
            <w:vAlign w:val="top"/>
          </w:tcPr>
          <w:p>
            <w:pPr>
              <w:tabs>
                <w:tab w:val="left" w:pos="5200"/>
              </w:tabs>
              <w:spacing w:line="440" w:lineRule="exact"/>
              <w:jc w:val="both"/>
              <w:rPr>
                <w:rFonts w:hint="eastAsia" w:ascii="宋体" w:hAnsi="宋体"/>
              </w:rPr>
            </w:pPr>
            <w:r>
              <w:rPr>
                <w:rFonts w:hint="eastAsia" w:ascii="SimHei" w:hAnsi="SimHei" w:eastAsia="黑体"/>
              </w:rPr>
              <w:t>个人目标及考虑因素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1782" w:hRule="atLeast"/>
        </w:trPr>
        <w:tc>
          <w:tcPr>
            <w:tcW w:w="9600" w:type="dxa"/>
            <w:gridSpan w:val="2"/>
            <w:noWrap w:val="0"/>
            <w:vAlign w:val="top"/>
          </w:tcPr>
          <w:p>
            <w:pPr>
              <w:tabs>
                <w:tab w:val="left" w:pos="5200"/>
              </w:tabs>
              <w:spacing w:line="440" w:lineRule="exact"/>
              <w:jc w:val="both"/>
              <w:rPr>
                <w:rFonts w:hint="eastAsia" w:ascii="宋体" w:hAnsi="宋体"/>
              </w:rPr>
            </w:pPr>
            <w:r>
              <w:rPr>
                <w:rFonts w:hint="eastAsia" w:ascii="SimHei" w:hAnsi="SimHei" w:eastAsia="黑体"/>
              </w:rPr>
              <w:t>个人优点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1932" w:hRule="atLeast"/>
        </w:trPr>
        <w:tc>
          <w:tcPr>
            <w:tcW w:w="9600" w:type="dxa"/>
            <w:gridSpan w:val="2"/>
            <w:noWrap w:val="0"/>
            <w:vAlign w:val="top"/>
          </w:tcPr>
          <w:p>
            <w:pPr>
              <w:tabs>
                <w:tab w:val="left" w:pos="5200"/>
              </w:tabs>
              <w:spacing w:line="440" w:lineRule="exact"/>
              <w:jc w:val="both"/>
              <w:rPr>
                <w:rFonts w:hint="eastAsia" w:ascii="宋体" w:hAnsi="宋体"/>
              </w:rPr>
            </w:pPr>
            <w:r>
              <w:rPr>
                <w:rFonts w:hint="eastAsia" w:ascii="SimHei" w:hAnsi="SimHei" w:eastAsia="黑体"/>
              </w:rPr>
              <w:t>发展空间(指能力的技能发展)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60" w:hRule="atLeast"/>
        </w:trPr>
        <w:tc>
          <w:tcPr>
            <w:tcW w:w="9600" w:type="dxa"/>
            <w:gridSpan w:val="2"/>
            <w:noWrap w:val="0"/>
            <w:vAlign w:val="top"/>
          </w:tcPr>
          <w:p>
            <w:pPr>
              <w:tabs>
                <w:tab w:val="left" w:pos="5200"/>
              </w:tabs>
              <w:spacing w:line="440" w:lineRule="exact"/>
              <w:jc w:val="both"/>
              <w:rPr>
                <w:rFonts w:hint="eastAsia" w:ascii="宋体" w:hAnsi="宋体"/>
              </w:rPr>
            </w:pPr>
            <w:r>
              <w:rPr>
                <w:rFonts w:hint="eastAsia" w:ascii="SimHei" w:hAnsi="SimHei" w:eastAsia="黑体"/>
              </w:rPr>
              <w:t>职业发展障碍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598" w:hRule="atLeast"/>
        </w:trPr>
        <w:tc>
          <w:tcPr>
            <w:tcW w:w="9600" w:type="dxa"/>
            <w:gridSpan w:val="2"/>
            <w:noWrap w:val="0"/>
            <w:vAlign w:val="top"/>
          </w:tcPr>
          <w:p>
            <w:pPr>
              <w:tabs>
                <w:tab w:val="left" w:pos="5200"/>
              </w:tabs>
              <w:spacing w:line="440" w:lineRule="exact"/>
              <w:jc w:val="both"/>
              <w:rPr>
                <w:rFonts w:hint="eastAsia" w:ascii="宋体" w:hAnsi="宋体"/>
              </w:rPr>
            </w:pPr>
            <w:r>
              <w:rPr>
                <w:rFonts w:hint="eastAsia" w:ascii="SimHei" w:hAnsi="SimHei" w:eastAsia="黑体"/>
              </w:rPr>
              <w:t>现职业发展计划（如何提高能力方案）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4756" w:type="dxa"/>
            <w:noWrap w:val="0"/>
            <w:vAlign w:val="top"/>
          </w:tcPr>
          <w:p>
            <w:pPr>
              <w:tabs>
                <w:tab w:val="left" w:pos="5200"/>
              </w:tabs>
              <w:spacing w:line="440" w:lineRule="exact"/>
              <w:jc w:val="both"/>
              <w:rPr>
                <w:rFonts w:hint="eastAsia" w:ascii="宋体" w:hAnsi="宋体"/>
              </w:rPr>
            </w:pPr>
            <w:r>
              <w:rPr>
                <w:rFonts w:hint="eastAsia" w:ascii="SimHei" w:hAnsi="SimHei" w:eastAsia="黑体"/>
              </w:rPr>
              <w:t>填写人：</w:t>
            </w:r>
          </w:p>
        </w:tc>
        <w:tc>
          <w:tcPr>
            <w:tcW w:w="4844" w:type="dxa"/>
            <w:noWrap w:val="0"/>
            <w:vAlign w:val="top"/>
          </w:tcPr>
          <w:p>
            <w:pPr>
              <w:tabs>
                <w:tab w:val="left" w:pos="5200"/>
              </w:tabs>
              <w:spacing w:line="440" w:lineRule="exact"/>
              <w:jc w:val="both"/>
              <w:rPr>
                <w:rFonts w:hint="eastAsia" w:ascii="宋体" w:hAnsi="宋体"/>
              </w:rPr>
            </w:pPr>
            <w:r>
              <w:rPr>
                <w:rFonts w:hint="eastAsia" w:ascii="SimHei" w:hAnsi="SimHei" w:eastAsia="黑体"/>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4756" w:type="dxa"/>
            <w:noWrap w:val="0"/>
            <w:vAlign w:val="top"/>
          </w:tcPr>
          <w:p>
            <w:pPr>
              <w:tabs>
                <w:tab w:val="left" w:pos="5200"/>
              </w:tabs>
              <w:spacing w:line="440" w:lineRule="exact"/>
              <w:jc w:val="both"/>
              <w:rPr>
                <w:rFonts w:hint="eastAsia" w:ascii="宋体" w:hAnsi="宋体"/>
              </w:rPr>
            </w:pPr>
            <w:r>
              <w:rPr>
                <w:rFonts w:hint="eastAsia" w:ascii="SimHei" w:hAnsi="SimHei" w:eastAsia="黑体"/>
              </w:rPr>
              <w:t>审核人：</w:t>
            </w:r>
          </w:p>
        </w:tc>
        <w:tc>
          <w:tcPr>
            <w:tcW w:w="4844" w:type="dxa"/>
            <w:noWrap w:val="0"/>
            <w:vAlign w:val="top"/>
          </w:tcPr>
          <w:p>
            <w:pPr>
              <w:tabs>
                <w:tab w:val="left" w:pos="5200"/>
              </w:tabs>
              <w:spacing w:line="440" w:lineRule="exact"/>
              <w:jc w:val="both"/>
              <w:rPr>
                <w:rFonts w:hint="eastAsia" w:ascii="宋体" w:hAnsi="宋体"/>
              </w:rPr>
            </w:pPr>
            <w:r>
              <w:rPr>
                <w:rFonts w:hint="eastAsia" w:ascii="SimHei" w:hAnsi="SimHei" w:eastAsia="黑体"/>
              </w:rPr>
              <w:t>日期：</w:t>
            </w:r>
          </w:p>
        </w:tc>
      </w:tr>
    </w:tbl>
    <w:p>
      <w:pPr>
        <w:tabs>
          <w:tab w:val="left" w:pos="5200"/>
        </w:tabs>
        <w:spacing w:line="440" w:lineRule="exact"/>
        <w:jc w:val="both"/>
        <w:rPr>
          <w:rFonts w:hint="eastAsia" w:ascii="宋体" w:hAnsi="宋体"/>
          <w:sz w:val="28"/>
        </w:rPr>
      </w:pPr>
      <w:r>
        <w:rPr>
          <w:rFonts w:hint="eastAsia" w:ascii="SimHei" w:hAnsi="SimHei" w:eastAsia="黑体"/>
        </w:rPr>
        <w:t>说明：本表留存人力资源部、用人部门和员工本人各一份</w:t>
      </w: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2D45"/>
    <w:multiLevelType w:val="multilevel"/>
    <w:tmpl w:val="0C362D45"/>
    <w:lvl w:ilvl="0" w:tentative="0">
      <w:start w:val="1"/>
      <w:numFmt w:val="bullet"/>
      <w:lvlText w:val=""/>
      <w:lvlJc w:val="left"/>
      <w:pPr>
        <w:tabs>
          <w:tab w:val="left" w:pos="850"/>
        </w:tabs>
        <w:ind w:left="850" w:hanging="425"/>
      </w:pPr>
      <w:rPr>
        <w:rFonts w:hint="default" w:ascii="Symbol" w:hAnsi="Symbol"/>
        <w:color w:val="auto"/>
      </w:rPr>
    </w:lvl>
    <w:lvl w:ilvl="1" w:tentative="0">
      <w:start w:val="1"/>
      <w:numFmt w:val="bullet"/>
      <w:lvlText w:val=""/>
      <w:lvlJc w:val="left"/>
      <w:pPr>
        <w:tabs>
          <w:tab w:val="left" w:pos="1205"/>
        </w:tabs>
        <w:ind w:left="902" w:hanging="57"/>
      </w:pPr>
      <w:rPr>
        <w:rFonts w:hint="default" w:ascii="Wingdings" w:hAnsi="Wingdings"/>
      </w:rPr>
    </w:lvl>
    <w:lvl w:ilvl="2" w:tentative="0">
      <w:start w:val="1"/>
      <w:numFmt w:val="bullet"/>
      <w:lvlText w:val=""/>
      <w:lvlJc w:val="left"/>
      <w:pPr>
        <w:tabs>
          <w:tab w:val="left" w:pos="1685"/>
        </w:tabs>
        <w:ind w:left="1685" w:hanging="420"/>
      </w:pPr>
      <w:rPr>
        <w:rFonts w:hint="default" w:ascii="Wingdings" w:hAnsi="Wingdings"/>
      </w:rPr>
    </w:lvl>
    <w:lvl w:ilvl="3" w:tentative="0">
      <w:start w:val="1"/>
      <w:numFmt w:val="bullet"/>
      <w:lvlText w:val=""/>
      <w:lvlJc w:val="left"/>
      <w:pPr>
        <w:tabs>
          <w:tab w:val="left" w:pos="2105"/>
        </w:tabs>
        <w:ind w:left="2105" w:hanging="420"/>
      </w:pPr>
      <w:rPr>
        <w:rFonts w:hint="default" w:ascii="Wingdings" w:hAnsi="Wingdings"/>
      </w:rPr>
    </w:lvl>
    <w:lvl w:ilvl="4" w:tentative="0">
      <w:start w:val="1"/>
      <w:numFmt w:val="bullet"/>
      <w:lvlText w:val=""/>
      <w:lvlJc w:val="left"/>
      <w:pPr>
        <w:tabs>
          <w:tab w:val="left" w:pos="2525"/>
        </w:tabs>
        <w:ind w:left="2525" w:hanging="420"/>
      </w:pPr>
      <w:rPr>
        <w:rFonts w:hint="default" w:ascii="Wingdings" w:hAnsi="Wingdings"/>
      </w:rPr>
    </w:lvl>
    <w:lvl w:ilvl="5" w:tentative="0">
      <w:start w:val="1"/>
      <w:numFmt w:val="bullet"/>
      <w:lvlText w:val=""/>
      <w:lvlJc w:val="left"/>
      <w:pPr>
        <w:tabs>
          <w:tab w:val="left" w:pos="2945"/>
        </w:tabs>
        <w:ind w:left="2945" w:hanging="420"/>
      </w:pPr>
      <w:rPr>
        <w:rFonts w:hint="default" w:ascii="Wingdings" w:hAnsi="Wingdings"/>
      </w:rPr>
    </w:lvl>
    <w:lvl w:ilvl="6" w:tentative="0">
      <w:start w:val="1"/>
      <w:numFmt w:val="bullet"/>
      <w:lvlText w:val=""/>
      <w:lvlJc w:val="left"/>
      <w:pPr>
        <w:tabs>
          <w:tab w:val="left" w:pos="3365"/>
        </w:tabs>
        <w:ind w:left="3365" w:hanging="420"/>
      </w:pPr>
      <w:rPr>
        <w:rFonts w:hint="default" w:ascii="Wingdings" w:hAnsi="Wingdings"/>
      </w:rPr>
    </w:lvl>
    <w:lvl w:ilvl="7" w:tentative="0">
      <w:start w:val="1"/>
      <w:numFmt w:val="bullet"/>
      <w:lvlText w:val=""/>
      <w:lvlJc w:val="left"/>
      <w:pPr>
        <w:tabs>
          <w:tab w:val="left" w:pos="3785"/>
        </w:tabs>
        <w:ind w:left="3785" w:hanging="420"/>
      </w:pPr>
      <w:rPr>
        <w:rFonts w:hint="default" w:ascii="Wingdings" w:hAnsi="Wingdings"/>
      </w:rPr>
    </w:lvl>
    <w:lvl w:ilvl="8" w:tentative="0">
      <w:start w:val="1"/>
      <w:numFmt w:val="bullet"/>
      <w:lvlText w:val=""/>
      <w:lvlJc w:val="left"/>
      <w:pPr>
        <w:tabs>
          <w:tab w:val="left" w:pos="4205"/>
        </w:tabs>
        <w:ind w:left="4205" w:hanging="420"/>
      </w:pPr>
      <w:rPr>
        <w:rFonts w:hint="default" w:ascii="Wingdings" w:hAnsi="Wingdings"/>
      </w:rPr>
    </w:lvl>
  </w:abstractNum>
  <w:abstractNum w:abstractNumId="1">
    <w:nsid w:val="2048299A"/>
    <w:multiLevelType w:val="multilevel"/>
    <w:tmpl w:val="2048299A"/>
    <w:lvl w:ilvl="0" w:tentative="0">
      <w:start w:val="1"/>
      <w:numFmt w:val="bullet"/>
      <w:lvlText w:val=""/>
      <w:lvlJc w:val="left"/>
      <w:pPr>
        <w:tabs>
          <w:tab w:val="left" w:pos="850"/>
        </w:tabs>
        <w:ind w:left="850" w:hanging="425"/>
      </w:pPr>
      <w:rPr>
        <w:rFonts w:hint="default" w:ascii="Symbol" w:hAnsi="Symbol"/>
        <w:color w:val="auto"/>
      </w:rPr>
    </w:lvl>
    <w:lvl w:ilvl="1" w:tentative="0">
      <w:start w:val="1"/>
      <w:numFmt w:val="bullet"/>
      <w:lvlText w:val=""/>
      <w:lvlJc w:val="left"/>
      <w:pPr>
        <w:tabs>
          <w:tab w:val="left" w:pos="1265"/>
        </w:tabs>
        <w:ind w:left="1265" w:hanging="420"/>
      </w:pPr>
      <w:rPr>
        <w:rFonts w:hint="default" w:ascii="Wingdings" w:hAnsi="Wingdings"/>
      </w:rPr>
    </w:lvl>
    <w:lvl w:ilvl="2" w:tentative="0">
      <w:start w:val="1"/>
      <w:numFmt w:val="bullet"/>
      <w:lvlText w:val=""/>
      <w:lvlJc w:val="left"/>
      <w:pPr>
        <w:tabs>
          <w:tab w:val="left" w:pos="1685"/>
        </w:tabs>
        <w:ind w:left="1685" w:hanging="420"/>
      </w:pPr>
      <w:rPr>
        <w:rFonts w:hint="default" w:ascii="Wingdings" w:hAnsi="Wingdings"/>
      </w:rPr>
    </w:lvl>
    <w:lvl w:ilvl="3" w:tentative="0">
      <w:start w:val="1"/>
      <w:numFmt w:val="bullet"/>
      <w:lvlText w:val=""/>
      <w:lvlJc w:val="left"/>
      <w:pPr>
        <w:tabs>
          <w:tab w:val="left" w:pos="2105"/>
        </w:tabs>
        <w:ind w:left="2105" w:hanging="420"/>
      </w:pPr>
      <w:rPr>
        <w:rFonts w:hint="default" w:ascii="Wingdings" w:hAnsi="Wingdings"/>
      </w:rPr>
    </w:lvl>
    <w:lvl w:ilvl="4" w:tentative="0">
      <w:start w:val="1"/>
      <w:numFmt w:val="bullet"/>
      <w:lvlText w:val=""/>
      <w:lvlJc w:val="left"/>
      <w:pPr>
        <w:tabs>
          <w:tab w:val="left" w:pos="2525"/>
        </w:tabs>
        <w:ind w:left="2525" w:hanging="420"/>
      </w:pPr>
      <w:rPr>
        <w:rFonts w:hint="default" w:ascii="Wingdings" w:hAnsi="Wingdings"/>
      </w:rPr>
    </w:lvl>
    <w:lvl w:ilvl="5" w:tentative="0">
      <w:start w:val="1"/>
      <w:numFmt w:val="bullet"/>
      <w:lvlText w:val=""/>
      <w:lvlJc w:val="left"/>
      <w:pPr>
        <w:tabs>
          <w:tab w:val="left" w:pos="2945"/>
        </w:tabs>
        <w:ind w:left="2945" w:hanging="420"/>
      </w:pPr>
      <w:rPr>
        <w:rFonts w:hint="default" w:ascii="Wingdings" w:hAnsi="Wingdings"/>
      </w:rPr>
    </w:lvl>
    <w:lvl w:ilvl="6" w:tentative="0">
      <w:start w:val="1"/>
      <w:numFmt w:val="bullet"/>
      <w:lvlText w:val=""/>
      <w:lvlJc w:val="left"/>
      <w:pPr>
        <w:tabs>
          <w:tab w:val="left" w:pos="3365"/>
        </w:tabs>
        <w:ind w:left="3365" w:hanging="420"/>
      </w:pPr>
      <w:rPr>
        <w:rFonts w:hint="default" w:ascii="Wingdings" w:hAnsi="Wingdings"/>
      </w:rPr>
    </w:lvl>
    <w:lvl w:ilvl="7" w:tentative="0">
      <w:start w:val="1"/>
      <w:numFmt w:val="bullet"/>
      <w:lvlText w:val=""/>
      <w:lvlJc w:val="left"/>
      <w:pPr>
        <w:tabs>
          <w:tab w:val="left" w:pos="3785"/>
        </w:tabs>
        <w:ind w:left="3785" w:hanging="420"/>
      </w:pPr>
      <w:rPr>
        <w:rFonts w:hint="default" w:ascii="Wingdings" w:hAnsi="Wingdings"/>
      </w:rPr>
    </w:lvl>
    <w:lvl w:ilvl="8" w:tentative="0">
      <w:start w:val="1"/>
      <w:numFmt w:val="bullet"/>
      <w:lvlText w:val=""/>
      <w:lvlJc w:val="left"/>
      <w:pPr>
        <w:tabs>
          <w:tab w:val="left" w:pos="4205"/>
        </w:tabs>
        <w:ind w:left="4205" w:hanging="420"/>
      </w:pPr>
      <w:rPr>
        <w:rFonts w:hint="default" w:ascii="Wingdings" w:hAnsi="Wingdings"/>
      </w:rPr>
    </w:lvl>
  </w:abstractNum>
  <w:abstractNum w:abstractNumId="2">
    <w:nsid w:val="4D807E59"/>
    <w:multiLevelType w:val="multilevel"/>
    <w:tmpl w:val="4D807E59"/>
    <w:lvl w:ilvl="0" w:tentative="0">
      <w:start w:val="1"/>
      <w:numFmt w:val="bullet"/>
      <w:lvlText w:val=""/>
      <w:lvlJc w:val="left"/>
      <w:pPr>
        <w:tabs>
          <w:tab w:val="left" w:pos="950"/>
        </w:tabs>
        <w:ind w:left="950" w:hanging="425"/>
      </w:pPr>
      <w:rPr>
        <w:rFonts w:hint="default" w:ascii="Symbol" w:hAnsi="Symbol"/>
        <w:color w:val="auto"/>
      </w:rPr>
    </w:lvl>
    <w:lvl w:ilvl="1" w:tentative="0">
      <w:start w:val="1"/>
      <w:numFmt w:val="bullet"/>
      <w:lvlText w:val=""/>
      <w:lvlJc w:val="left"/>
      <w:pPr>
        <w:tabs>
          <w:tab w:val="left" w:pos="1365"/>
        </w:tabs>
        <w:ind w:left="1365" w:hanging="420"/>
      </w:pPr>
      <w:rPr>
        <w:rFonts w:hint="default" w:ascii="Wingdings" w:hAnsi="Wingdings"/>
      </w:rPr>
    </w:lvl>
    <w:lvl w:ilvl="2" w:tentative="0">
      <w:start w:val="1"/>
      <w:numFmt w:val="bullet"/>
      <w:lvlText w:val=""/>
      <w:lvlJc w:val="left"/>
      <w:pPr>
        <w:tabs>
          <w:tab w:val="left" w:pos="1785"/>
        </w:tabs>
        <w:ind w:left="1785" w:hanging="420"/>
      </w:pPr>
      <w:rPr>
        <w:rFonts w:hint="default" w:ascii="Wingdings" w:hAnsi="Wingdings"/>
      </w:rPr>
    </w:lvl>
    <w:lvl w:ilvl="3" w:tentative="0">
      <w:start w:val="1"/>
      <w:numFmt w:val="bullet"/>
      <w:lvlText w:val=""/>
      <w:lvlJc w:val="left"/>
      <w:pPr>
        <w:tabs>
          <w:tab w:val="left" w:pos="2205"/>
        </w:tabs>
        <w:ind w:left="2205" w:hanging="420"/>
      </w:pPr>
      <w:rPr>
        <w:rFonts w:hint="default" w:ascii="Wingdings" w:hAnsi="Wingdings"/>
      </w:rPr>
    </w:lvl>
    <w:lvl w:ilvl="4" w:tentative="0">
      <w:start w:val="1"/>
      <w:numFmt w:val="bullet"/>
      <w:lvlText w:val=""/>
      <w:lvlJc w:val="left"/>
      <w:pPr>
        <w:tabs>
          <w:tab w:val="left" w:pos="2625"/>
        </w:tabs>
        <w:ind w:left="2625" w:hanging="420"/>
      </w:pPr>
      <w:rPr>
        <w:rFonts w:hint="default" w:ascii="Wingdings" w:hAnsi="Wingdings"/>
      </w:rPr>
    </w:lvl>
    <w:lvl w:ilvl="5" w:tentative="0">
      <w:start w:val="1"/>
      <w:numFmt w:val="bullet"/>
      <w:lvlText w:val=""/>
      <w:lvlJc w:val="left"/>
      <w:pPr>
        <w:tabs>
          <w:tab w:val="left" w:pos="3045"/>
        </w:tabs>
        <w:ind w:left="3045" w:hanging="420"/>
      </w:pPr>
      <w:rPr>
        <w:rFonts w:hint="default" w:ascii="Wingdings" w:hAnsi="Wingdings"/>
      </w:rPr>
    </w:lvl>
    <w:lvl w:ilvl="6" w:tentative="0">
      <w:start w:val="1"/>
      <w:numFmt w:val="bullet"/>
      <w:lvlText w:val=""/>
      <w:lvlJc w:val="left"/>
      <w:pPr>
        <w:tabs>
          <w:tab w:val="left" w:pos="3465"/>
        </w:tabs>
        <w:ind w:left="3465" w:hanging="420"/>
      </w:pPr>
      <w:rPr>
        <w:rFonts w:hint="default" w:ascii="Wingdings" w:hAnsi="Wingdings"/>
      </w:rPr>
    </w:lvl>
    <w:lvl w:ilvl="7" w:tentative="0">
      <w:start w:val="1"/>
      <w:numFmt w:val="bullet"/>
      <w:lvlText w:val=""/>
      <w:lvlJc w:val="left"/>
      <w:pPr>
        <w:tabs>
          <w:tab w:val="left" w:pos="3885"/>
        </w:tabs>
        <w:ind w:left="3885" w:hanging="420"/>
      </w:pPr>
      <w:rPr>
        <w:rFonts w:hint="default" w:ascii="Wingdings" w:hAnsi="Wingdings"/>
      </w:rPr>
    </w:lvl>
    <w:lvl w:ilvl="8" w:tentative="0">
      <w:start w:val="1"/>
      <w:numFmt w:val="bullet"/>
      <w:lvlText w:val=""/>
      <w:lvlJc w:val="left"/>
      <w:pPr>
        <w:tabs>
          <w:tab w:val="left" w:pos="4305"/>
        </w:tabs>
        <w:ind w:left="4305" w:hanging="420"/>
      </w:pPr>
      <w:rPr>
        <w:rFonts w:hint="default" w:ascii="Wingdings" w:hAnsi="Wingdings"/>
      </w:rPr>
    </w:lvl>
  </w:abstractNum>
  <w:abstractNum w:abstractNumId="3">
    <w:nsid w:val="5A1B184F"/>
    <w:multiLevelType w:val="multilevel"/>
    <w:tmpl w:val="5A1B184F"/>
    <w:lvl w:ilvl="0" w:tentative="0">
      <w:start w:val="1"/>
      <w:numFmt w:val="chineseCountingThousand"/>
      <w:lvlText w:val="第%1条."/>
      <w:lvlJc w:val="left"/>
      <w:pPr>
        <w:tabs>
          <w:tab w:val="left" w:pos="833"/>
        </w:tabs>
        <w:ind w:left="284" w:hanging="171"/>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B1B527E"/>
    <w:multiLevelType w:val="singleLevel"/>
    <w:tmpl w:val="5B1B527E"/>
    <w:lvl w:ilvl="0" w:tentative="0">
      <w:start w:val="1"/>
      <w:numFmt w:val="bullet"/>
      <w:lvlText w:val=""/>
      <w:lvlJc w:val="left"/>
      <w:pPr>
        <w:tabs>
          <w:tab w:val="left" w:pos="425"/>
        </w:tabs>
        <w:ind w:left="425" w:hanging="425"/>
      </w:pPr>
      <w:rPr>
        <w:rFonts w:hint="default" w:ascii="Symbol" w:hAnsi="Symbol"/>
        <w:color w:val="auto"/>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hyphenationZone w:val="360"/>
  <w:drawingGridHorizontalSpacing w:val="120"/>
  <w:drawingGridVerticalSpacing w:val="163"/>
  <w:displayHorizontalDrawingGridEvery w:val="0"/>
  <w:displayVerticalDrawingGridEvery w:val="2"/>
  <w:noPunctuationKerning w:val="1"/>
  <w:characterSpacingControl w:val="doNotCompress"/>
  <w:compat>
    <w:useFELayout/>
    <w:underlineTabInNumLis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FE5"/>
    <w:rsid w:val="00086F1A"/>
    <w:rsid w:val="000C4D17"/>
    <w:rsid w:val="000F62CC"/>
    <w:rsid w:val="00112A43"/>
    <w:rsid w:val="0018580F"/>
    <w:rsid w:val="001B1F66"/>
    <w:rsid w:val="001C2769"/>
    <w:rsid w:val="002B76F1"/>
    <w:rsid w:val="00372091"/>
    <w:rsid w:val="00375069"/>
    <w:rsid w:val="00375F3A"/>
    <w:rsid w:val="003D389C"/>
    <w:rsid w:val="004C60C1"/>
    <w:rsid w:val="004D4479"/>
    <w:rsid w:val="00517E12"/>
    <w:rsid w:val="00566719"/>
    <w:rsid w:val="006B40A6"/>
    <w:rsid w:val="006C2568"/>
    <w:rsid w:val="007A6359"/>
    <w:rsid w:val="0084273F"/>
    <w:rsid w:val="00842A18"/>
    <w:rsid w:val="00882BC1"/>
    <w:rsid w:val="009821BF"/>
    <w:rsid w:val="009851EF"/>
    <w:rsid w:val="009E465F"/>
    <w:rsid w:val="00A279B7"/>
    <w:rsid w:val="00A46CC5"/>
    <w:rsid w:val="00A67171"/>
    <w:rsid w:val="00FA0B0A"/>
    <w:rsid w:val="00FF4FE5"/>
    <w:rsid w:val="013350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nhideWhenUsed="0" w:uiPriority="0" w:name="endnote reference"/>
    <w:lsdException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nhideWhenUsed="0" w:uiPriority="0"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name="Body Text Indent 2"/>
    <w:lsdException w:uiPriority="99" w:name="Body Text Indent 3"/>
    <w:lsdException w:uiPriority="99" w:name="Block Text"/>
    <w:lsdException w:unhideWhenUsed="0" w:uiPriority="0" w:name="Hyperlink"/>
    <w:lsdException w:unhideWhenUsed="0" w:uiPriority="0"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4"/>
      <w:lang w:val="en-US" w:eastAsia="zh-CN" w:bidi="ar-SA"/>
    </w:rPr>
  </w:style>
  <w:style w:type="paragraph" w:styleId="2">
    <w:name w:val="heading 1"/>
    <w:basedOn w:val="1"/>
    <w:next w:val="1"/>
    <w:qFormat/>
    <w:uiPriority w:val="0"/>
    <w:pPr>
      <w:keepNext/>
      <w:keepLines/>
      <w:spacing w:before="120" w:after="120" w:line="578" w:lineRule="auto"/>
      <w:outlineLvl w:val="0"/>
    </w:pPr>
    <w:rPr>
      <w:bCs/>
      <w:kern w:val="44"/>
      <w:sz w:val="30"/>
      <w:szCs w:val="44"/>
    </w:rPr>
  </w:style>
  <w:style w:type="paragraph" w:styleId="3">
    <w:name w:val="heading 2"/>
    <w:basedOn w:val="1"/>
    <w:next w:val="4"/>
    <w:link w:val="34"/>
    <w:qFormat/>
    <w:uiPriority w:val="9"/>
    <w:pPr>
      <w:keepNext/>
      <w:keepLines/>
      <w:widowControl w:val="0"/>
      <w:spacing w:before="100" w:after="100" w:line="360" w:lineRule="auto"/>
      <w:jc w:val="both"/>
      <w:outlineLvl w:val="1"/>
    </w:pPr>
    <w:rPr>
      <w:rFonts w:ascii="宋体" w:hAnsi="宋体"/>
      <w:kern w:val="2"/>
      <w:sz w:val="28"/>
    </w:rPr>
  </w:style>
  <w:style w:type="paragraph" w:styleId="5">
    <w:name w:val="heading 3"/>
    <w:basedOn w:val="1"/>
    <w:next w:val="4"/>
    <w:qFormat/>
    <w:uiPriority w:val="0"/>
    <w:pPr>
      <w:keepNext/>
      <w:keepLines/>
      <w:widowControl w:val="0"/>
      <w:spacing w:before="260" w:after="120" w:line="415" w:lineRule="auto"/>
      <w:jc w:val="both"/>
      <w:outlineLvl w:val="2"/>
    </w:pPr>
    <w:rPr>
      <w:kern w:val="2"/>
    </w:rPr>
  </w:style>
  <w:style w:type="paragraph" w:styleId="6">
    <w:name w:val="heading 4"/>
    <w:basedOn w:val="1"/>
    <w:next w:val="4"/>
    <w:qFormat/>
    <w:uiPriority w:val="0"/>
    <w:pPr>
      <w:keepNext/>
      <w:keepLines/>
      <w:spacing w:before="280" w:after="290" w:line="376" w:lineRule="auto"/>
      <w:outlineLvl w:val="3"/>
    </w:pPr>
    <w:rPr>
      <w:rFonts w:ascii="Arial" w:hAnsi="Arial" w:eastAsia="黑体"/>
      <w:b/>
      <w:sz w:val="28"/>
    </w:rPr>
  </w:style>
  <w:style w:type="character" w:default="1" w:styleId="25">
    <w:name w:val="Default Paragraph Font"/>
    <w:semiHidden/>
    <w:uiPriority w:val="0"/>
  </w:style>
  <w:style w:type="table" w:default="1" w:styleId="24">
    <w:name w:val="Normal Table"/>
    <w:semiHidden/>
    <w:unhideWhenUsed/>
    <w:uiPriority w:val="99"/>
    <w:tblPr>
      <w:tblStyle w:val="24"/>
      <w:tblCellMar>
        <w:top w:w="0" w:type="dxa"/>
        <w:left w:w="108" w:type="dxa"/>
        <w:bottom w:w="0" w:type="dxa"/>
        <w:right w:w="108" w:type="dxa"/>
      </w:tblCellMar>
    </w:tblPr>
    <w:trPr>
      <w:wBefore w:w="0" w:type="dxa"/>
    </w:trPr>
  </w:style>
  <w:style w:type="paragraph" w:styleId="4">
    <w:name w:val="Normal Indent"/>
    <w:basedOn w:val="1"/>
    <w:semiHidden/>
    <w:uiPriority w:val="0"/>
    <w:pPr>
      <w:spacing w:after="50" w:afterLines="50" w:line="312" w:lineRule="atLeast"/>
    </w:pPr>
    <w:rPr>
      <w:rFonts w:ascii="宋体"/>
      <w:sz w:val="21"/>
    </w:rPr>
  </w:style>
  <w:style w:type="paragraph" w:styleId="7">
    <w:name w:val="toc 7"/>
    <w:basedOn w:val="1"/>
    <w:next w:val="1"/>
    <w:semiHidden/>
    <w:uiPriority w:val="0"/>
    <w:pPr>
      <w:ind w:left="1440"/>
    </w:pPr>
    <w:rPr>
      <w:szCs w:val="21"/>
    </w:rPr>
  </w:style>
  <w:style w:type="paragraph" w:styleId="8">
    <w:name w:val="Document Map"/>
    <w:basedOn w:val="1"/>
    <w:semiHidden/>
    <w:uiPriority w:val="0"/>
    <w:pPr>
      <w:shd w:val="clear" w:color="auto" w:fill="000080"/>
    </w:pPr>
  </w:style>
  <w:style w:type="paragraph" w:styleId="9">
    <w:name w:val="Body Text"/>
    <w:basedOn w:val="1"/>
    <w:semiHidden/>
    <w:uiPriority w:val="0"/>
    <w:rPr>
      <w:sz w:val="18"/>
      <w:lang w:eastAsia="zh-CN"/>
    </w:rPr>
  </w:style>
  <w:style w:type="paragraph" w:styleId="10">
    <w:name w:val="Body Text Indent"/>
    <w:basedOn w:val="1"/>
    <w:semiHidden/>
    <w:uiPriority w:val="0"/>
    <w:pPr>
      <w:spacing w:before="60" w:after="60" w:line="360" w:lineRule="auto"/>
      <w:ind w:firstLine="539"/>
    </w:pPr>
    <w:rPr>
      <w:rFonts w:ascii="宋体"/>
      <w:sz w:val="21"/>
    </w:rPr>
  </w:style>
  <w:style w:type="paragraph" w:styleId="11">
    <w:name w:val="toc 5"/>
    <w:basedOn w:val="1"/>
    <w:next w:val="1"/>
    <w:semiHidden/>
    <w:uiPriority w:val="0"/>
    <w:pPr>
      <w:ind w:left="960"/>
    </w:pPr>
    <w:rPr>
      <w:szCs w:val="21"/>
    </w:rPr>
  </w:style>
  <w:style w:type="paragraph" w:styleId="12">
    <w:name w:val="toc 3"/>
    <w:basedOn w:val="1"/>
    <w:next w:val="1"/>
    <w:semiHidden/>
    <w:uiPriority w:val="0"/>
    <w:pPr>
      <w:ind w:left="480"/>
    </w:pPr>
    <w:rPr>
      <w:iCs/>
      <w:sz w:val="21"/>
      <w:szCs w:val="24"/>
    </w:rPr>
  </w:style>
  <w:style w:type="paragraph" w:styleId="13">
    <w:name w:val="toc 8"/>
    <w:basedOn w:val="1"/>
    <w:next w:val="1"/>
    <w:semiHidden/>
    <w:uiPriority w:val="0"/>
    <w:pPr>
      <w:ind w:left="1680"/>
    </w:pPr>
    <w:rPr>
      <w:szCs w:val="21"/>
    </w:rPr>
  </w:style>
  <w:style w:type="paragraph" w:styleId="14">
    <w:name w:val="Body Text Indent 2"/>
    <w:basedOn w:val="1"/>
    <w:semiHidden/>
    <w:uiPriority w:val="0"/>
    <w:pPr>
      <w:widowControl w:val="0"/>
      <w:ind w:firstLine="540"/>
      <w:jc w:val="both"/>
    </w:pPr>
    <w:rPr>
      <w:kern w:val="2"/>
      <w:lang w:eastAsia="zh-CN"/>
    </w:rPr>
  </w:style>
  <w:style w:type="paragraph" w:styleId="15">
    <w:name w:val="endnote text"/>
    <w:basedOn w:val="1"/>
    <w:semiHidden/>
    <w:uiPriority w:val="0"/>
    <w:pPr>
      <w:snapToGrid w:val="0"/>
    </w:pPr>
  </w:style>
  <w:style w:type="paragraph" w:styleId="16">
    <w:name w:val="footer"/>
    <w:basedOn w:val="1"/>
    <w:link w:val="33"/>
    <w:unhideWhenUsed/>
    <w:uiPriority w:val="99"/>
    <w:pPr>
      <w:tabs>
        <w:tab w:val="center" w:pos="4153"/>
        <w:tab w:val="right" w:pos="8306"/>
      </w:tabs>
      <w:snapToGrid w:val="0"/>
    </w:pPr>
    <w:rPr>
      <w:sz w:val="18"/>
      <w:szCs w:val="18"/>
    </w:rPr>
  </w:style>
  <w:style w:type="paragraph" w:styleId="17">
    <w:name w:val="header"/>
    <w:basedOn w:val="1"/>
    <w:link w:val="32"/>
    <w:unhideWhenUsed/>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uiPriority w:val="0"/>
    <w:pPr>
      <w:spacing w:before="120" w:after="120"/>
    </w:pPr>
    <w:rPr>
      <w:b/>
      <w:bCs/>
      <w:caps/>
      <w:sz w:val="28"/>
      <w:szCs w:val="24"/>
    </w:rPr>
  </w:style>
  <w:style w:type="paragraph" w:styleId="19">
    <w:name w:val="toc 4"/>
    <w:basedOn w:val="1"/>
    <w:next w:val="1"/>
    <w:semiHidden/>
    <w:uiPriority w:val="0"/>
    <w:pPr>
      <w:ind w:left="720"/>
    </w:pPr>
    <w:rPr>
      <w:szCs w:val="21"/>
    </w:rPr>
  </w:style>
  <w:style w:type="paragraph" w:styleId="20">
    <w:name w:val="toc 6"/>
    <w:basedOn w:val="1"/>
    <w:next w:val="1"/>
    <w:semiHidden/>
    <w:uiPriority w:val="0"/>
    <w:pPr>
      <w:ind w:left="1200"/>
    </w:pPr>
    <w:rPr>
      <w:szCs w:val="21"/>
    </w:rPr>
  </w:style>
  <w:style w:type="paragraph" w:styleId="21">
    <w:name w:val="toc 2"/>
    <w:basedOn w:val="1"/>
    <w:next w:val="1"/>
    <w:semiHidden/>
    <w:uiPriority w:val="0"/>
    <w:pPr>
      <w:ind w:left="240"/>
    </w:pPr>
    <w:rPr>
      <w:smallCaps/>
      <w:szCs w:val="24"/>
    </w:rPr>
  </w:style>
  <w:style w:type="paragraph" w:styleId="22">
    <w:name w:val="toc 9"/>
    <w:basedOn w:val="1"/>
    <w:next w:val="1"/>
    <w:semiHidden/>
    <w:uiPriority w:val="0"/>
    <w:pPr>
      <w:ind w:left="1920"/>
    </w:pPr>
    <w:rPr>
      <w:szCs w:val="21"/>
    </w:rPr>
  </w:style>
  <w:style w:type="paragraph" w:styleId="23">
    <w:name w:val="Normal (Web)"/>
    <w:basedOn w:val="1"/>
    <w:semiHidden/>
    <w:unhideWhenUsed/>
    <w:uiPriority w:val="99"/>
    <w:pPr>
      <w:spacing w:before="100" w:beforeAutospacing="1" w:after="100" w:afterAutospacing="1"/>
    </w:pPr>
    <w:rPr>
      <w:rFonts w:ascii="宋体" w:hAnsi="宋体" w:cs="宋体"/>
      <w:szCs w:val="24"/>
    </w:rPr>
  </w:style>
  <w:style w:type="character" w:styleId="26">
    <w:name w:val="endnote reference"/>
    <w:semiHidden/>
    <w:uiPriority w:val="0"/>
    <w:rPr>
      <w:vertAlign w:val="superscript"/>
    </w:rPr>
  </w:style>
  <w:style w:type="character" w:styleId="27">
    <w:name w:val="page number"/>
    <w:basedOn w:val="25"/>
    <w:semiHidden/>
    <w:uiPriority w:val="0"/>
  </w:style>
  <w:style w:type="character" w:styleId="28">
    <w:name w:val="FollowedHyperlink"/>
    <w:semiHidden/>
    <w:uiPriority w:val="0"/>
    <w:rPr>
      <w:color w:val="800080"/>
      <w:u w:val="single"/>
    </w:rPr>
  </w:style>
  <w:style w:type="character" w:styleId="29">
    <w:name w:val="Hyperlink"/>
    <w:semiHidden/>
    <w:uiPriority w:val="0"/>
    <w:rPr>
      <w:color w:val="0000FF"/>
      <w:u w:val="single"/>
    </w:rPr>
  </w:style>
  <w:style w:type="paragraph" w:customStyle="1" w:styleId="30">
    <w:name w:val="标题4"/>
    <w:basedOn w:val="6"/>
    <w:uiPriority w:val="0"/>
    <w:pPr>
      <w:spacing w:before="360" w:line="415" w:lineRule="auto"/>
      <w:ind w:left="397"/>
    </w:pPr>
    <w:rPr>
      <w:rFonts w:eastAsia="宋体"/>
    </w:rPr>
  </w:style>
  <w:style w:type="paragraph" w:customStyle="1" w:styleId="31">
    <w:name w:val="样式"/>
    <w:uiPriority w:val="0"/>
    <w:pPr>
      <w:widowControl w:val="0"/>
      <w:autoSpaceDE w:val="0"/>
      <w:autoSpaceDN w:val="0"/>
      <w:adjustRightInd w:val="0"/>
      <w:textAlignment w:val="baseline"/>
    </w:pPr>
    <w:rPr>
      <w:rFonts w:ascii="宋体"/>
      <w:lang w:val="en-US" w:eastAsia="zh-CN" w:bidi="ar-SA"/>
    </w:rPr>
  </w:style>
  <w:style w:type="character" w:customStyle="1" w:styleId="32">
    <w:name w:val="页眉 Char"/>
    <w:link w:val="17"/>
    <w:uiPriority w:val="99"/>
    <w:rPr>
      <w:sz w:val="18"/>
      <w:szCs w:val="18"/>
    </w:rPr>
  </w:style>
  <w:style w:type="character" w:customStyle="1" w:styleId="33">
    <w:name w:val="页脚 Char"/>
    <w:link w:val="16"/>
    <w:uiPriority w:val="99"/>
    <w:rPr>
      <w:sz w:val="18"/>
      <w:szCs w:val="18"/>
    </w:rPr>
  </w:style>
  <w:style w:type="character" w:customStyle="1" w:styleId="34">
    <w:name w:val="标题 2 Char"/>
    <w:link w:val="3"/>
    <w:uiPriority w:val="9"/>
    <w:rPr>
      <w:rFonts w:ascii="宋体" w:hAnsi="宋体"/>
      <w:kern w:val="2"/>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  </Manager>
  <Company>  </Company>
  <Pages>18</Pages>
  <Words>1826</Words>
  <Characters>10411</Characters>
  <Lines>86</Lines>
  <Paragraphs>24</Paragraphs>
  <TotalTime>0</TotalTime>
  <ScaleCrop>false</ScaleCrop>
  <LinksUpToDate>false</LinksUpToDate>
  <CharactersWithSpaces>12213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  </cp:category>
  <dcterms:created xsi:type="dcterms:W3CDTF">2019-03-26T13:47:00Z</dcterms:created>
  <dc:creator>tbk</dc:creator>
  <dc:description>  </dc:description>
  <cp:keywords>  </cp:keywords>
  <cp:lastModifiedBy>kingsoft</cp:lastModifiedBy>
  <cp:lastPrinted>2002-08-01T00:31:00Z</cp:lastPrinted>
  <dcterms:modified xsi:type="dcterms:W3CDTF">2020-05-27T07:26:37Z</dcterms:modified>
  <dc:subject>  </dc:subject>
  <dc:title>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TemplateUUID">
    <vt:lpwstr>v1.0_mb_5gZbpwL/ePJPis2PVS/hYw==</vt:lpwstr>
  </property>
</Properties>
</file>