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984"/>
        <w:rPr>
          <w:lang w:val="en-US" w:eastAsia="en-US"/>
        </w:rPr>
      </w:pPr>
      <w:r>
        <w:rPr>
          <w:rFonts w:ascii="SimHei" w:hAnsi="SimHei" w:eastAsia="黑体"/>
          <w:lang w:val="en-US" w:eastAsia="en-US"/>
        </w:rPr>
      </w: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rFonts w:ascii="微软雅黑" w:hAnsi="微软雅黑" w:eastAsia="微软雅黑" w:cs="微软雅黑"/>
          <w:szCs w:val="21"/>
          <w:lang w:val="en-US" w:eastAsia="en-US"/>
        </w:rPr>
      </w:pPr>
      <w:r>
        <w:rPr>
          <w:rFonts w:eastAsia="黑体" w:cs="微软雅黑" w:ascii="SimHei" w:hAnsi="SimHei"/>
          <w:szCs w:val="21"/>
          <w:lang w:val="en-US" w:eastAsia="en-US"/>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05"/>
        <w:jc w:val="center"/>
        <w:rPr>
          <w:rFonts w:ascii="黑体;SimHei" w:hAnsi="黑体;SimHei" w:eastAsia="黑体;SimHei" w:cs="黑体;SimHei"/>
          <w:b/>
          <w:b/>
          <w:bCs/>
          <w:color w:val="0070C0"/>
          <w:sz w:val="32"/>
          <w:szCs w:val="32"/>
          <w:lang w:val="en-US" w:eastAsia="en-US"/>
        </w:rPr>
      </w:pPr>
      <w:r>
        <w:rPr>
          <w:rFonts w:eastAsia="黑体" w:cs="黑体;SimHei" w:ascii="SimHei" w:hAnsi="SimHei"/>
          <w:b/>
          <w:bCs/>
          <w:color w:val="0070C0"/>
          <w:sz w:val="32"/>
          <w:szCs w:val="32"/>
          <w:lang w:val="en-US" w:eastAsia="en-US"/>
        </w:rPr>
      </w:r>
      <w:r>
        <w:rPr>
          <w:rFonts w:ascii="SimHei" w:hAnsi="SimHei" w:eastAsia="黑体"/>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05"/>
        <w:jc w:val="center"/>
        <w:rPr>
          <w:rFonts w:ascii="黑体;SimHei" w:hAnsi="黑体;SimHei" w:eastAsia="黑体;SimHei" w:cs="黑体;SimHei"/>
          <w:b/>
          <w:b/>
          <w:bCs/>
          <w:color w:val="0070C0"/>
          <w:sz w:val="32"/>
          <w:szCs w:val="32"/>
          <w:lang w:val="en-US" w:eastAsia="en-US"/>
        </w:rPr>
      </w:pPr>
      <w:r>
        <w:rPr>
          <w:rFonts w:eastAsia="黑体" w:cs="黑体;SimHei" w:ascii="SimHei" w:hAnsi="SimHei"/>
          <w:b/>
          <w:bCs/>
          <w:color w:val="0070C0"/>
          <w:sz w:val="32"/>
          <w:szCs w:val="32"/>
          <w:lang w:val="en-US" w:eastAsia="en-US"/>
        </w:rPr>
      </w:r>
      <w:r>
        <w:rPr>
          <w:rFonts w:ascii="SimHei" w:hAnsi="SimHei" w:eastAsia="黑体"/>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lang w:val="en-US" w:eastAsia="en-US"/>
        </w:rPr>
      </w:pPr>
      <w:r>
        <w:rPr>
          <w:rFonts w:eastAsia="黑体" w:cs="黑体;SimHei" w:ascii="SimHei" w:hAnsi="SimHei"/>
          <w:b/>
          <w:bCs/>
          <w:color w:val="0070C0"/>
          <w:sz w:val="32"/>
          <w:szCs w:val="32"/>
          <w:lang w:val="en-US" w:eastAsia="en-US"/>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tabs>
          <w:tab w:val="clear" w:pos="420"/>
          <w:tab w:val="center" w:pos="4293" w:leader="none"/>
          <w:tab w:val="right" w:pos="8426" w:leader="none"/>
        </w:tabs>
        <w:spacing w:lineRule="exact" w:line="240"/>
        <w:ind w:firstLine="161"/>
        <w:jc w:val="start"/>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tab/>
      </w:r>
      <w:r>
        <w:rPr>
          <w:rFonts w:ascii="SimHei" w:hAnsi="SimHei" w:eastAsia="黑体"/>
        </w:rPr>
      </w:r>
      <w:r>
        <w:rPr>
          <w:rFonts w:eastAsia="黑体" w:cs="黑体;SimHei" w:ascii="SimHei" w:hAnsi="SimHei"/>
          <w:b/>
          <w:bCs/>
          <w:color w:val="0070C0"/>
          <w:sz w:val="32"/>
          <w:szCs w:val="32"/>
        </w:rPr>
        <w:tab/>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240"/>
        <w:ind w:firstLine="161"/>
        <w:jc w:val="center"/>
        <w:rPr>
          <w:rFonts w:ascii="黑体;SimHei" w:hAnsi="黑体;SimHei" w:eastAsia="黑体;SimHei" w:cs="黑体;SimHei"/>
          <w:b/>
          <w:b/>
          <w:bCs/>
          <w:color w:val="0070C0"/>
          <w:sz w:val="32"/>
          <w:szCs w:val="32"/>
        </w:rPr>
      </w:pPr>
      <w:r>
        <w:rPr>
          <w:rFonts w:eastAsia="黑体" w:cs="黑体;SimHei" w:ascii="SimHei" w:hAnsi="SimHei"/>
          <w:b/>
          <w:bCs/>
          <w:color w:val="0070C0"/>
          <w:sz w:val="32"/>
          <w:szCs w:val="32"/>
        </w:rPr>
      </w:r>
    </w:p>
    <w:p>
      <w:pPr>
        <w:pStyle w:val="Normal"/>
        <w:spacing w:lineRule="exact" w:line="500"/>
        <w:jc w:val="center"/>
        <w:rPr>
          <w:rFonts w:ascii="微软雅黑" w:hAnsi="微软雅黑" w:eastAsia="微软雅黑" w:cs="微软雅黑"/>
          <w:b/>
          <w:b/>
          <w:bCs/>
          <w:color w:val="0808B8"/>
          <w:sz w:val="48"/>
          <w:szCs w:val="48"/>
        </w:rPr>
      </w:pPr>
      <w:r>
        <w:rPr>
          <w:rFonts w:ascii="SimHei" w:hAnsi="SimHei" w:cs="微软雅黑" w:eastAsia="黑体"/>
          <w:b/>
          <w:bCs/>
          <w:color w:val="0808B8"/>
          <w:sz w:val="48"/>
          <w:szCs w:val="48"/>
        </w:rPr>
        <w:t>员工手册（范本）</w:t>
      </w:r>
    </w:p>
    <w:p>
      <w:pPr>
        <w:pStyle w:val="Normal"/>
        <w:spacing w:lineRule="exact" w:line="500"/>
        <w:jc w:val="center"/>
        <w:rPr>
          <w:sz w:val="24"/>
        </w:rPr>
      </w:pPr>
      <w:r>
        <w:rPr>
          <w:rFonts w:ascii="SimHei" w:hAnsi="SimHei" w:eastAsia="黑体"/>
          <w:sz w:val="24"/>
        </w:rPr>
        <w:t>编制：北京未名潮管理案例研究中心</w:t>
      </w:r>
    </w:p>
    <w:p>
      <w:pPr>
        <w:pStyle w:val="Normal"/>
        <w:spacing w:lineRule="exact" w:line="500"/>
        <w:jc w:val="center"/>
        <w:rPr>
          <w:sz w:val="24"/>
        </w:rPr>
      </w:pPr>
      <w:r>
        <w:rPr>
          <w:rFonts w:ascii="SimHei" w:hAnsi="SimHei" w:eastAsia="黑体"/>
          <w:sz w:val="24"/>
        </w:rPr>
        <w:t>2015</w:t>
      </w:r>
      <w:r>
        <w:rPr>
          <w:rFonts w:ascii="SimHei" w:hAnsi="SimHei" w:eastAsia="黑体"/>
          <w:sz w:val="24"/>
        </w:rPr>
        <w:t>年</w:t>
      </w:r>
      <w:r>
        <w:rPr>
          <w:rFonts w:ascii="SimHei" w:hAnsi="SimHei" w:eastAsia="黑体"/>
          <w:sz w:val="24"/>
        </w:rPr>
        <w:t>5</w:t>
      </w:r>
      <w:r>
        <w:rPr>
          <w:rFonts w:ascii="SimHei" w:hAnsi="SimHei" w:eastAsia="黑体"/>
          <w:sz w:val="24"/>
        </w:rPr>
        <w:t>月</w:t>
      </w:r>
    </w:p>
    <w:p>
      <w:pPr>
        <w:pStyle w:val="Normal"/>
        <w:spacing w:lineRule="exact" w:line="500"/>
        <w:rPr>
          <w:rFonts w:ascii="微软雅黑" w:hAnsi="微软雅黑" w:eastAsia="微软雅黑" w:cs="微软雅黑"/>
          <w:sz w:val="24"/>
        </w:rPr>
      </w:pPr>
      <w:r>
        <w:rPr>
          <w:rFonts w:eastAsia="黑体" w:cs="微软雅黑" w:ascii="SimHei" w:hAnsi="SimHei"/>
          <w:sz w:val="24"/>
        </w:rPr>
      </w:r>
    </w:p>
    <w:p>
      <w:pPr>
        <w:pStyle w:val="Normal"/>
        <w:spacing w:lineRule="exact" w:line="500"/>
        <w:rPr/>
      </w:pPr>
      <w:r>
        <w:rPr>
          <w:rFonts w:ascii="SimHei" w:hAnsi="SimHei" w:cs="微软雅黑" w:eastAsia="黑体"/>
          <w:sz w:val="24"/>
        </w:rPr>
        <w:t>说明：本手册内容严格按照员工手册内容清单进行了核查，同时参照了</w:t>
      </w:r>
      <w:r>
        <w:rPr>
          <w:rFonts w:eastAsia="黑体" w:cs="微软雅黑" w:ascii="SimHei" w:hAnsi="SimHei"/>
          <w:sz w:val="24"/>
        </w:rPr>
        <w:t>100</w:t>
      </w:r>
      <w:r>
        <w:rPr>
          <w:rFonts w:ascii="SimHei" w:hAnsi="SimHei" w:cs="微软雅黑" w:eastAsia="黑体"/>
          <w:sz w:val="24"/>
        </w:rPr>
        <w:t>家以上国内外</w:t>
      </w:r>
      <w:r>
        <w:rPr>
          <w:rFonts w:eastAsia="黑体" w:cs="微软雅黑" w:ascii="SimHei" w:hAnsi="SimHei"/>
          <w:sz w:val="24"/>
        </w:rPr>
        <w:t>500</w:t>
      </w:r>
      <w:r>
        <w:rPr>
          <w:rFonts w:ascii="SimHei" w:hAnsi="SimHei" w:cs="微软雅黑" w:eastAsia="黑体"/>
          <w:sz w:val="24"/>
        </w:rPr>
        <w:t>强企业的员工手册内容，因此本手册内容</w:t>
      </w:r>
      <w:r>
        <w:rPr>
          <w:rFonts w:ascii="SimHei" w:hAnsi="SimHei" w:cs="微软雅黑" w:eastAsia="黑体"/>
          <w:b/>
          <w:sz w:val="24"/>
        </w:rPr>
        <w:t>标准、全面、完整、系统、实用</w:t>
      </w:r>
      <w:r>
        <w:rPr>
          <w:rFonts w:ascii="SimHei" w:hAnsi="SimHei" w:cs="微软雅黑" w:eastAsia="黑体"/>
          <w:sz w:val="24"/>
        </w:rPr>
        <w:t>，企业可根据自己的需要选择性使用。</w:t>
      </w:r>
    </w:p>
    <w:p>
      <w:pPr>
        <w:pStyle w:val="Normal"/>
        <w:spacing w:lineRule="exact" w:line="500"/>
        <w:rPr>
          <w:rFonts w:ascii="楷体_GB2312;楷体" w:hAnsi="楷体_GB2312;楷体" w:eastAsia="楷体_GB2312;楷体" w:cs="微软雅黑"/>
          <w:sz w:val="24"/>
        </w:rPr>
      </w:pPr>
      <w:r>
        <w:rPr>
          <w:rFonts w:eastAsia="黑体" w:cs="微软雅黑" w:ascii="SimHei" w:hAnsi="SimHei"/>
          <w:sz w:val="24"/>
        </w:rPr>
      </w:r>
    </w:p>
    <w:p>
      <w:pPr>
        <w:pStyle w:val="TOC"/>
        <w:rPr>
          <w:lang w:val="zh-CN"/>
        </w:rPr>
      </w:pPr>
      <w:r>
        <w:rPr>
          <w:rFonts w:ascii="SimHei" w:hAnsi="SimHei" w:eastAsia="黑体"/>
          <w:lang w:val="zh-CN"/>
        </w:rPr>
        <w:t>目录</w:t>
      </w:r>
    </w:p>
    <w:sdt>
      <w:sdtPr>
        <w:docPartObj>
          <w:docPartGallery w:val="Table of Contents"/>
          <w:docPartUnique w:val="true"/>
        </w:docPartObj>
      </w:sdtPr>
      <w:sdtContent>
        <w:p>
          <w:pPr>
            <w:pStyle w:val="Contents1"/>
            <w:tabs>
              <w:tab w:val="clear" w:pos="420"/>
              <w:tab w:val="left" w:pos="1050" w:leader="none"/>
              <w:tab w:val="right" w:pos="8494" w:leader="dot"/>
            </w:tabs>
            <w:rPr>
              <w:rFonts w:ascii="Calibri" w:hAnsi="Calibri" w:cs="Calibri"/>
              <w:szCs w:val="22"/>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427859403">
            <w:r>
              <w:rPr>
                <w:rStyle w:val="IndexLink"/>
                <w:lang w:val="en-US" w:eastAsia="en-US"/>
              </w:rPr>
              <w:t>第一章</w:t>
            </w:r>
            <w:r>
              <w:rPr>
                <w:rStyle w:val="IndexLink"/>
                <w:rFonts w:cs="Calibri" w:ascii="Calibri" w:hAnsi="Calibri"/>
                <w:szCs w:val="22"/>
                <w:lang w:val="en-US" w:eastAsia="en-US"/>
              </w:rPr>
              <w:tab/>
            </w:r>
            <w:r>
              <w:rPr>
                <w:rStyle w:val="IndexLink"/>
                <w:lang w:val="en-US" w:eastAsia="en-US"/>
              </w:rPr>
              <w:t>前言</w:t>
            </w:r>
            <w:r>
              <w:rPr>
                <w:rStyle w:val="IndexLink"/>
                <w:lang w:val="en-US" w:eastAsia="en-US"/>
              </w:rPr>
              <w:tab/>
              <w:t>4</w:t>
            </w:r>
          </w:hyperlink>
        </w:p>
        <w:p>
          <w:pPr>
            <w:pStyle w:val="Contents2"/>
            <w:tabs>
              <w:tab w:val="clear" w:pos="420"/>
              <w:tab w:val="right" w:pos="8494" w:leader="dot"/>
            </w:tabs>
            <w:rPr>
              <w:rFonts w:ascii="Calibri" w:hAnsi="Calibri" w:cs="Calibri"/>
              <w:szCs w:val="22"/>
              <w:lang w:val="en-US" w:eastAsia="en-US"/>
            </w:rPr>
          </w:pPr>
          <w:hyperlink w:anchor="__RefHeading___Toc427859404">
            <w:r>
              <w:rPr>
                <w:rStyle w:val="IndexLink"/>
                <w:lang w:val="en-US" w:eastAsia="en-US"/>
              </w:rPr>
              <w:t>1.1</w:t>
            </w:r>
            <w:r>
              <w:rPr>
                <w:rStyle w:val="IndexLink"/>
                <w:lang w:val="en-US" w:eastAsia="en-US"/>
              </w:rPr>
              <w:t>引言</w:t>
            </w:r>
            <w:r>
              <w:rPr>
                <w:rStyle w:val="IndexLink"/>
                <w:lang w:val="en-US" w:eastAsia="en-US"/>
              </w:rPr>
              <w:tab/>
              <w:t>4</w:t>
            </w:r>
          </w:hyperlink>
        </w:p>
        <w:p>
          <w:pPr>
            <w:pStyle w:val="Contents2"/>
            <w:tabs>
              <w:tab w:val="clear" w:pos="420"/>
              <w:tab w:val="right" w:pos="8494" w:leader="dot"/>
            </w:tabs>
            <w:rPr>
              <w:rFonts w:ascii="Calibri" w:hAnsi="Calibri" w:cs="Calibri"/>
              <w:szCs w:val="22"/>
              <w:lang w:val="en-US" w:eastAsia="en-US"/>
            </w:rPr>
          </w:pPr>
          <w:hyperlink w:anchor="__RefHeading___Toc427859405">
            <w:r>
              <w:rPr>
                <w:rStyle w:val="IndexLink"/>
                <w:lang w:val="en-US" w:eastAsia="en-US"/>
              </w:rPr>
              <w:t xml:space="preserve">1.2 </w:t>
            </w:r>
            <w:r>
              <w:rPr>
                <w:rStyle w:val="IndexLink"/>
                <w:lang w:val="en-US" w:eastAsia="en-US"/>
              </w:rPr>
              <w:t>董事长致辞（略）</w:t>
            </w:r>
            <w:r>
              <w:rPr>
                <w:rStyle w:val="IndexLink"/>
                <w:lang w:val="en-US" w:eastAsia="en-US"/>
              </w:rPr>
              <w:tab/>
              <w:t>4</w:t>
            </w:r>
          </w:hyperlink>
        </w:p>
        <w:p>
          <w:pPr>
            <w:pStyle w:val="Contents2"/>
            <w:tabs>
              <w:tab w:val="clear" w:pos="420"/>
              <w:tab w:val="right" w:pos="8494" w:leader="dot"/>
            </w:tabs>
            <w:rPr>
              <w:rFonts w:ascii="Calibri" w:hAnsi="Calibri" w:cs="Calibri"/>
              <w:szCs w:val="22"/>
              <w:lang w:val="en-US" w:eastAsia="en-US"/>
            </w:rPr>
          </w:pPr>
          <w:hyperlink w:anchor="__RefHeading___Toc427859406">
            <w:r>
              <w:rPr>
                <w:rStyle w:val="IndexLink"/>
                <w:lang w:val="en-US" w:eastAsia="en-US"/>
              </w:rPr>
              <w:t xml:space="preserve">1.3 </w:t>
            </w:r>
            <w:r>
              <w:rPr>
                <w:rStyle w:val="IndexLink"/>
                <w:lang w:val="en-US" w:eastAsia="en-US"/>
              </w:rPr>
              <w:t>总经理致辞（略）</w:t>
            </w:r>
            <w:r>
              <w:rPr>
                <w:rStyle w:val="IndexLink"/>
                <w:lang w:val="en-US" w:eastAsia="en-US"/>
              </w:rPr>
              <w:tab/>
              <w:t>4</w:t>
            </w:r>
          </w:hyperlink>
        </w:p>
        <w:p>
          <w:pPr>
            <w:pStyle w:val="Contents1"/>
            <w:tabs>
              <w:tab w:val="clear" w:pos="420"/>
              <w:tab w:val="right" w:pos="8494" w:leader="dot"/>
            </w:tabs>
            <w:rPr>
              <w:rFonts w:ascii="Calibri" w:hAnsi="Calibri" w:cs="Calibri"/>
              <w:szCs w:val="22"/>
              <w:lang w:val="en-US" w:eastAsia="en-US"/>
            </w:rPr>
          </w:pPr>
          <w:hyperlink w:anchor="__RefHeading___Toc427859407">
            <w:r>
              <w:rPr>
                <w:rStyle w:val="IndexLink"/>
                <w:lang w:val="en-US" w:eastAsia="en-US"/>
              </w:rPr>
              <w:t>第二章</w:t>
            </w:r>
            <w:r>
              <w:rPr>
                <w:rStyle w:val="IndexLink"/>
                <w:rFonts w:eastAsia="Times New Roman"/>
                <w:lang w:val="en-US" w:eastAsia="en-US"/>
              </w:rPr>
              <w:t xml:space="preserve"> </w:t>
            </w:r>
            <w:r>
              <w:rPr>
                <w:rStyle w:val="IndexLink"/>
                <w:lang w:val="en-US" w:eastAsia="en-US"/>
              </w:rPr>
              <w:t>公司概述</w:t>
            </w:r>
            <w:r>
              <w:rPr>
                <w:rStyle w:val="IndexLink"/>
                <w:lang w:val="en-US" w:eastAsia="en-US"/>
              </w:rPr>
              <w:tab/>
              <w:t>5</w:t>
            </w:r>
          </w:hyperlink>
        </w:p>
        <w:p>
          <w:pPr>
            <w:pStyle w:val="Contents2"/>
            <w:tabs>
              <w:tab w:val="clear" w:pos="420"/>
              <w:tab w:val="right" w:pos="8494" w:leader="dot"/>
            </w:tabs>
            <w:rPr>
              <w:rFonts w:ascii="Calibri" w:hAnsi="Calibri" w:cs="Calibri"/>
              <w:szCs w:val="22"/>
              <w:lang w:val="en-US" w:eastAsia="en-US"/>
            </w:rPr>
          </w:pPr>
          <w:hyperlink w:anchor="__RefHeading___Toc427859408">
            <w:r>
              <w:rPr>
                <w:rStyle w:val="IndexLink"/>
                <w:lang w:val="en-US" w:eastAsia="en-US"/>
              </w:rPr>
              <w:t>2.1</w:t>
            </w:r>
            <w:r>
              <w:rPr>
                <w:rStyle w:val="IndexLink"/>
                <w:lang w:val="en-US" w:eastAsia="en-US"/>
              </w:rPr>
              <w:t>公司发展历程（略）</w:t>
            </w:r>
            <w:r>
              <w:rPr>
                <w:rStyle w:val="IndexLink"/>
                <w:lang w:val="en-US" w:eastAsia="en-US"/>
              </w:rPr>
              <w:tab/>
              <w:t>5</w:t>
            </w:r>
          </w:hyperlink>
        </w:p>
        <w:p>
          <w:pPr>
            <w:pStyle w:val="Contents2"/>
            <w:tabs>
              <w:tab w:val="clear" w:pos="420"/>
              <w:tab w:val="right" w:pos="8494" w:leader="dot"/>
            </w:tabs>
            <w:rPr>
              <w:rFonts w:ascii="Calibri" w:hAnsi="Calibri" w:cs="Calibri"/>
              <w:szCs w:val="22"/>
              <w:lang w:val="en-US" w:eastAsia="en-US"/>
            </w:rPr>
          </w:pPr>
          <w:hyperlink w:anchor="__RefHeading___Toc427859409">
            <w:r>
              <w:rPr>
                <w:rStyle w:val="IndexLink"/>
                <w:lang w:val="en-US" w:eastAsia="en-US"/>
              </w:rPr>
              <w:t>2.2</w:t>
            </w:r>
            <w:r>
              <w:rPr>
                <w:rStyle w:val="IndexLink"/>
                <w:lang w:val="en-US" w:eastAsia="en-US"/>
              </w:rPr>
              <w:t>公司概况</w:t>
            </w:r>
            <w:r>
              <w:rPr>
                <w:rStyle w:val="IndexLink"/>
                <w:lang w:val="en-US" w:eastAsia="en-US"/>
              </w:rPr>
              <w:tab/>
              <w:t>5</w:t>
            </w:r>
          </w:hyperlink>
        </w:p>
        <w:p>
          <w:pPr>
            <w:pStyle w:val="Contents2"/>
            <w:tabs>
              <w:tab w:val="clear" w:pos="420"/>
              <w:tab w:val="right" w:pos="8494" w:leader="dot"/>
            </w:tabs>
            <w:rPr>
              <w:rFonts w:ascii="Calibri" w:hAnsi="Calibri" w:cs="Calibri"/>
              <w:szCs w:val="22"/>
              <w:lang w:val="en-US" w:eastAsia="en-US"/>
            </w:rPr>
          </w:pPr>
          <w:hyperlink w:anchor="__RefHeading___Toc427859410">
            <w:r>
              <w:rPr>
                <w:rStyle w:val="IndexLink"/>
                <w:lang w:val="en-US" w:eastAsia="en-US"/>
              </w:rPr>
              <w:t xml:space="preserve">2.3 </w:t>
            </w:r>
            <w:r>
              <w:rPr>
                <w:rStyle w:val="IndexLink"/>
                <w:lang w:val="en-US" w:eastAsia="en-US"/>
              </w:rPr>
              <w:t>公司理念</w:t>
            </w:r>
            <w:r>
              <w:rPr>
                <w:rStyle w:val="IndexLink"/>
                <w:lang w:val="en-US" w:eastAsia="en-US"/>
              </w:rPr>
              <w:tab/>
              <w:t>5</w:t>
            </w:r>
          </w:hyperlink>
        </w:p>
        <w:p>
          <w:pPr>
            <w:pStyle w:val="Contents2"/>
            <w:tabs>
              <w:tab w:val="clear" w:pos="420"/>
              <w:tab w:val="right" w:pos="8494" w:leader="dot"/>
            </w:tabs>
            <w:rPr>
              <w:rFonts w:ascii="Calibri" w:hAnsi="Calibri" w:cs="Calibri"/>
              <w:szCs w:val="22"/>
              <w:lang w:val="en-US" w:eastAsia="en-US"/>
            </w:rPr>
          </w:pPr>
          <w:hyperlink w:anchor="__RefHeading___Toc427859411">
            <w:r>
              <w:rPr>
                <w:rStyle w:val="IndexLink"/>
                <w:lang w:val="en-US" w:eastAsia="en-US"/>
              </w:rPr>
              <w:t xml:space="preserve">2.4 </w:t>
            </w:r>
            <w:r>
              <w:rPr>
                <w:rStyle w:val="IndexLink"/>
                <w:lang w:val="en-US" w:eastAsia="en-US"/>
              </w:rPr>
              <w:t>组织架构（略）</w:t>
            </w:r>
            <w:r>
              <w:rPr>
                <w:rStyle w:val="IndexLink"/>
                <w:lang w:val="en-US" w:eastAsia="en-US"/>
              </w:rPr>
              <w:tab/>
              <w:t>5</w:t>
            </w:r>
          </w:hyperlink>
        </w:p>
        <w:p>
          <w:pPr>
            <w:pStyle w:val="Contents2"/>
            <w:tabs>
              <w:tab w:val="clear" w:pos="420"/>
              <w:tab w:val="right" w:pos="8494" w:leader="dot"/>
            </w:tabs>
            <w:rPr>
              <w:rFonts w:ascii="Calibri" w:hAnsi="Calibri" w:cs="Calibri"/>
              <w:szCs w:val="22"/>
              <w:lang w:val="en-US" w:eastAsia="en-US"/>
            </w:rPr>
          </w:pPr>
          <w:hyperlink w:anchor="__RefHeading___Toc427859412">
            <w:r>
              <w:rPr>
                <w:rStyle w:val="IndexLink"/>
                <w:kern w:val="2"/>
                <w:lang w:val="en-US" w:eastAsia="en-US"/>
              </w:rPr>
              <w:t>第三章</w:t>
            </w:r>
            <w:r>
              <w:rPr>
                <w:rStyle w:val="IndexLink"/>
                <w:rFonts w:eastAsia="Times New Roman"/>
                <w:kern w:val="2"/>
                <w:lang w:val="en-US" w:eastAsia="en-US"/>
              </w:rPr>
              <w:t xml:space="preserve"> </w:t>
            </w:r>
            <w:r>
              <w:rPr>
                <w:rStyle w:val="IndexLink"/>
                <w:kern w:val="2"/>
                <w:lang w:val="en-US" w:eastAsia="en-US"/>
              </w:rPr>
              <w:t>入职指引</w:t>
            </w:r>
            <w:r>
              <w:rPr>
                <w:rStyle w:val="IndexLink"/>
                <w:lang w:val="en-US" w:eastAsia="en-US"/>
              </w:rPr>
              <w:tab/>
              <w:t>6</w:t>
            </w:r>
          </w:hyperlink>
        </w:p>
        <w:p>
          <w:pPr>
            <w:pStyle w:val="Contents2"/>
            <w:tabs>
              <w:tab w:val="clear" w:pos="420"/>
              <w:tab w:val="right" w:pos="8494" w:leader="dot"/>
            </w:tabs>
            <w:rPr>
              <w:rFonts w:ascii="Calibri" w:hAnsi="Calibri" w:cs="Calibri"/>
              <w:szCs w:val="22"/>
              <w:lang w:val="en-US" w:eastAsia="en-US"/>
            </w:rPr>
          </w:pPr>
          <w:hyperlink w:anchor="__RefHeading___Toc427859413">
            <w:r>
              <w:rPr>
                <w:rStyle w:val="IndexLink"/>
                <w:lang w:val="en-US" w:eastAsia="en-US"/>
              </w:rPr>
              <w:t xml:space="preserve">3.1 </w:t>
            </w:r>
            <w:r>
              <w:rPr>
                <w:rStyle w:val="IndexLink"/>
                <w:lang w:val="en-US" w:eastAsia="en-US"/>
              </w:rPr>
              <w:t>招聘原则</w:t>
            </w:r>
            <w:r>
              <w:rPr>
                <w:rStyle w:val="IndexLink"/>
                <w:lang w:val="en-US" w:eastAsia="en-US"/>
              </w:rPr>
              <w:tab/>
              <w:t>6</w:t>
            </w:r>
          </w:hyperlink>
        </w:p>
        <w:p>
          <w:pPr>
            <w:pStyle w:val="Contents2"/>
            <w:tabs>
              <w:tab w:val="clear" w:pos="420"/>
              <w:tab w:val="right" w:pos="8494" w:leader="dot"/>
            </w:tabs>
            <w:rPr>
              <w:rFonts w:ascii="Calibri" w:hAnsi="Calibri" w:cs="Calibri"/>
              <w:szCs w:val="22"/>
              <w:lang w:val="en-US" w:eastAsia="en-US"/>
            </w:rPr>
          </w:pPr>
          <w:hyperlink w:anchor="__RefHeading___Toc427859414">
            <w:r>
              <w:rPr>
                <w:rStyle w:val="IndexLink"/>
                <w:lang w:val="en-US" w:eastAsia="en-US"/>
              </w:rPr>
              <w:t xml:space="preserve">3.2 </w:t>
            </w:r>
            <w:r>
              <w:rPr>
                <w:rStyle w:val="IndexLink"/>
                <w:lang w:val="en-US" w:eastAsia="en-US"/>
              </w:rPr>
              <w:t>招聘及录用流程</w:t>
            </w:r>
            <w:r>
              <w:rPr>
                <w:rStyle w:val="IndexLink"/>
                <w:lang w:val="en-US" w:eastAsia="en-US"/>
              </w:rPr>
              <w:tab/>
              <w:t>6</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15">
            <w:r>
              <w:rPr>
                <w:rStyle w:val="IndexLink"/>
                <w:lang w:val="en-US" w:eastAsia="en-US"/>
              </w:rPr>
              <w:t>3.3</w:t>
            </w:r>
            <w:r>
              <w:rPr>
                <w:rStyle w:val="IndexLink"/>
                <w:rFonts w:cs="Calibri" w:ascii="Calibri" w:hAnsi="Calibri"/>
                <w:szCs w:val="22"/>
                <w:lang w:val="en-US" w:eastAsia="en-US"/>
              </w:rPr>
              <w:tab/>
            </w:r>
            <w:r>
              <w:rPr>
                <w:rStyle w:val="IndexLink"/>
                <w:lang w:val="en-US" w:eastAsia="en-US"/>
              </w:rPr>
              <w:t>个人档案管理</w:t>
            </w:r>
            <w:r>
              <w:rPr>
                <w:rStyle w:val="IndexLink"/>
                <w:lang w:val="en-US" w:eastAsia="en-US"/>
              </w:rPr>
              <w:tab/>
              <w:t>7</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16">
            <w:r>
              <w:rPr>
                <w:rStyle w:val="IndexLink"/>
                <w:lang w:val="en-US" w:eastAsia="en-US"/>
              </w:rPr>
              <w:t>3.4</w:t>
            </w:r>
            <w:r>
              <w:rPr>
                <w:rStyle w:val="IndexLink"/>
                <w:rFonts w:cs="Calibri" w:ascii="Calibri" w:hAnsi="Calibri"/>
                <w:szCs w:val="22"/>
                <w:lang w:val="en-US" w:eastAsia="en-US"/>
              </w:rPr>
              <w:tab/>
            </w:r>
            <w:r>
              <w:rPr>
                <w:rStyle w:val="IndexLink"/>
                <w:lang w:val="en-US" w:eastAsia="en-US"/>
              </w:rPr>
              <w:t>试用与转正</w:t>
            </w:r>
            <w:r>
              <w:rPr>
                <w:rStyle w:val="IndexLink"/>
                <w:lang w:val="en-US" w:eastAsia="en-US"/>
              </w:rPr>
              <w:tab/>
              <w:t>8</w:t>
            </w:r>
          </w:hyperlink>
        </w:p>
        <w:p>
          <w:pPr>
            <w:pStyle w:val="Contents2"/>
            <w:tabs>
              <w:tab w:val="clear" w:pos="420"/>
              <w:tab w:val="right" w:pos="8494" w:leader="dot"/>
            </w:tabs>
            <w:rPr>
              <w:rFonts w:ascii="Calibri" w:hAnsi="Calibri" w:cs="Calibri"/>
              <w:szCs w:val="22"/>
              <w:lang w:val="en-US" w:eastAsia="en-US"/>
            </w:rPr>
          </w:pPr>
          <w:hyperlink w:anchor="__RefHeading___Toc427859417">
            <w:r>
              <w:rPr>
                <w:rStyle w:val="IndexLink"/>
                <w:lang w:val="en-US" w:eastAsia="en-US"/>
              </w:rPr>
              <w:t>3.5</w:t>
            </w:r>
            <w:r>
              <w:rPr>
                <w:rStyle w:val="IndexLink"/>
                <w:lang w:val="en-US" w:eastAsia="en-US"/>
              </w:rPr>
              <w:t>工作时间</w:t>
            </w:r>
            <w:r>
              <w:rPr>
                <w:rStyle w:val="IndexLink"/>
                <w:lang w:val="en-US" w:eastAsia="en-US"/>
              </w:rPr>
              <w:tab/>
              <w:t>9</w:t>
            </w:r>
          </w:hyperlink>
        </w:p>
        <w:p>
          <w:pPr>
            <w:pStyle w:val="Contents1"/>
            <w:tabs>
              <w:tab w:val="clear" w:pos="420"/>
              <w:tab w:val="right" w:pos="8494" w:leader="dot"/>
            </w:tabs>
            <w:rPr>
              <w:rFonts w:ascii="Calibri" w:hAnsi="Calibri" w:cs="Calibri"/>
              <w:szCs w:val="22"/>
              <w:lang w:val="en-US" w:eastAsia="en-US"/>
            </w:rPr>
          </w:pPr>
          <w:hyperlink w:anchor="__RefHeading___Toc427859418">
            <w:r>
              <w:rPr>
                <w:rStyle w:val="IndexLink"/>
                <w:lang w:val="en-US" w:eastAsia="en-US"/>
              </w:rPr>
              <w:t>第四章</w:t>
            </w:r>
            <w:r>
              <w:rPr>
                <w:rStyle w:val="IndexLink"/>
                <w:rFonts w:eastAsia="Times New Roman"/>
                <w:lang w:val="en-US" w:eastAsia="en-US"/>
              </w:rPr>
              <w:t xml:space="preserve"> </w:t>
            </w:r>
            <w:r>
              <w:rPr>
                <w:rStyle w:val="IndexLink"/>
                <w:lang w:val="en-US" w:eastAsia="en-US"/>
              </w:rPr>
              <w:t>员工行为准则（员工守则）</w:t>
            </w:r>
            <w:r>
              <w:rPr>
                <w:rStyle w:val="IndexLink"/>
                <w:lang w:val="en-US" w:eastAsia="en-US"/>
              </w:rPr>
              <w:tab/>
              <w:t>10</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19">
            <w:r>
              <w:rPr>
                <w:rStyle w:val="IndexLink"/>
                <w:lang w:val="en-US" w:eastAsia="en-US"/>
              </w:rPr>
              <w:t>4.1</w:t>
            </w:r>
            <w:r>
              <w:rPr>
                <w:rStyle w:val="IndexLink"/>
                <w:rFonts w:cs="Calibri" w:ascii="Calibri" w:hAnsi="Calibri"/>
                <w:szCs w:val="22"/>
                <w:lang w:val="en-US" w:eastAsia="en-US"/>
              </w:rPr>
              <w:tab/>
            </w:r>
            <w:r>
              <w:rPr>
                <w:rStyle w:val="IndexLink"/>
                <w:lang w:val="en-US" w:eastAsia="en-US"/>
              </w:rPr>
              <w:t>总则</w:t>
            </w:r>
            <w:r>
              <w:rPr>
                <w:rStyle w:val="IndexLink"/>
                <w:lang w:val="en-US" w:eastAsia="en-US"/>
              </w:rPr>
              <w:tab/>
              <w:t>10</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20">
            <w:r>
              <w:rPr>
                <w:rStyle w:val="IndexLink"/>
                <w:lang w:val="en-US" w:eastAsia="en-US"/>
              </w:rPr>
              <w:t>4.2</w:t>
            </w:r>
            <w:r>
              <w:rPr>
                <w:rStyle w:val="IndexLink"/>
                <w:rFonts w:cs="Calibri" w:ascii="Calibri" w:hAnsi="Calibri"/>
                <w:szCs w:val="22"/>
                <w:lang w:val="en-US" w:eastAsia="en-US"/>
              </w:rPr>
              <w:tab/>
            </w:r>
            <w:r>
              <w:rPr>
                <w:rStyle w:val="IndexLink"/>
                <w:lang w:val="en-US" w:eastAsia="en-US"/>
              </w:rPr>
              <w:t>职务权责</w:t>
            </w:r>
            <w:r>
              <w:rPr>
                <w:rStyle w:val="IndexLink"/>
                <w:lang w:val="en-US" w:eastAsia="en-US"/>
              </w:rPr>
              <w:tab/>
              <w:t>10</w:t>
            </w:r>
          </w:hyperlink>
        </w:p>
        <w:p>
          <w:pPr>
            <w:pStyle w:val="Contents2"/>
            <w:tabs>
              <w:tab w:val="clear" w:pos="420"/>
              <w:tab w:val="right" w:pos="8494" w:leader="dot"/>
            </w:tabs>
            <w:rPr>
              <w:rFonts w:ascii="Calibri" w:hAnsi="Calibri" w:cs="Calibri"/>
              <w:szCs w:val="22"/>
              <w:lang w:val="en-US" w:eastAsia="en-US"/>
            </w:rPr>
          </w:pPr>
          <w:hyperlink w:anchor="__RefHeading___Toc427859421">
            <w:r>
              <w:rPr>
                <w:rStyle w:val="IndexLink"/>
                <w:lang w:val="en-US" w:eastAsia="en-US"/>
              </w:rPr>
              <w:t xml:space="preserve">4.3 </w:t>
            </w:r>
            <w:r>
              <w:rPr>
                <w:rStyle w:val="IndexLink"/>
                <w:lang w:val="en-US" w:eastAsia="en-US"/>
              </w:rPr>
              <w:t>内外交往</w:t>
            </w:r>
            <w:r>
              <w:rPr>
                <w:rStyle w:val="IndexLink"/>
                <w:lang w:val="en-US" w:eastAsia="en-US"/>
              </w:rPr>
              <w:tab/>
              <w:t>12</w:t>
            </w:r>
          </w:hyperlink>
        </w:p>
        <w:p>
          <w:pPr>
            <w:pStyle w:val="Contents2"/>
            <w:tabs>
              <w:tab w:val="clear" w:pos="420"/>
              <w:tab w:val="right" w:pos="8494" w:leader="dot"/>
            </w:tabs>
            <w:rPr>
              <w:rFonts w:ascii="Calibri" w:hAnsi="Calibri" w:cs="Calibri"/>
              <w:szCs w:val="22"/>
              <w:lang w:val="en-US" w:eastAsia="en-US"/>
            </w:rPr>
          </w:pPr>
          <w:hyperlink w:anchor="__RefHeading___Toc427859422">
            <w:r>
              <w:rPr>
                <w:rStyle w:val="IndexLink"/>
                <w:lang w:val="en-US" w:eastAsia="en-US"/>
              </w:rPr>
              <w:t xml:space="preserve">4.4 </w:t>
            </w:r>
            <w:r>
              <w:rPr>
                <w:rStyle w:val="IndexLink"/>
                <w:lang w:val="en-US" w:eastAsia="en-US"/>
              </w:rPr>
              <w:t>个人与公司利益的冲突</w:t>
            </w:r>
            <w:r>
              <w:rPr>
                <w:rStyle w:val="IndexLink"/>
                <w:lang w:val="en-US" w:eastAsia="en-US"/>
              </w:rPr>
              <w:tab/>
              <w:t>13</w:t>
            </w:r>
          </w:hyperlink>
        </w:p>
        <w:p>
          <w:pPr>
            <w:pStyle w:val="Contents2"/>
            <w:tabs>
              <w:tab w:val="clear" w:pos="420"/>
              <w:tab w:val="right" w:pos="8494" w:leader="dot"/>
            </w:tabs>
            <w:rPr>
              <w:rFonts w:ascii="Calibri" w:hAnsi="Calibri" w:cs="Calibri"/>
              <w:szCs w:val="22"/>
              <w:lang w:val="en-US" w:eastAsia="en-US"/>
            </w:rPr>
          </w:pPr>
          <w:hyperlink w:anchor="__RefHeading___Toc427859423">
            <w:r>
              <w:rPr>
                <w:rStyle w:val="IndexLink"/>
                <w:lang w:val="en-US" w:eastAsia="en-US"/>
              </w:rPr>
              <w:t xml:space="preserve">4.5 </w:t>
            </w:r>
            <w:r>
              <w:rPr>
                <w:rStyle w:val="IndexLink"/>
                <w:lang w:val="en-US" w:eastAsia="en-US"/>
              </w:rPr>
              <w:t>投诉和举报</w:t>
            </w:r>
            <w:r>
              <w:rPr>
                <w:rStyle w:val="IndexLink"/>
                <w:lang w:val="en-US" w:eastAsia="en-US"/>
              </w:rPr>
              <w:tab/>
              <w:t>14</w:t>
            </w:r>
          </w:hyperlink>
        </w:p>
        <w:p>
          <w:pPr>
            <w:pStyle w:val="Contents2"/>
            <w:tabs>
              <w:tab w:val="clear" w:pos="420"/>
              <w:tab w:val="right" w:pos="8494" w:leader="dot"/>
            </w:tabs>
            <w:rPr>
              <w:rFonts w:ascii="Calibri" w:hAnsi="Calibri" w:cs="Calibri"/>
              <w:szCs w:val="22"/>
              <w:lang w:val="en-US" w:eastAsia="en-US"/>
            </w:rPr>
          </w:pPr>
          <w:hyperlink w:anchor="__RefHeading___Toc427859424">
            <w:r>
              <w:rPr>
                <w:rStyle w:val="IndexLink"/>
                <w:lang w:val="en-US" w:eastAsia="en-US"/>
              </w:rPr>
              <w:t xml:space="preserve">4.6 </w:t>
            </w:r>
            <w:r>
              <w:rPr>
                <w:rStyle w:val="IndexLink"/>
                <w:lang w:val="en-US" w:eastAsia="en-US"/>
              </w:rPr>
              <w:t>行为的判断及督导</w:t>
            </w:r>
            <w:r>
              <w:rPr>
                <w:rStyle w:val="IndexLink"/>
                <w:lang w:val="en-US" w:eastAsia="en-US"/>
              </w:rPr>
              <w:tab/>
              <w:t>14</w:t>
            </w:r>
          </w:hyperlink>
        </w:p>
        <w:p>
          <w:pPr>
            <w:pStyle w:val="Contents2"/>
            <w:tabs>
              <w:tab w:val="clear" w:pos="420"/>
              <w:tab w:val="right" w:pos="8494" w:leader="dot"/>
            </w:tabs>
            <w:rPr>
              <w:rFonts w:ascii="Calibri" w:hAnsi="Calibri" w:cs="Calibri"/>
              <w:szCs w:val="22"/>
              <w:lang w:val="en-US" w:eastAsia="en-US"/>
            </w:rPr>
          </w:pPr>
          <w:hyperlink w:anchor="__RefHeading___Toc427859425">
            <w:r>
              <w:rPr>
                <w:rStyle w:val="IndexLink"/>
                <w:lang w:val="en-US" w:eastAsia="en-US"/>
              </w:rPr>
              <w:t xml:space="preserve">4.7 </w:t>
            </w:r>
            <w:r>
              <w:rPr>
                <w:rStyle w:val="IndexLink"/>
                <w:lang w:val="en-US" w:eastAsia="en-US"/>
              </w:rPr>
              <w:t>职业礼仪</w:t>
            </w:r>
            <w:r>
              <w:rPr>
                <w:rStyle w:val="IndexLink"/>
                <w:lang w:val="en-US" w:eastAsia="en-US"/>
              </w:rPr>
              <w:tab/>
              <w:t>15</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26">
            <w:r>
              <w:rPr>
                <w:rStyle w:val="IndexLink"/>
                <w:lang w:val="en-US" w:eastAsia="en-US"/>
              </w:rPr>
              <w:t>4.8</w:t>
            </w:r>
            <w:r>
              <w:rPr>
                <w:rStyle w:val="IndexLink"/>
                <w:rFonts w:cs="Calibri" w:ascii="Calibri" w:hAnsi="Calibri"/>
                <w:szCs w:val="22"/>
                <w:lang w:val="en-US" w:eastAsia="en-US"/>
              </w:rPr>
              <w:tab/>
            </w:r>
            <w:r>
              <w:rPr>
                <w:rStyle w:val="IndexLink"/>
                <w:lang w:val="en-US" w:eastAsia="en-US"/>
              </w:rPr>
              <w:t>考勤制度</w:t>
            </w:r>
            <w:r>
              <w:rPr>
                <w:rStyle w:val="IndexLink"/>
                <w:lang w:val="en-US" w:eastAsia="en-US"/>
              </w:rPr>
              <w:tab/>
              <w:t>16</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27">
            <w:r>
              <w:rPr>
                <w:rStyle w:val="IndexLink"/>
                <w:lang w:val="en-US" w:eastAsia="en-US"/>
              </w:rPr>
              <w:t>4.9</w:t>
            </w:r>
            <w:r>
              <w:rPr>
                <w:rStyle w:val="IndexLink"/>
                <w:rFonts w:cs="Calibri" w:ascii="Calibri" w:hAnsi="Calibri"/>
                <w:szCs w:val="22"/>
                <w:lang w:val="en-US" w:eastAsia="en-US"/>
              </w:rPr>
              <w:tab/>
            </w:r>
            <w:r>
              <w:rPr>
                <w:rStyle w:val="IndexLink"/>
                <w:lang w:val="en-US" w:eastAsia="en-US"/>
              </w:rPr>
              <w:t>出差制度</w:t>
            </w:r>
            <w:r>
              <w:rPr>
                <w:rStyle w:val="IndexLink"/>
                <w:lang w:val="en-US" w:eastAsia="en-US"/>
              </w:rPr>
              <w:tab/>
              <w:t>17</w:t>
            </w:r>
          </w:hyperlink>
        </w:p>
        <w:p>
          <w:pPr>
            <w:pStyle w:val="Contents2"/>
            <w:tabs>
              <w:tab w:val="clear" w:pos="420"/>
              <w:tab w:val="right" w:pos="8494" w:leader="dot"/>
            </w:tabs>
            <w:rPr>
              <w:rFonts w:ascii="Calibri" w:hAnsi="Calibri" w:cs="Calibri"/>
              <w:szCs w:val="22"/>
              <w:lang w:val="en-US" w:eastAsia="en-US"/>
            </w:rPr>
          </w:pPr>
          <w:hyperlink w:anchor="__RefHeading___Toc427859428">
            <w:r>
              <w:rPr>
                <w:rStyle w:val="IndexLink"/>
                <w:lang w:val="en-US" w:eastAsia="en-US"/>
              </w:rPr>
              <w:t xml:space="preserve">4.10 </w:t>
            </w:r>
            <w:r>
              <w:rPr>
                <w:rStyle w:val="IndexLink"/>
                <w:lang w:val="en-US" w:eastAsia="en-US"/>
              </w:rPr>
              <w:t>档案管理</w:t>
            </w:r>
            <w:r>
              <w:rPr>
                <w:rStyle w:val="IndexLink"/>
                <w:lang w:val="en-US" w:eastAsia="en-US"/>
              </w:rPr>
              <w:tab/>
              <w:t>19</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29">
            <w:r>
              <w:rPr>
                <w:rStyle w:val="IndexLink"/>
                <w:lang w:val="en-US" w:eastAsia="en-US"/>
              </w:rPr>
              <w:t>4.11</w:t>
            </w:r>
            <w:r>
              <w:rPr>
                <w:rStyle w:val="IndexLink"/>
                <w:rFonts w:cs="Calibri" w:ascii="Calibri" w:hAnsi="Calibri"/>
                <w:szCs w:val="22"/>
                <w:lang w:val="en-US" w:eastAsia="en-US"/>
              </w:rPr>
              <w:tab/>
            </w:r>
            <w:r>
              <w:rPr>
                <w:rStyle w:val="IndexLink"/>
                <w:lang w:val="en-US" w:eastAsia="en-US"/>
              </w:rPr>
              <w:t>保密制度</w:t>
            </w:r>
            <w:r>
              <w:rPr>
                <w:rStyle w:val="IndexLink"/>
                <w:lang w:val="en-US" w:eastAsia="en-US"/>
              </w:rPr>
              <w:tab/>
              <w:t>19</w:t>
            </w:r>
          </w:hyperlink>
        </w:p>
        <w:p>
          <w:pPr>
            <w:pStyle w:val="Contents2"/>
            <w:tabs>
              <w:tab w:val="clear" w:pos="420"/>
              <w:tab w:val="right" w:pos="8494" w:leader="dot"/>
            </w:tabs>
            <w:rPr>
              <w:rFonts w:ascii="Calibri" w:hAnsi="Calibri" w:cs="Calibri"/>
              <w:szCs w:val="22"/>
              <w:lang w:val="en-US" w:eastAsia="en-US"/>
            </w:rPr>
          </w:pPr>
          <w:hyperlink w:anchor="__RefHeading___Toc427859430">
            <w:r>
              <w:rPr>
                <w:rStyle w:val="IndexLink"/>
                <w:lang w:val="en-US" w:eastAsia="en-US"/>
              </w:rPr>
              <w:t xml:space="preserve">4.12 </w:t>
            </w:r>
            <w:r>
              <w:rPr>
                <w:rStyle w:val="IndexLink"/>
                <w:lang w:val="en-US" w:eastAsia="en-US"/>
              </w:rPr>
              <w:t>奖励制度</w:t>
            </w:r>
            <w:r>
              <w:rPr>
                <w:rStyle w:val="IndexLink"/>
                <w:lang w:val="en-US" w:eastAsia="en-US"/>
              </w:rPr>
              <w:tab/>
              <w:t>20</w:t>
            </w:r>
          </w:hyperlink>
        </w:p>
        <w:p>
          <w:pPr>
            <w:pStyle w:val="Contents2"/>
            <w:tabs>
              <w:tab w:val="clear" w:pos="420"/>
              <w:tab w:val="right" w:pos="8494" w:leader="dot"/>
            </w:tabs>
            <w:rPr>
              <w:rFonts w:ascii="Calibri" w:hAnsi="Calibri" w:cs="Calibri"/>
              <w:szCs w:val="22"/>
              <w:lang w:val="en-US" w:eastAsia="en-US"/>
            </w:rPr>
          </w:pPr>
          <w:hyperlink w:anchor="__RefHeading___Toc427859431">
            <w:r>
              <w:rPr>
                <w:rStyle w:val="IndexLink"/>
                <w:lang w:val="en-US" w:eastAsia="en-US"/>
              </w:rPr>
              <w:t xml:space="preserve">4.13 </w:t>
            </w:r>
            <w:r>
              <w:rPr>
                <w:rStyle w:val="IndexLink"/>
                <w:lang w:val="en-US" w:eastAsia="en-US"/>
              </w:rPr>
              <w:t>处分制度</w:t>
            </w:r>
            <w:r>
              <w:rPr>
                <w:rStyle w:val="IndexLink"/>
                <w:lang w:val="en-US" w:eastAsia="en-US"/>
              </w:rPr>
              <w:tab/>
              <w:t>20</w:t>
            </w:r>
          </w:hyperlink>
        </w:p>
        <w:p>
          <w:pPr>
            <w:pStyle w:val="Contents2"/>
            <w:tabs>
              <w:tab w:val="clear" w:pos="420"/>
              <w:tab w:val="right" w:pos="8494" w:leader="dot"/>
            </w:tabs>
            <w:rPr>
              <w:rFonts w:ascii="Calibri" w:hAnsi="Calibri" w:cs="Calibri"/>
              <w:szCs w:val="22"/>
              <w:lang w:val="en-US" w:eastAsia="en-US"/>
            </w:rPr>
          </w:pPr>
          <w:hyperlink w:anchor="__RefHeading___Toc427859432">
            <w:r>
              <w:rPr>
                <w:rStyle w:val="IndexLink"/>
                <w:lang w:val="en-US" w:eastAsia="en-US"/>
              </w:rPr>
              <w:t xml:space="preserve">4.14 </w:t>
            </w:r>
            <w:r>
              <w:rPr>
                <w:rStyle w:val="IndexLink"/>
                <w:lang w:val="en-US" w:eastAsia="en-US"/>
              </w:rPr>
              <w:t>其它（相关人事及行政管理制度）</w:t>
            </w:r>
            <w:r>
              <w:rPr>
                <w:rStyle w:val="IndexLink"/>
                <w:lang w:val="en-US" w:eastAsia="en-US"/>
              </w:rPr>
              <w:tab/>
              <w:t>22</w:t>
            </w:r>
          </w:hyperlink>
        </w:p>
        <w:p>
          <w:pPr>
            <w:pStyle w:val="Contents1"/>
            <w:tabs>
              <w:tab w:val="clear" w:pos="420"/>
              <w:tab w:val="right" w:pos="8494" w:leader="dot"/>
            </w:tabs>
            <w:rPr>
              <w:rFonts w:ascii="Calibri" w:hAnsi="Calibri" w:cs="Calibri"/>
              <w:szCs w:val="22"/>
              <w:lang w:val="en-US" w:eastAsia="en-US"/>
            </w:rPr>
          </w:pPr>
          <w:hyperlink w:anchor="__RefHeading___Toc427859433">
            <w:r>
              <w:rPr>
                <w:rStyle w:val="IndexLink"/>
                <w:lang w:val="en-US" w:eastAsia="en-US"/>
              </w:rPr>
              <w:t>第五章</w:t>
            </w:r>
            <w:r>
              <w:rPr>
                <w:rStyle w:val="IndexLink"/>
                <w:rFonts w:eastAsia="Times New Roman"/>
                <w:lang w:val="en-US" w:eastAsia="en-US"/>
              </w:rPr>
              <w:t xml:space="preserve"> </w:t>
            </w:r>
            <w:r>
              <w:rPr>
                <w:rStyle w:val="IndexLink"/>
                <w:lang w:val="en-US" w:eastAsia="en-US"/>
              </w:rPr>
              <w:t>薪酬及福利</w:t>
            </w:r>
            <w:r>
              <w:rPr>
                <w:rStyle w:val="IndexLink"/>
                <w:lang w:val="en-US" w:eastAsia="en-US"/>
              </w:rPr>
              <w:tab/>
              <w:t>24</w:t>
            </w:r>
          </w:hyperlink>
        </w:p>
        <w:p>
          <w:pPr>
            <w:pStyle w:val="Contents2"/>
            <w:tabs>
              <w:tab w:val="clear" w:pos="420"/>
              <w:tab w:val="right" w:pos="8494" w:leader="dot"/>
            </w:tabs>
            <w:rPr>
              <w:rFonts w:ascii="Calibri" w:hAnsi="Calibri" w:cs="Calibri"/>
              <w:szCs w:val="22"/>
              <w:lang w:val="en-US" w:eastAsia="en-US"/>
            </w:rPr>
          </w:pPr>
          <w:hyperlink w:anchor="__RefHeading___Toc427859434">
            <w:r>
              <w:rPr>
                <w:rStyle w:val="IndexLink"/>
                <w:lang w:val="en-US" w:eastAsia="en-US"/>
              </w:rPr>
              <w:t xml:space="preserve">5.1 </w:t>
            </w:r>
            <w:r>
              <w:rPr>
                <w:rStyle w:val="IndexLink"/>
                <w:lang w:val="en-US" w:eastAsia="en-US"/>
              </w:rPr>
              <w:t>发薪日期</w:t>
            </w:r>
            <w:r>
              <w:rPr>
                <w:rStyle w:val="IndexLink"/>
                <w:lang w:val="en-US" w:eastAsia="en-US"/>
              </w:rPr>
              <w:tab/>
              <w:t>24</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35">
            <w:r>
              <w:rPr>
                <w:rStyle w:val="IndexLink"/>
                <w:lang w:val="en-US" w:eastAsia="en-US"/>
              </w:rPr>
              <w:t>5.2</w:t>
            </w:r>
            <w:r>
              <w:rPr>
                <w:rStyle w:val="IndexLink"/>
                <w:rFonts w:cs="Calibri" w:ascii="Calibri" w:hAnsi="Calibri"/>
                <w:szCs w:val="22"/>
                <w:lang w:val="en-US" w:eastAsia="en-US"/>
              </w:rPr>
              <w:tab/>
            </w:r>
            <w:r>
              <w:rPr>
                <w:rStyle w:val="IndexLink"/>
                <w:lang w:val="en-US" w:eastAsia="en-US"/>
              </w:rPr>
              <w:t>薪金系列</w:t>
            </w:r>
            <w:r>
              <w:rPr>
                <w:rStyle w:val="IndexLink"/>
                <w:lang w:val="en-US" w:eastAsia="en-US"/>
              </w:rPr>
              <w:tab/>
              <w:t>24</w:t>
            </w:r>
          </w:hyperlink>
        </w:p>
        <w:p>
          <w:pPr>
            <w:pStyle w:val="Contents2"/>
            <w:tabs>
              <w:tab w:val="clear" w:pos="420"/>
              <w:tab w:val="right" w:pos="8494" w:leader="dot"/>
            </w:tabs>
            <w:rPr>
              <w:rFonts w:ascii="Calibri" w:hAnsi="Calibri" w:cs="Calibri"/>
              <w:szCs w:val="22"/>
              <w:lang w:val="en-US" w:eastAsia="en-US"/>
            </w:rPr>
          </w:pPr>
          <w:hyperlink w:anchor="__RefHeading___Toc427859436">
            <w:r>
              <w:rPr>
                <w:rStyle w:val="IndexLink"/>
                <w:lang w:val="en-US" w:eastAsia="en-US"/>
              </w:rPr>
              <w:t xml:space="preserve">5.3 </w:t>
            </w:r>
            <w:r>
              <w:rPr>
                <w:rStyle w:val="IndexLink"/>
                <w:lang w:val="en-US" w:eastAsia="en-US"/>
              </w:rPr>
              <w:t>特殊期间的薪金给付</w:t>
            </w:r>
            <w:r>
              <w:rPr>
                <w:rStyle w:val="IndexLink"/>
                <w:lang w:val="en-US" w:eastAsia="en-US"/>
              </w:rPr>
              <w:tab/>
              <w:t>24</w:t>
            </w:r>
          </w:hyperlink>
        </w:p>
        <w:p>
          <w:pPr>
            <w:pStyle w:val="Contents2"/>
            <w:tabs>
              <w:tab w:val="clear" w:pos="420"/>
              <w:tab w:val="right" w:pos="8494" w:leader="dot"/>
            </w:tabs>
            <w:rPr>
              <w:rFonts w:ascii="Calibri" w:hAnsi="Calibri" w:cs="Calibri"/>
              <w:szCs w:val="22"/>
              <w:lang w:val="en-US" w:eastAsia="en-US"/>
            </w:rPr>
          </w:pPr>
          <w:hyperlink w:anchor="__RefHeading___Toc427859437">
            <w:r>
              <w:rPr>
                <w:rStyle w:val="IndexLink"/>
                <w:lang w:val="en-US" w:eastAsia="en-US"/>
              </w:rPr>
              <w:t>5.4</w:t>
            </w:r>
            <w:r>
              <w:rPr>
                <w:rStyle w:val="IndexLink"/>
                <w:lang w:val="en-US" w:eastAsia="en-US"/>
              </w:rPr>
              <w:t>加班与加班工资</w:t>
            </w:r>
            <w:r>
              <w:rPr>
                <w:rStyle w:val="IndexLink"/>
                <w:lang w:val="en-US" w:eastAsia="en-US"/>
              </w:rPr>
              <w:tab/>
              <w:t>25</w:t>
            </w:r>
          </w:hyperlink>
        </w:p>
        <w:p>
          <w:pPr>
            <w:pStyle w:val="Contents2"/>
            <w:tabs>
              <w:tab w:val="clear" w:pos="420"/>
              <w:tab w:val="right" w:pos="8494" w:leader="dot"/>
            </w:tabs>
            <w:rPr>
              <w:rFonts w:ascii="Calibri" w:hAnsi="Calibri" w:cs="Calibri"/>
              <w:szCs w:val="22"/>
              <w:lang w:val="en-US" w:eastAsia="en-US"/>
            </w:rPr>
          </w:pPr>
          <w:hyperlink w:anchor="__RefHeading___Toc427859438">
            <w:r>
              <w:rPr>
                <w:rStyle w:val="IndexLink"/>
                <w:lang w:val="en-US" w:eastAsia="en-US"/>
              </w:rPr>
              <w:t xml:space="preserve">5.5 </w:t>
            </w:r>
            <w:r>
              <w:rPr>
                <w:rStyle w:val="IndexLink"/>
                <w:lang w:val="en-US" w:eastAsia="en-US"/>
              </w:rPr>
              <w:t>薪金调整机制</w:t>
            </w:r>
            <w:r>
              <w:rPr>
                <w:rStyle w:val="IndexLink"/>
                <w:lang w:val="en-US" w:eastAsia="en-US"/>
              </w:rPr>
              <w:tab/>
              <w:t>26</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39">
            <w:r>
              <w:rPr>
                <w:rStyle w:val="IndexLink"/>
                <w:lang w:val="en-US" w:eastAsia="en-US"/>
              </w:rPr>
              <w:t>5.6</w:t>
            </w:r>
            <w:r>
              <w:rPr>
                <w:rStyle w:val="IndexLink"/>
                <w:rFonts w:cs="Calibri" w:ascii="Calibri" w:hAnsi="Calibri"/>
                <w:szCs w:val="22"/>
                <w:lang w:val="en-US" w:eastAsia="en-US"/>
              </w:rPr>
              <w:tab/>
            </w:r>
            <w:r>
              <w:rPr>
                <w:rStyle w:val="IndexLink"/>
                <w:lang w:val="en-US" w:eastAsia="en-US"/>
              </w:rPr>
              <w:t>假期</w:t>
            </w:r>
            <w:r>
              <w:rPr>
                <w:rStyle w:val="IndexLink"/>
                <w:lang w:val="en-US" w:eastAsia="en-US"/>
              </w:rPr>
              <w:tab/>
              <w:t>27</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40">
            <w:r>
              <w:rPr>
                <w:rStyle w:val="IndexLink"/>
                <w:lang w:val="en-US" w:eastAsia="en-US"/>
              </w:rPr>
              <w:t>5.7</w:t>
            </w:r>
            <w:r>
              <w:rPr>
                <w:rStyle w:val="IndexLink"/>
                <w:rFonts w:cs="Calibri" w:ascii="Calibri" w:hAnsi="Calibri"/>
                <w:szCs w:val="22"/>
                <w:lang w:val="en-US" w:eastAsia="en-US"/>
              </w:rPr>
              <w:tab/>
            </w:r>
            <w:r>
              <w:rPr>
                <w:rStyle w:val="IndexLink"/>
                <w:lang w:val="en-US" w:eastAsia="en-US"/>
              </w:rPr>
              <w:t>社会保险</w:t>
            </w:r>
            <w:r>
              <w:rPr>
                <w:rStyle w:val="IndexLink"/>
                <w:lang w:val="en-US" w:eastAsia="en-US"/>
              </w:rPr>
              <w:tab/>
              <w:t>29</w:t>
            </w:r>
          </w:hyperlink>
        </w:p>
        <w:p>
          <w:pPr>
            <w:pStyle w:val="Contents2"/>
            <w:tabs>
              <w:tab w:val="clear" w:pos="420"/>
              <w:tab w:val="right" w:pos="8494" w:leader="dot"/>
            </w:tabs>
            <w:rPr>
              <w:rFonts w:ascii="Calibri" w:hAnsi="Calibri" w:cs="Calibri"/>
              <w:szCs w:val="22"/>
              <w:lang w:val="en-US" w:eastAsia="en-US"/>
            </w:rPr>
          </w:pPr>
          <w:hyperlink w:anchor="__RefHeading___Toc427859441">
            <w:r>
              <w:rPr>
                <w:rStyle w:val="IndexLink"/>
                <w:lang w:val="en-US" w:eastAsia="en-US"/>
              </w:rPr>
              <w:t xml:space="preserve">5.8 </w:t>
            </w:r>
            <w:r>
              <w:rPr>
                <w:rStyle w:val="IndexLink"/>
                <w:lang w:val="en-US" w:eastAsia="en-US"/>
              </w:rPr>
              <w:t>贺仪与奠仪（限转正后）</w:t>
            </w:r>
            <w:r>
              <w:rPr>
                <w:rStyle w:val="IndexLink"/>
                <w:lang w:val="en-US" w:eastAsia="en-US"/>
              </w:rPr>
              <w:tab/>
              <w:t>30</w:t>
            </w:r>
          </w:hyperlink>
        </w:p>
        <w:p>
          <w:pPr>
            <w:pStyle w:val="Contents2"/>
            <w:tabs>
              <w:tab w:val="clear" w:pos="420"/>
              <w:tab w:val="right" w:pos="8494" w:leader="dot"/>
            </w:tabs>
            <w:rPr>
              <w:rFonts w:ascii="Calibri" w:hAnsi="Calibri" w:cs="Calibri"/>
              <w:szCs w:val="22"/>
              <w:lang w:val="en-US" w:eastAsia="en-US"/>
            </w:rPr>
          </w:pPr>
          <w:hyperlink w:anchor="__RefHeading___Toc427859442">
            <w:r>
              <w:rPr>
                <w:rStyle w:val="IndexLink"/>
                <w:lang w:val="en-US" w:eastAsia="en-US"/>
              </w:rPr>
              <w:t xml:space="preserve">5.9 </w:t>
            </w:r>
            <w:r>
              <w:rPr>
                <w:rStyle w:val="IndexLink"/>
                <w:lang w:val="en-US" w:eastAsia="en-US"/>
              </w:rPr>
              <w:t>独生子女费用（限转正后）</w:t>
            </w:r>
            <w:r>
              <w:rPr>
                <w:rStyle w:val="IndexLink"/>
                <w:lang w:val="en-US" w:eastAsia="en-US"/>
              </w:rPr>
              <w:tab/>
              <w:t>30</w:t>
            </w:r>
          </w:hyperlink>
        </w:p>
        <w:p>
          <w:pPr>
            <w:pStyle w:val="Contents2"/>
            <w:tabs>
              <w:tab w:val="clear" w:pos="420"/>
              <w:tab w:val="right" w:pos="8494" w:leader="dot"/>
            </w:tabs>
            <w:rPr>
              <w:rFonts w:ascii="Calibri" w:hAnsi="Calibri" w:cs="Calibri"/>
              <w:szCs w:val="22"/>
              <w:lang w:val="en-US" w:eastAsia="en-US"/>
            </w:rPr>
          </w:pPr>
          <w:hyperlink w:anchor="__RefHeading___Toc427859443">
            <w:r>
              <w:rPr>
                <w:rStyle w:val="IndexLink"/>
                <w:lang w:val="en-US" w:eastAsia="en-US"/>
              </w:rPr>
              <w:t xml:space="preserve">5.10 </w:t>
            </w:r>
            <w:r>
              <w:rPr>
                <w:rStyle w:val="IndexLink"/>
                <w:lang w:val="en-US" w:eastAsia="en-US"/>
              </w:rPr>
              <w:t>体检及职员活动</w:t>
            </w:r>
            <w:r>
              <w:rPr>
                <w:rStyle w:val="IndexLink"/>
                <w:lang w:val="en-US" w:eastAsia="en-US"/>
              </w:rPr>
              <w:tab/>
              <w:t>30</w:t>
            </w:r>
          </w:hyperlink>
        </w:p>
        <w:p>
          <w:pPr>
            <w:pStyle w:val="Contents2"/>
            <w:tabs>
              <w:tab w:val="clear" w:pos="420"/>
              <w:tab w:val="right" w:pos="8494" w:leader="dot"/>
            </w:tabs>
            <w:rPr>
              <w:rFonts w:ascii="Calibri" w:hAnsi="Calibri" w:cs="Calibri"/>
              <w:szCs w:val="22"/>
              <w:lang w:val="en-US" w:eastAsia="en-US"/>
            </w:rPr>
          </w:pPr>
          <w:hyperlink w:anchor="__RefHeading___Toc427859444">
            <w:r>
              <w:rPr>
                <w:rStyle w:val="IndexLink"/>
                <w:lang w:val="en-US" w:eastAsia="en-US"/>
              </w:rPr>
              <w:t xml:space="preserve">5.11 </w:t>
            </w:r>
            <w:r>
              <w:rPr>
                <w:rStyle w:val="IndexLink"/>
                <w:lang w:val="en-US" w:eastAsia="en-US"/>
              </w:rPr>
              <w:t>职员宿舍</w:t>
            </w:r>
            <w:r>
              <w:rPr>
                <w:rStyle w:val="IndexLink"/>
                <w:lang w:val="en-US" w:eastAsia="en-US"/>
              </w:rPr>
              <w:tab/>
              <w:t>31</w:t>
            </w:r>
          </w:hyperlink>
        </w:p>
        <w:p>
          <w:pPr>
            <w:pStyle w:val="Contents1"/>
            <w:tabs>
              <w:tab w:val="clear" w:pos="420"/>
              <w:tab w:val="right" w:pos="8494" w:leader="dot"/>
            </w:tabs>
            <w:rPr>
              <w:rFonts w:ascii="Calibri" w:hAnsi="Calibri" w:cs="Calibri"/>
              <w:szCs w:val="22"/>
              <w:lang w:val="en-US" w:eastAsia="en-US"/>
            </w:rPr>
          </w:pPr>
          <w:hyperlink w:anchor="__RefHeading___Toc427859445">
            <w:r>
              <w:rPr>
                <w:rStyle w:val="IndexLink"/>
                <w:lang w:val="en-US" w:eastAsia="en-US"/>
              </w:rPr>
              <w:t>第六章</w:t>
            </w:r>
            <w:r>
              <w:rPr>
                <w:rStyle w:val="IndexLink"/>
                <w:rFonts w:eastAsia="Times New Roman"/>
                <w:lang w:val="en-US" w:eastAsia="en-US"/>
              </w:rPr>
              <w:t xml:space="preserve"> </w:t>
            </w:r>
            <w:r>
              <w:rPr>
                <w:rStyle w:val="IndexLink"/>
                <w:lang w:val="en-US" w:eastAsia="en-US"/>
              </w:rPr>
              <w:t>培训、考核与发展</w:t>
            </w:r>
            <w:r>
              <w:rPr>
                <w:rStyle w:val="IndexLink"/>
                <w:lang w:val="en-US" w:eastAsia="en-US"/>
              </w:rPr>
              <w:tab/>
              <w:t>32</w:t>
            </w:r>
          </w:hyperlink>
        </w:p>
        <w:p>
          <w:pPr>
            <w:pStyle w:val="Contents2"/>
            <w:tabs>
              <w:tab w:val="clear" w:pos="420"/>
              <w:tab w:val="right" w:pos="8494" w:leader="dot"/>
            </w:tabs>
            <w:rPr>
              <w:rFonts w:ascii="Calibri" w:hAnsi="Calibri" w:cs="Calibri"/>
              <w:szCs w:val="22"/>
              <w:lang w:val="en-US" w:eastAsia="en-US"/>
            </w:rPr>
          </w:pPr>
          <w:hyperlink w:anchor="__RefHeading___Toc427859446">
            <w:r>
              <w:rPr>
                <w:rStyle w:val="IndexLink"/>
                <w:lang w:val="en-US" w:eastAsia="en-US"/>
              </w:rPr>
              <w:t>6.1</w:t>
            </w:r>
            <w:r>
              <w:rPr>
                <w:rStyle w:val="IndexLink"/>
                <w:lang w:val="en-US" w:eastAsia="en-US"/>
              </w:rPr>
              <w:t>培训与发展</w:t>
            </w:r>
            <w:r>
              <w:rPr>
                <w:rStyle w:val="IndexLink"/>
                <w:lang w:val="en-US" w:eastAsia="en-US"/>
              </w:rPr>
              <w:tab/>
              <w:t>32</w:t>
            </w:r>
          </w:hyperlink>
        </w:p>
        <w:p>
          <w:pPr>
            <w:pStyle w:val="Contents2"/>
            <w:tabs>
              <w:tab w:val="clear" w:pos="420"/>
              <w:tab w:val="right" w:pos="8494" w:leader="dot"/>
            </w:tabs>
            <w:rPr>
              <w:rFonts w:ascii="Calibri" w:hAnsi="Calibri" w:cs="Calibri"/>
              <w:szCs w:val="22"/>
              <w:lang w:val="en-US" w:eastAsia="en-US"/>
            </w:rPr>
          </w:pPr>
          <w:hyperlink w:anchor="__RefHeading___Toc427859447">
            <w:r>
              <w:rPr>
                <w:rStyle w:val="IndexLink"/>
                <w:lang w:val="en-US" w:eastAsia="en-US"/>
              </w:rPr>
              <w:t xml:space="preserve">6.2 </w:t>
            </w:r>
            <w:r>
              <w:rPr>
                <w:rStyle w:val="IndexLink"/>
                <w:lang w:val="en-US" w:eastAsia="en-US"/>
              </w:rPr>
              <w:t>培训体系</w:t>
            </w:r>
            <w:r>
              <w:rPr>
                <w:rStyle w:val="IndexLink"/>
                <w:lang w:val="en-US" w:eastAsia="en-US"/>
              </w:rPr>
              <w:tab/>
              <w:t>32</w:t>
            </w:r>
          </w:hyperlink>
        </w:p>
        <w:p>
          <w:pPr>
            <w:pStyle w:val="Contents2"/>
            <w:tabs>
              <w:tab w:val="clear" w:pos="420"/>
              <w:tab w:val="right" w:pos="8494" w:leader="dot"/>
            </w:tabs>
            <w:rPr>
              <w:rFonts w:ascii="Calibri" w:hAnsi="Calibri" w:cs="Calibri"/>
              <w:szCs w:val="22"/>
              <w:lang w:val="en-US" w:eastAsia="en-US"/>
            </w:rPr>
          </w:pPr>
          <w:hyperlink w:anchor="__RefHeading___Toc427859448">
            <w:r>
              <w:rPr>
                <w:rStyle w:val="IndexLink"/>
                <w:lang w:val="en-US" w:eastAsia="en-US"/>
              </w:rPr>
              <w:t xml:space="preserve">6.3 </w:t>
            </w:r>
            <w:r>
              <w:rPr>
                <w:rStyle w:val="IndexLink"/>
                <w:lang w:val="en-US" w:eastAsia="en-US"/>
              </w:rPr>
              <w:t>培训形式</w:t>
            </w:r>
            <w:r>
              <w:rPr>
                <w:rStyle w:val="IndexLink"/>
                <w:lang w:val="en-US" w:eastAsia="en-US"/>
              </w:rPr>
              <w:tab/>
              <w:t>33</w:t>
            </w:r>
          </w:hyperlink>
        </w:p>
        <w:p>
          <w:pPr>
            <w:pStyle w:val="Contents2"/>
            <w:tabs>
              <w:tab w:val="clear" w:pos="420"/>
              <w:tab w:val="right" w:pos="8494" w:leader="dot"/>
            </w:tabs>
            <w:rPr>
              <w:rFonts w:ascii="Calibri" w:hAnsi="Calibri" w:cs="Calibri"/>
              <w:szCs w:val="22"/>
              <w:lang w:val="en-US" w:eastAsia="en-US"/>
            </w:rPr>
          </w:pPr>
          <w:hyperlink w:anchor="__RefHeading___Toc427859449">
            <w:r>
              <w:rPr>
                <w:rStyle w:val="IndexLink"/>
                <w:lang w:val="en-US" w:eastAsia="en-US"/>
              </w:rPr>
              <w:t xml:space="preserve">6.4 </w:t>
            </w:r>
            <w:r>
              <w:rPr>
                <w:rStyle w:val="IndexLink"/>
                <w:lang w:val="en-US" w:eastAsia="en-US"/>
              </w:rPr>
              <w:t>培训种类</w:t>
            </w:r>
            <w:r>
              <w:rPr>
                <w:rStyle w:val="IndexLink"/>
                <w:lang w:val="en-US" w:eastAsia="en-US"/>
              </w:rPr>
              <w:tab/>
              <w:t>34</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50">
            <w:r>
              <w:rPr>
                <w:rStyle w:val="IndexLink"/>
                <w:lang w:val="en-US" w:eastAsia="en-US"/>
              </w:rPr>
              <w:t>6.5</w:t>
            </w:r>
            <w:r>
              <w:rPr>
                <w:rStyle w:val="IndexLink"/>
                <w:rFonts w:cs="Calibri" w:ascii="Calibri" w:hAnsi="Calibri"/>
                <w:szCs w:val="22"/>
                <w:lang w:val="en-US" w:eastAsia="en-US"/>
              </w:rPr>
              <w:tab/>
            </w:r>
            <w:r>
              <w:rPr>
                <w:rStyle w:val="IndexLink"/>
                <w:lang w:val="en-US" w:eastAsia="en-US"/>
              </w:rPr>
              <w:t>绩效考核与评估</w:t>
            </w:r>
            <w:r>
              <w:rPr>
                <w:rStyle w:val="IndexLink"/>
                <w:lang w:val="en-US" w:eastAsia="en-US"/>
              </w:rPr>
              <w:tab/>
              <w:t>35</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51">
            <w:r>
              <w:rPr>
                <w:rStyle w:val="IndexLink"/>
                <w:lang w:val="en-US" w:eastAsia="en-US"/>
              </w:rPr>
              <w:t>6.6</w:t>
            </w:r>
            <w:r>
              <w:rPr>
                <w:rStyle w:val="IndexLink"/>
                <w:rFonts w:cs="Calibri" w:ascii="Calibri" w:hAnsi="Calibri"/>
                <w:szCs w:val="22"/>
                <w:lang w:val="en-US" w:eastAsia="en-US"/>
              </w:rPr>
              <w:tab/>
            </w:r>
            <w:r>
              <w:rPr>
                <w:rStyle w:val="IndexLink"/>
                <w:lang w:val="en-US" w:eastAsia="en-US"/>
              </w:rPr>
              <w:t>内部调动</w:t>
            </w:r>
            <w:r>
              <w:rPr>
                <w:rStyle w:val="IndexLink"/>
                <w:lang w:val="en-US" w:eastAsia="en-US"/>
              </w:rPr>
              <w:tab/>
              <w:t>35</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52">
            <w:r>
              <w:rPr>
                <w:rStyle w:val="IndexLink"/>
                <w:lang w:val="en-US" w:eastAsia="en-US"/>
              </w:rPr>
              <w:t>6.7</w:t>
            </w:r>
            <w:r>
              <w:rPr>
                <w:rStyle w:val="IndexLink"/>
                <w:rFonts w:cs="Calibri" w:ascii="Calibri" w:hAnsi="Calibri"/>
                <w:szCs w:val="22"/>
                <w:lang w:val="en-US" w:eastAsia="en-US"/>
              </w:rPr>
              <w:tab/>
            </w:r>
            <w:r>
              <w:rPr>
                <w:rStyle w:val="IndexLink"/>
                <w:lang w:val="en-US" w:eastAsia="en-US"/>
              </w:rPr>
              <w:t>晋升机制</w:t>
            </w:r>
            <w:r>
              <w:rPr>
                <w:rStyle w:val="IndexLink"/>
                <w:lang w:val="en-US" w:eastAsia="en-US"/>
              </w:rPr>
              <w:tab/>
              <w:t>36</w:t>
            </w:r>
          </w:hyperlink>
        </w:p>
        <w:p>
          <w:pPr>
            <w:pStyle w:val="Contents1"/>
            <w:tabs>
              <w:tab w:val="clear" w:pos="420"/>
              <w:tab w:val="right" w:pos="8494" w:leader="dot"/>
            </w:tabs>
            <w:rPr>
              <w:rFonts w:ascii="Calibri" w:hAnsi="Calibri" w:cs="Calibri"/>
              <w:szCs w:val="22"/>
              <w:lang w:val="en-US" w:eastAsia="en-US"/>
            </w:rPr>
          </w:pPr>
          <w:hyperlink w:anchor="__RefHeading___Toc427859453">
            <w:r>
              <w:rPr>
                <w:rStyle w:val="IndexLink"/>
                <w:lang w:val="en-US" w:eastAsia="en-US"/>
              </w:rPr>
              <w:t>第七章</w:t>
            </w:r>
            <w:r>
              <w:rPr>
                <w:rStyle w:val="IndexLink"/>
                <w:rFonts w:eastAsia="Times New Roman"/>
                <w:lang w:val="en-US" w:eastAsia="en-US"/>
              </w:rPr>
              <w:t xml:space="preserve"> </w:t>
            </w:r>
            <w:r>
              <w:rPr>
                <w:rStyle w:val="IndexLink"/>
                <w:lang w:val="en-US" w:eastAsia="en-US"/>
              </w:rPr>
              <w:t>劳动合同</w:t>
            </w:r>
            <w:r>
              <w:rPr>
                <w:rStyle w:val="IndexLink"/>
                <w:lang w:val="en-US" w:eastAsia="en-US"/>
              </w:rPr>
              <w:tab/>
              <w:t>37</w:t>
            </w:r>
          </w:hyperlink>
        </w:p>
        <w:p>
          <w:pPr>
            <w:pStyle w:val="Contents2"/>
            <w:tabs>
              <w:tab w:val="clear" w:pos="420"/>
              <w:tab w:val="right" w:pos="8494" w:leader="dot"/>
            </w:tabs>
            <w:rPr>
              <w:rFonts w:ascii="Calibri" w:hAnsi="Calibri" w:cs="Calibri"/>
              <w:szCs w:val="22"/>
              <w:lang w:val="en-US" w:eastAsia="en-US"/>
            </w:rPr>
          </w:pPr>
          <w:hyperlink w:anchor="__RefHeading___Toc427859454">
            <w:r>
              <w:rPr>
                <w:rStyle w:val="IndexLink"/>
                <w:lang w:val="en-US" w:eastAsia="en-US"/>
              </w:rPr>
              <w:t xml:space="preserve">7.1 </w:t>
            </w:r>
            <w:r>
              <w:rPr>
                <w:rStyle w:val="IndexLink"/>
                <w:lang w:val="en-US" w:eastAsia="en-US"/>
              </w:rPr>
              <w:t>适用范围</w:t>
            </w:r>
            <w:r>
              <w:rPr>
                <w:rStyle w:val="IndexLink"/>
                <w:lang w:val="en-US" w:eastAsia="en-US"/>
              </w:rPr>
              <w:tab/>
              <w:t>37</w:t>
            </w:r>
          </w:hyperlink>
        </w:p>
        <w:p>
          <w:pPr>
            <w:pStyle w:val="Contents2"/>
            <w:tabs>
              <w:tab w:val="clear" w:pos="420"/>
              <w:tab w:val="right" w:pos="8494" w:leader="dot"/>
            </w:tabs>
            <w:rPr>
              <w:rFonts w:ascii="Calibri" w:hAnsi="Calibri" w:cs="Calibri"/>
              <w:szCs w:val="22"/>
              <w:lang w:val="en-US" w:eastAsia="en-US"/>
            </w:rPr>
          </w:pPr>
          <w:hyperlink w:anchor="__RefHeading___Toc427859455">
            <w:r>
              <w:rPr>
                <w:rStyle w:val="IndexLink"/>
                <w:lang w:val="en-US" w:eastAsia="en-US"/>
              </w:rPr>
              <w:t xml:space="preserve">7.2 </w:t>
            </w:r>
            <w:r>
              <w:rPr>
                <w:rStyle w:val="IndexLink"/>
                <w:lang w:val="en-US" w:eastAsia="en-US"/>
              </w:rPr>
              <w:t>合同期限</w:t>
            </w:r>
            <w:r>
              <w:rPr>
                <w:rStyle w:val="IndexLink"/>
                <w:lang w:val="en-US" w:eastAsia="en-US"/>
              </w:rPr>
              <w:tab/>
              <w:t>37</w:t>
            </w:r>
          </w:hyperlink>
        </w:p>
        <w:p>
          <w:pPr>
            <w:pStyle w:val="Contents2"/>
            <w:tabs>
              <w:tab w:val="clear" w:pos="420"/>
              <w:tab w:val="right" w:pos="8494" w:leader="dot"/>
            </w:tabs>
            <w:rPr>
              <w:rFonts w:ascii="Calibri" w:hAnsi="Calibri" w:cs="Calibri"/>
              <w:szCs w:val="22"/>
              <w:lang w:val="en-US" w:eastAsia="en-US"/>
            </w:rPr>
          </w:pPr>
          <w:hyperlink w:anchor="__RefHeading___Toc427859456">
            <w:r>
              <w:rPr>
                <w:rStyle w:val="IndexLink"/>
                <w:lang w:val="en-US" w:eastAsia="en-US"/>
              </w:rPr>
              <w:t>7.3</w:t>
            </w:r>
            <w:r>
              <w:rPr>
                <w:rStyle w:val="IndexLink"/>
                <w:lang w:val="en-US" w:eastAsia="en-US"/>
              </w:rPr>
              <w:t>合同签定、续订、变更和解除</w:t>
            </w:r>
            <w:r>
              <w:rPr>
                <w:rStyle w:val="IndexLink"/>
                <w:lang w:val="en-US" w:eastAsia="en-US"/>
              </w:rPr>
              <w:tab/>
              <w:t>37</w:t>
            </w:r>
          </w:hyperlink>
        </w:p>
        <w:p>
          <w:pPr>
            <w:pStyle w:val="Contents2"/>
            <w:tabs>
              <w:tab w:val="clear" w:pos="420"/>
              <w:tab w:val="right" w:pos="8494" w:leader="dot"/>
            </w:tabs>
            <w:rPr>
              <w:rFonts w:ascii="Calibri" w:hAnsi="Calibri" w:cs="Calibri"/>
              <w:szCs w:val="22"/>
              <w:lang w:val="en-US" w:eastAsia="en-US"/>
            </w:rPr>
          </w:pPr>
          <w:hyperlink w:anchor="__RefHeading___Toc427859457">
            <w:r>
              <w:rPr>
                <w:rStyle w:val="IndexLink"/>
                <w:lang w:val="en-US" w:eastAsia="en-US"/>
              </w:rPr>
              <w:t xml:space="preserve">7.4 </w:t>
            </w:r>
            <w:r>
              <w:rPr>
                <w:rStyle w:val="IndexLink"/>
                <w:lang w:val="en-US" w:eastAsia="en-US"/>
              </w:rPr>
              <w:t>完备调离手续</w:t>
            </w:r>
            <w:r>
              <w:rPr>
                <w:rStyle w:val="IndexLink"/>
                <w:lang w:val="en-US" w:eastAsia="en-US"/>
              </w:rPr>
              <w:tab/>
              <w:t>38</w:t>
            </w:r>
          </w:hyperlink>
        </w:p>
        <w:p>
          <w:pPr>
            <w:pStyle w:val="Contents2"/>
            <w:tabs>
              <w:tab w:val="clear" w:pos="420"/>
              <w:tab w:val="right" w:pos="8494" w:leader="dot"/>
            </w:tabs>
            <w:rPr>
              <w:rFonts w:ascii="Calibri" w:hAnsi="Calibri" w:cs="Calibri"/>
              <w:szCs w:val="22"/>
              <w:lang w:val="en-US" w:eastAsia="en-US"/>
            </w:rPr>
          </w:pPr>
          <w:hyperlink w:anchor="__RefHeading___Toc427859458">
            <w:r>
              <w:rPr>
                <w:rStyle w:val="IndexLink"/>
                <w:lang w:val="en-US" w:eastAsia="en-US"/>
              </w:rPr>
              <w:t xml:space="preserve">7.5 </w:t>
            </w:r>
            <w:r>
              <w:rPr>
                <w:rStyle w:val="IndexLink"/>
                <w:lang w:val="en-US" w:eastAsia="en-US"/>
              </w:rPr>
              <w:t>离职面谈</w:t>
            </w:r>
            <w:r>
              <w:rPr>
                <w:rStyle w:val="IndexLink"/>
                <w:lang w:val="en-US" w:eastAsia="en-US"/>
              </w:rPr>
              <w:tab/>
              <w:t>39</w:t>
            </w:r>
          </w:hyperlink>
        </w:p>
        <w:p>
          <w:pPr>
            <w:pStyle w:val="Contents2"/>
            <w:tabs>
              <w:tab w:val="clear" w:pos="420"/>
              <w:tab w:val="right" w:pos="8494" w:leader="dot"/>
            </w:tabs>
            <w:rPr>
              <w:rFonts w:ascii="Calibri" w:hAnsi="Calibri" w:cs="Calibri"/>
              <w:szCs w:val="22"/>
              <w:lang w:val="en-US" w:eastAsia="en-US"/>
            </w:rPr>
          </w:pPr>
          <w:hyperlink w:anchor="__RefHeading___Toc427859459">
            <w:r>
              <w:rPr>
                <w:rStyle w:val="IndexLink"/>
                <w:lang w:val="en-US" w:eastAsia="en-US"/>
              </w:rPr>
              <w:t xml:space="preserve">7.6 </w:t>
            </w:r>
            <w:r>
              <w:rPr>
                <w:rStyle w:val="IndexLink"/>
                <w:lang w:val="en-US" w:eastAsia="en-US"/>
              </w:rPr>
              <w:t>纠纷处理</w:t>
            </w:r>
            <w:r>
              <w:rPr>
                <w:rStyle w:val="IndexLink"/>
                <w:lang w:val="en-US" w:eastAsia="en-US"/>
              </w:rPr>
              <w:tab/>
              <w:t>39</w:t>
            </w:r>
          </w:hyperlink>
        </w:p>
        <w:p>
          <w:pPr>
            <w:pStyle w:val="Contents1"/>
            <w:tabs>
              <w:tab w:val="clear" w:pos="420"/>
              <w:tab w:val="right" w:pos="8494" w:leader="dot"/>
            </w:tabs>
            <w:rPr>
              <w:rFonts w:ascii="Calibri" w:hAnsi="Calibri" w:cs="Calibri"/>
              <w:szCs w:val="22"/>
              <w:lang w:val="en-US" w:eastAsia="en-US"/>
            </w:rPr>
          </w:pPr>
          <w:hyperlink w:anchor="__RefHeading___Toc427859460">
            <w:r>
              <w:rPr>
                <w:rStyle w:val="IndexLink"/>
                <w:lang w:val="en-US" w:eastAsia="en-US"/>
              </w:rPr>
              <w:t>第八章</w:t>
            </w:r>
            <w:r>
              <w:rPr>
                <w:rStyle w:val="IndexLink"/>
                <w:rFonts w:eastAsia="Times New Roman"/>
                <w:lang w:val="en-US" w:eastAsia="en-US"/>
              </w:rPr>
              <w:t xml:space="preserve"> </w:t>
            </w:r>
            <w:r>
              <w:rPr>
                <w:rStyle w:val="IndexLink"/>
                <w:lang w:val="en-US" w:eastAsia="en-US"/>
              </w:rPr>
              <w:t>员工关系与沟通</w:t>
            </w:r>
            <w:r>
              <w:rPr>
                <w:rStyle w:val="IndexLink"/>
                <w:lang w:val="en-US" w:eastAsia="en-US"/>
              </w:rPr>
              <w:tab/>
              <w:t>40</w:t>
            </w:r>
          </w:hyperlink>
        </w:p>
        <w:p>
          <w:pPr>
            <w:pStyle w:val="Contents2"/>
            <w:tabs>
              <w:tab w:val="clear" w:pos="420"/>
              <w:tab w:val="right" w:pos="8494" w:leader="dot"/>
            </w:tabs>
            <w:rPr>
              <w:rFonts w:ascii="Calibri" w:hAnsi="Calibri" w:cs="Calibri"/>
              <w:szCs w:val="22"/>
              <w:lang w:val="en-US" w:eastAsia="en-US"/>
            </w:rPr>
          </w:pPr>
          <w:hyperlink w:anchor="__RefHeading___Toc427859461">
            <w:r>
              <w:rPr>
                <w:rStyle w:val="IndexLink"/>
                <w:lang w:val="en-US" w:eastAsia="en-US"/>
              </w:rPr>
              <w:t>8.1</w:t>
            </w:r>
            <w:r>
              <w:rPr>
                <w:rStyle w:val="IndexLink"/>
                <w:lang w:val="en-US" w:eastAsia="en-US"/>
              </w:rPr>
              <w:t>沟通渠道</w:t>
            </w:r>
            <w:r>
              <w:rPr>
                <w:rStyle w:val="IndexLink"/>
                <w:lang w:val="en-US" w:eastAsia="en-US"/>
              </w:rPr>
              <w:tab/>
              <w:t>40</w:t>
            </w:r>
          </w:hyperlink>
        </w:p>
        <w:p>
          <w:pPr>
            <w:pStyle w:val="Contents2"/>
            <w:tabs>
              <w:tab w:val="clear" w:pos="420"/>
              <w:tab w:val="right" w:pos="8494" w:leader="dot"/>
            </w:tabs>
            <w:rPr>
              <w:rFonts w:ascii="Calibri" w:hAnsi="Calibri" w:cs="Calibri"/>
              <w:szCs w:val="22"/>
              <w:lang w:val="en-US" w:eastAsia="en-US"/>
            </w:rPr>
          </w:pPr>
          <w:hyperlink w:anchor="__RefHeading___Toc427859462">
            <w:r>
              <w:rPr>
                <w:rStyle w:val="IndexLink"/>
                <w:lang w:val="en-US" w:eastAsia="en-US"/>
              </w:rPr>
              <w:t>8.2</w:t>
            </w:r>
            <w:r>
              <w:rPr>
                <w:rStyle w:val="IndexLink"/>
                <w:lang w:val="en-US" w:eastAsia="en-US"/>
              </w:rPr>
              <w:t>意见调查</w:t>
            </w:r>
            <w:r>
              <w:rPr>
                <w:rStyle w:val="IndexLink"/>
                <w:lang w:val="en-US" w:eastAsia="en-US"/>
              </w:rPr>
              <w:tab/>
              <w:t>40</w:t>
            </w:r>
          </w:hyperlink>
        </w:p>
        <w:p>
          <w:pPr>
            <w:pStyle w:val="Contents2"/>
            <w:tabs>
              <w:tab w:val="clear" w:pos="420"/>
              <w:tab w:val="right" w:pos="8494" w:leader="dot"/>
            </w:tabs>
            <w:rPr>
              <w:rFonts w:ascii="Calibri" w:hAnsi="Calibri" w:cs="Calibri"/>
              <w:szCs w:val="22"/>
              <w:lang w:val="en-US" w:eastAsia="en-US"/>
            </w:rPr>
          </w:pPr>
          <w:hyperlink w:anchor="__RefHeading___Toc427859463">
            <w:r>
              <w:rPr>
                <w:rStyle w:val="IndexLink"/>
                <w:lang w:val="en-US" w:eastAsia="en-US"/>
              </w:rPr>
              <w:t xml:space="preserve">8.3 </w:t>
            </w:r>
            <w:r>
              <w:rPr>
                <w:rStyle w:val="IndexLink"/>
                <w:lang w:val="en-US" w:eastAsia="en-US"/>
              </w:rPr>
              <w:t>信息沟通</w:t>
            </w:r>
            <w:r>
              <w:rPr>
                <w:rStyle w:val="IndexLink"/>
                <w:lang w:val="en-US" w:eastAsia="en-US"/>
              </w:rPr>
              <w:tab/>
              <w:t>40</w:t>
            </w:r>
          </w:hyperlink>
        </w:p>
        <w:p>
          <w:pPr>
            <w:pStyle w:val="Contents2"/>
            <w:tabs>
              <w:tab w:val="clear" w:pos="420"/>
              <w:tab w:val="right" w:pos="8494" w:leader="dot"/>
            </w:tabs>
            <w:rPr>
              <w:rFonts w:ascii="Calibri" w:hAnsi="Calibri" w:cs="Calibri"/>
              <w:szCs w:val="22"/>
              <w:lang w:val="en-US" w:eastAsia="en-US"/>
            </w:rPr>
          </w:pPr>
          <w:hyperlink w:anchor="__RefHeading___Toc427859464">
            <w:r>
              <w:rPr>
                <w:rStyle w:val="IndexLink"/>
                <w:lang w:val="en-US" w:eastAsia="en-US"/>
              </w:rPr>
              <w:t xml:space="preserve">8.4 </w:t>
            </w:r>
            <w:r>
              <w:rPr>
                <w:rStyle w:val="IndexLink"/>
                <w:lang w:val="en-US" w:eastAsia="en-US"/>
              </w:rPr>
              <w:t>申诉程序</w:t>
            </w:r>
            <w:r>
              <w:rPr>
                <w:rStyle w:val="IndexLink"/>
                <w:lang w:val="en-US" w:eastAsia="en-US"/>
              </w:rPr>
              <w:tab/>
              <w:t>41</w:t>
            </w:r>
          </w:hyperlink>
        </w:p>
        <w:p>
          <w:pPr>
            <w:pStyle w:val="Contents1"/>
            <w:tabs>
              <w:tab w:val="clear" w:pos="420"/>
              <w:tab w:val="right" w:pos="8494" w:leader="dot"/>
            </w:tabs>
            <w:rPr>
              <w:rFonts w:ascii="Calibri" w:hAnsi="Calibri" w:cs="Calibri"/>
              <w:szCs w:val="22"/>
              <w:lang w:val="en-US" w:eastAsia="en-US"/>
            </w:rPr>
          </w:pPr>
          <w:hyperlink w:anchor="__RefHeading___Toc427859465">
            <w:r>
              <w:rPr>
                <w:rStyle w:val="IndexLink"/>
                <w:lang w:val="en-US" w:eastAsia="en-US"/>
              </w:rPr>
              <w:t>第九章</w:t>
            </w:r>
            <w:r>
              <w:rPr>
                <w:rStyle w:val="IndexLink"/>
                <w:rFonts w:eastAsia="Times New Roman"/>
                <w:lang w:val="en-US" w:eastAsia="en-US"/>
              </w:rPr>
              <w:t xml:space="preserve"> </w:t>
            </w:r>
            <w:r>
              <w:rPr>
                <w:rStyle w:val="IndexLink"/>
                <w:lang w:val="en-US" w:eastAsia="en-US"/>
              </w:rPr>
              <w:t>职工委员会</w:t>
            </w:r>
            <w:r>
              <w:rPr>
                <w:rStyle w:val="IndexLink"/>
                <w:lang w:val="en-US" w:eastAsia="en-US"/>
              </w:rPr>
              <w:tab/>
              <w:t>42</w:t>
            </w:r>
          </w:hyperlink>
        </w:p>
        <w:p>
          <w:pPr>
            <w:pStyle w:val="Contents1"/>
            <w:tabs>
              <w:tab w:val="clear" w:pos="420"/>
              <w:tab w:val="right" w:pos="8494" w:leader="dot"/>
            </w:tabs>
            <w:rPr>
              <w:rFonts w:ascii="Calibri" w:hAnsi="Calibri" w:cs="Calibri"/>
              <w:szCs w:val="22"/>
              <w:lang w:val="en-US" w:eastAsia="en-US"/>
            </w:rPr>
          </w:pPr>
          <w:hyperlink w:anchor="__RefHeading___Toc427859466">
            <w:r>
              <w:rPr>
                <w:rStyle w:val="IndexLink"/>
                <w:lang w:val="en-US" w:eastAsia="en-US"/>
              </w:rPr>
              <w:t>第十章</w:t>
            </w:r>
            <w:r>
              <w:rPr>
                <w:rStyle w:val="IndexLink"/>
                <w:rFonts w:eastAsia="Times New Roman"/>
                <w:lang w:val="en-US" w:eastAsia="en-US"/>
              </w:rPr>
              <w:t xml:space="preserve"> </w:t>
            </w:r>
            <w:r>
              <w:rPr>
                <w:rStyle w:val="IndexLink"/>
                <w:lang w:val="en-US" w:eastAsia="en-US"/>
              </w:rPr>
              <w:t>其它</w:t>
            </w:r>
            <w:r>
              <w:rPr>
                <w:rStyle w:val="IndexLink"/>
                <w:lang w:val="en-US" w:eastAsia="en-US"/>
              </w:rPr>
              <w:tab/>
              <w:t>43</w:t>
            </w:r>
          </w:hyperlink>
        </w:p>
        <w:p>
          <w:pPr>
            <w:pStyle w:val="Contents2"/>
            <w:tabs>
              <w:tab w:val="clear" w:pos="420"/>
              <w:tab w:val="right" w:pos="8494" w:leader="dot"/>
            </w:tabs>
            <w:rPr>
              <w:rFonts w:ascii="Calibri" w:hAnsi="Calibri" w:cs="Calibri"/>
              <w:szCs w:val="22"/>
              <w:lang w:val="en-US" w:eastAsia="en-US"/>
            </w:rPr>
          </w:pPr>
          <w:hyperlink w:anchor="__RefHeading___Toc427859467">
            <w:r>
              <w:rPr>
                <w:rStyle w:val="IndexLink"/>
                <w:lang w:val="en-US" w:eastAsia="en-US"/>
              </w:rPr>
              <w:t xml:space="preserve">10.1 </w:t>
            </w:r>
            <w:r>
              <w:rPr>
                <w:rStyle w:val="IndexLink"/>
                <w:lang w:val="en-US" w:eastAsia="en-US"/>
              </w:rPr>
              <w:t>职员劳动安全</w:t>
            </w:r>
            <w:r>
              <w:rPr>
                <w:rStyle w:val="IndexLink"/>
                <w:lang w:val="en-US" w:eastAsia="en-US"/>
              </w:rPr>
              <w:tab/>
              <w:t>43</w:t>
            </w:r>
          </w:hyperlink>
        </w:p>
        <w:p>
          <w:pPr>
            <w:pStyle w:val="Contents2"/>
            <w:tabs>
              <w:tab w:val="clear" w:pos="420"/>
              <w:tab w:val="right" w:pos="8494" w:leader="dot"/>
            </w:tabs>
            <w:rPr>
              <w:rFonts w:ascii="Calibri" w:hAnsi="Calibri" w:cs="Calibri"/>
              <w:szCs w:val="22"/>
              <w:lang w:val="en-US" w:eastAsia="en-US"/>
            </w:rPr>
          </w:pPr>
          <w:hyperlink w:anchor="__RefHeading___Toc427859468">
            <w:r>
              <w:rPr>
                <w:rStyle w:val="IndexLink"/>
                <w:lang w:val="en-US" w:eastAsia="en-US"/>
              </w:rPr>
              <w:t>10.2</w:t>
            </w:r>
            <w:r>
              <w:rPr>
                <w:rStyle w:val="IndexLink"/>
                <w:lang w:val="en-US" w:eastAsia="en-US"/>
              </w:rPr>
              <w:t>安全与防灾措施</w:t>
            </w:r>
            <w:r>
              <w:rPr>
                <w:rStyle w:val="IndexLink"/>
                <w:lang w:val="en-US" w:eastAsia="en-US"/>
              </w:rPr>
              <w:tab/>
              <w:t>43</w:t>
            </w:r>
          </w:hyperlink>
        </w:p>
        <w:p>
          <w:pPr>
            <w:pStyle w:val="Contents2"/>
            <w:tabs>
              <w:tab w:val="clear" w:pos="420"/>
              <w:tab w:val="right" w:pos="8494" w:leader="dot"/>
            </w:tabs>
            <w:rPr>
              <w:rFonts w:ascii="Calibri" w:hAnsi="Calibri" w:cs="Calibri"/>
              <w:szCs w:val="22"/>
              <w:lang w:val="en-US" w:eastAsia="en-US"/>
            </w:rPr>
          </w:pPr>
          <w:hyperlink w:anchor="__RefHeading___Toc427859469">
            <w:r>
              <w:rPr>
                <w:rStyle w:val="IndexLink"/>
                <w:lang w:val="en-US" w:eastAsia="en-US"/>
              </w:rPr>
              <w:t xml:space="preserve">10.3 </w:t>
            </w:r>
            <w:r>
              <w:rPr>
                <w:rStyle w:val="IndexLink"/>
                <w:lang w:val="en-US" w:eastAsia="en-US"/>
              </w:rPr>
              <w:t>保护知识产权政策</w:t>
            </w:r>
            <w:r>
              <w:rPr>
                <w:rStyle w:val="IndexLink"/>
                <w:lang w:val="en-US" w:eastAsia="en-US"/>
              </w:rPr>
              <w:tab/>
              <w:t>44</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70">
            <w:r>
              <w:rPr>
                <w:rStyle w:val="IndexLink"/>
                <w:lang w:val="en-US" w:eastAsia="en-US"/>
              </w:rPr>
              <w:t>10.4</w:t>
            </w:r>
            <w:r>
              <w:rPr>
                <w:rStyle w:val="IndexLink"/>
                <w:rFonts w:cs="Calibri" w:ascii="Calibri" w:hAnsi="Calibri"/>
                <w:szCs w:val="22"/>
                <w:lang w:val="en-US" w:eastAsia="en-US"/>
              </w:rPr>
              <w:tab/>
            </w:r>
            <w:r>
              <w:rPr>
                <w:rStyle w:val="IndexLink"/>
                <w:rFonts w:cs="Calibri" w:ascii="Calibri" w:hAnsi="Calibri"/>
                <w:szCs w:val="22"/>
                <w:lang w:val="en-US" w:eastAsia="en-US"/>
              </w:rPr>
              <w:t xml:space="preserve"> </w:t>
            </w:r>
            <w:r>
              <w:rPr>
                <w:rStyle w:val="IndexLink"/>
                <w:lang w:val="en-US" w:eastAsia="en-US"/>
              </w:rPr>
              <w:t>权利保障</w:t>
            </w:r>
            <w:r>
              <w:rPr>
                <w:rStyle w:val="IndexLink"/>
                <w:lang w:val="en-US" w:eastAsia="en-US"/>
              </w:rPr>
              <w:tab/>
              <w:t>44</w:t>
            </w:r>
          </w:hyperlink>
        </w:p>
        <w:p>
          <w:pPr>
            <w:pStyle w:val="Contents2"/>
            <w:tabs>
              <w:tab w:val="clear" w:pos="420"/>
              <w:tab w:val="left" w:pos="840" w:leader="none"/>
              <w:tab w:val="right" w:pos="8494" w:leader="dot"/>
            </w:tabs>
            <w:rPr>
              <w:rFonts w:ascii="Calibri" w:hAnsi="Calibri" w:cs="Calibri"/>
              <w:szCs w:val="22"/>
              <w:lang w:val="en-US" w:eastAsia="en-US"/>
            </w:rPr>
          </w:pPr>
          <w:hyperlink w:anchor="__RefHeading___Toc427859471">
            <w:r>
              <w:rPr>
                <w:rStyle w:val="IndexLink"/>
                <w:lang w:val="en-US" w:eastAsia="en-US"/>
              </w:rPr>
              <w:t>10.5</w:t>
            </w:r>
            <w:r>
              <w:rPr>
                <w:rStyle w:val="IndexLink"/>
                <w:rFonts w:cs="Calibri" w:ascii="Calibri" w:hAnsi="Calibri"/>
                <w:szCs w:val="22"/>
                <w:lang w:val="en-US" w:eastAsia="en-US"/>
              </w:rPr>
              <w:tab/>
            </w:r>
            <w:r>
              <w:rPr>
                <w:rStyle w:val="IndexLink"/>
                <w:rFonts w:cs="Calibri" w:ascii="Calibri" w:hAnsi="Calibri"/>
                <w:szCs w:val="22"/>
                <w:lang w:val="en-US" w:eastAsia="en-US"/>
              </w:rPr>
              <w:t xml:space="preserve"> </w:t>
            </w:r>
            <w:r>
              <w:rPr>
                <w:rStyle w:val="IndexLink"/>
                <w:lang w:val="en-US" w:eastAsia="en-US"/>
              </w:rPr>
              <w:t>批准、修改与解释</w:t>
            </w:r>
            <w:r>
              <w:rPr>
                <w:rStyle w:val="IndexLink"/>
                <w:lang w:val="en-US" w:eastAsia="en-US"/>
              </w:rPr>
              <w:tab/>
              <w:t>44</w:t>
            </w:r>
          </w:hyperlink>
          <w:r>
            <w:rPr>
              <w:rStyle w:val="IndexLink"/>
              <w:lang w:val="en-US" w:eastAsia="en-US"/>
            </w:rPr>
            <w:fldChar w:fldCharType="end"/>
          </w:r>
        </w:p>
      </w:sdtContent>
    </w:sdt>
    <w:p>
      <w:pPr>
        <w:pStyle w:val="Normal"/>
        <w:rPr>
          <w:rFonts w:ascii="Calibri" w:hAnsi="Calibri" w:cs="Calibri"/>
          <w:sz w:val="24"/>
          <w:szCs w:val="22"/>
          <w:lang w:val="en-US" w:eastAsia="en-US"/>
        </w:rPr>
      </w:pPr>
      <w:r>
        <w:rPr>
          <w:rFonts w:cs="Calibri" w:ascii="SimHei" w:hAnsi="SimHei" w:eastAsia="黑体"/>
          <w:sz w:val="24"/>
          <w:szCs w:val="22"/>
          <w:lang w:val="en-US" w:eastAsia="en-US"/>
        </w:rPr>
      </w:r>
    </w:p>
    <w:p>
      <w:pPr>
        <w:pStyle w:val="Heading1"/>
        <w:numPr>
          <w:ilvl w:val="0"/>
          <w:numId w:val="13"/>
        </w:numPr>
        <w:spacing w:lineRule="exact" w:line="500"/>
        <w:rPr/>
      </w:pPr>
      <w:bookmarkStart w:id="0" w:name="__RefHeading___Toc427859403"/>
      <w:bookmarkEnd w:id="0"/>
      <w:r>
        <w:rPr>
          <w:rFonts w:ascii="SimHei" w:hAnsi="SimHei" w:eastAsia="黑体"/>
          <w:szCs w:val="20"/>
        </w:rPr>
        <w:t>前</w:t>
      </w:r>
      <w:r>
        <w:rPr>
          <w:rFonts w:ascii="SimHei" w:hAnsi="SimHei" w:eastAsia="黑体"/>
          <w:szCs w:val="20"/>
        </w:rPr>
        <w:t>言</w:t>
      </w:r>
    </w:p>
    <w:p>
      <w:pPr>
        <w:pStyle w:val="Normal"/>
        <w:spacing w:lineRule="exact" w:line="500"/>
        <w:rPr>
          <w:sz w:val="24"/>
        </w:rPr>
      </w:pPr>
      <w:r>
        <w:rPr>
          <w:rFonts w:ascii="SimHei" w:hAnsi="SimHei" w:eastAsia="黑体"/>
          <w:sz w:val="24"/>
        </w:rPr>
      </w:r>
    </w:p>
    <w:p>
      <w:pPr>
        <w:pStyle w:val="Normal"/>
        <w:rPr/>
      </w:pPr>
      <w:bookmarkStart w:id="1" w:name="__RefHeading___Toc427859404"/>
      <w:r>
        <w:rPr>
          <w:rStyle w:val="2Char"/>
          <w:rFonts w:ascii="SimHei" w:hAnsi="SimHei" w:eastAsia="黑体"/>
        </w:rPr>
        <w:t>1.1</w:t>
      </w:r>
      <w:r>
        <w:rPr>
          <w:rStyle w:val="2Char"/>
          <w:rFonts w:ascii="SimHei" w:hAnsi="SimHei" w:eastAsia="黑体"/>
        </w:rPr>
        <w:t>引言</w:t>
      </w:r>
      <w:bookmarkEnd w:id="1"/>
      <w:r>
        <w:rPr>
          <w:rFonts w:ascii="SimHei" w:hAnsi="SimHei" w:eastAsia="黑体"/>
          <w:b/>
        </w:rPr>
        <w:br/>
        <w:t xml:space="preserve">   </w:t>
      </w:r>
      <w:r>
        <w:rPr>
          <w:rFonts w:ascii="SimHei" w:hAnsi="SimHei" w:eastAsia="黑体"/>
          <w:b/>
        </w:rPr>
        <w:t xml:space="preserve">   </w:t>
      </w:r>
    </w:p>
    <w:p>
      <w:pPr>
        <w:pStyle w:val="Normal"/>
        <w:ind w:firstLine="517"/>
        <w:rPr>
          <w:b/>
          <w:b/>
          <w:u w:val="single"/>
        </w:rPr>
      </w:pPr>
      <w:r>
        <w:rPr>
          <w:rFonts w:ascii="SimHei" w:hAnsi="SimHei" w:eastAsia="黑体"/>
          <w:b/>
          <w:u w:val="single"/>
        </w:rPr>
        <w:t>说明：本部分内容也可以由人力资源部撰写欢迎辞。</w:t>
      </w:r>
    </w:p>
    <w:p>
      <w:pPr>
        <w:pStyle w:val="Normal"/>
        <w:spacing w:lineRule="exact" w:line="500"/>
        <w:ind w:firstLine="360"/>
        <w:rPr>
          <w:sz w:val="24"/>
        </w:rPr>
      </w:pPr>
      <w:r>
        <w:rPr>
          <w:rFonts w:ascii="SimHei" w:hAnsi="SimHei" w:eastAsia="黑体"/>
          <w:sz w:val="24"/>
        </w:rPr>
        <w:t xml:space="preserve"> </w:t>
      </w:r>
      <w:r>
        <w:rPr>
          <w:rFonts w:eastAsia="黑体" w:ascii="SimHei" w:hAnsi="SimHei"/>
          <w:sz w:val="24"/>
        </w:rPr>
        <w:t xml:space="preserve"> </w:t>
      </w:r>
      <w:r>
        <w:rPr>
          <w:rFonts w:ascii="SimHei" w:hAnsi="SimHei" w:eastAsia="黑体"/>
          <w:sz w:val="24"/>
        </w:rPr>
        <w:t>欢迎加入</w:t>
      </w:r>
      <w:r>
        <w:rPr>
          <w:rFonts w:ascii="SimHei" w:hAnsi="SimHei" w:eastAsia="黑体"/>
          <w:sz w:val="24"/>
        </w:rPr>
        <w:t>**</w:t>
      </w:r>
      <w:r>
        <w:rPr>
          <w:rFonts w:ascii="SimHei" w:hAnsi="SimHei" w:eastAsia="黑体"/>
          <w:sz w:val="24"/>
        </w:rPr>
        <w:t>公司。</w:t>
      </w:r>
    </w:p>
    <w:p>
      <w:pPr>
        <w:pStyle w:val="Normal"/>
        <w:spacing w:lineRule="exact" w:line="500"/>
        <w:ind w:firstLine="480"/>
        <w:rPr>
          <w:sz w:val="24"/>
        </w:rPr>
      </w:pPr>
      <w:r>
        <w:rPr>
          <w:rFonts w:ascii="SimHei" w:hAnsi="SimHei" w:eastAsia="黑体"/>
          <w:sz w:val="24"/>
        </w:rPr>
        <w:t>为了帮助公司内每位员工清楚地了解有关公司的基本情况、规章制度及员工福利等，公司特编制了此《员工手册》。每位员工应熟读其内容，掌握其基本精神，并切实地按照其中的各项条款规范自己的行为，严格遵守公司的各项规章制度，以确保公司正常健康地运营。</w:t>
      </w:r>
    </w:p>
    <w:p>
      <w:pPr>
        <w:pStyle w:val="Normal"/>
        <w:spacing w:lineRule="exact" w:line="500"/>
        <w:ind w:firstLine="480"/>
        <w:rPr>
          <w:sz w:val="24"/>
        </w:rPr>
      </w:pPr>
      <w:r>
        <w:rPr>
          <w:rFonts w:ascii="SimHei" w:hAnsi="SimHei" w:eastAsia="黑体"/>
          <w:sz w:val="24"/>
        </w:rPr>
        <w:t xml:space="preserve">  </w:t>
      </w:r>
      <w:r>
        <w:rPr>
          <w:rFonts w:ascii="SimHei" w:hAnsi="SimHei" w:eastAsia="黑体"/>
          <w:sz w:val="24"/>
        </w:rPr>
        <w:t>本手册的各项规定和计划已经公司审阅，公司将定期地监督执行情况，为了适应公司的发展变化和国家政策调整，公司将按国家有关法规对手册的任何部分进行必要的修改、删除和终止，并将向职员公司公布修改的内容。</w:t>
      </w:r>
    </w:p>
    <w:p>
      <w:pPr>
        <w:pStyle w:val="Normal"/>
        <w:spacing w:lineRule="exact" w:line="500"/>
        <w:ind w:firstLine="480"/>
        <w:rPr/>
      </w:pPr>
      <w:r>
        <w:rPr>
          <w:rFonts w:ascii="SimHei" w:hAnsi="SimHei" w:eastAsia="黑体"/>
          <w:sz w:val="24"/>
        </w:rPr>
        <w:t>本手册主要涉及员工工作中常见之内容，如需要了解更多的内容，请与公司人力资源部联系</w:t>
      </w:r>
      <w:r>
        <w:rPr>
          <w:rFonts w:ascii="SimHei" w:hAnsi="SimHei" w:eastAsia="黑体"/>
          <w:sz w:val="24"/>
        </w:rPr>
        <w:t>，最终解释权在公司。</w:t>
      </w:r>
      <w:r>
        <w:rPr>
          <w:rFonts w:ascii="SimHei" w:hAnsi="SimHei" w:eastAsia="黑体"/>
          <w:sz w:val="24"/>
        </w:rPr>
        <w:br/>
      </w:r>
      <w:r>
        <w:rPr>
          <w:rFonts w:ascii="SimHei" w:hAnsi="SimHei" w:eastAsia="黑体"/>
          <w:sz w:val="24"/>
        </w:rPr>
        <w:t xml:space="preserve">    </w:t>
      </w:r>
      <w:r>
        <w:rPr>
          <w:rFonts w:ascii="SimHei" w:hAnsi="SimHei" w:eastAsia="黑体"/>
          <w:sz w:val="24"/>
        </w:rPr>
        <w:t>本手册涉及之内容，仅供公司内部使用，手册中的任何内容不得提供给公司以外的人员。</w:t>
      </w:r>
    </w:p>
    <w:p>
      <w:pPr>
        <w:pStyle w:val="Normal"/>
        <w:spacing w:lineRule="exact" w:line="500"/>
        <w:ind w:firstLine="480"/>
        <w:rPr>
          <w:sz w:val="24"/>
        </w:rPr>
      </w:pPr>
      <w:r>
        <w:rPr>
          <w:rFonts w:ascii="SimHei" w:hAnsi="SimHei" w:eastAsia="黑体"/>
          <w:sz w:val="24"/>
        </w:rPr>
        <w:t>员工应妥善保存此手册。一旦离开公司，应主动将手册归还公司人力资源部。</w:t>
      </w:r>
    </w:p>
    <w:p>
      <w:pPr>
        <w:pStyle w:val="Normal"/>
        <w:spacing w:lineRule="exact" w:line="500"/>
        <w:ind w:firstLine="360"/>
        <w:rPr>
          <w:sz w:val="24"/>
        </w:rPr>
      </w:pPr>
      <w:r>
        <w:rPr>
          <w:rFonts w:ascii="SimHei" w:hAnsi="SimHei" w:eastAsia="黑体"/>
          <w:sz w:val="24"/>
        </w:rPr>
      </w:r>
    </w:p>
    <w:p>
      <w:pPr>
        <w:pStyle w:val="Heading2"/>
        <w:rPr/>
      </w:pPr>
      <w:bookmarkStart w:id="2" w:name="__RefHeading___Toc427859405"/>
      <w:bookmarkEnd w:id="2"/>
      <w:r>
        <w:rPr>
          <w:rFonts w:ascii="SimHei" w:hAnsi="SimHei" w:eastAsia="黑体"/>
        </w:rPr>
        <w:t xml:space="preserve">1.2 </w:t>
      </w:r>
      <w:r>
        <w:rPr>
          <w:rFonts w:ascii="SimHei" w:hAnsi="SimHei" w:eastAsia="黑体"/>
        </w:rPr>
        <w:t>董事长致辞（略）</w:t>
      </w:r>
    </w:p>
    <w:p>
      <w:pPr>
        <w:pStyle w:val="Heading2"/>
        <w:rPr/>
      </w:pPr>
      <w:bookmarkStart w:id="3" w:name="__RefHeading___Toc427859406"/>
      <w:bookmarkEnd w:id="3"/>
      <w:r>
        <w:rPr>
          <w:rFonts w:ascii="SimHei" w:hAnsi="SimHei" w:eastAsia="黑体"/>
        </w:rPr>
        <w:t xml:space="preserve">1.3 </w:t>
      </w:r>
      <w:r>
        <w:rPr>
          <w:rFonts w:ascii="SimHei" w:hAnsi="SimHei" w:eastAsia="黑体"/>
        </w:rPr>
        <w:t>总经理致辞（略）</w:t>
      </w:r>
    </w:p>
    <w:p>
      <w:pPr>
        <w:pStyle w:val="Normal"/>
        <w:spacing w:lineRule="exact" w:line="500"/>
        <w:ind w:firstLine="360"/>
        <w:rPr>
          <w:sz w:val="24"/>
        </w:rPr>
      </w:pPr>
      <w:r>
        <w:rPr>
          <w:rFonts w:ascii="SimHei" w:hAnsi="SimHei" w:eastAsia="黑体"/>
          <w:sz w:val="24"/>
        </w:rPr>
      </w:r>
    </w:p>
    <w:p>
      <w:pPr>
        <w:pStyle w:val="Normal"/>
        <w:spacing w:lineRule="exact" w:line="500"/>
        <w:ind w:firstLine="360"/>
        <w:rPr>
          <w:sz w:val="24"/>
        </w:rPr>
      </w:pPr>
      <w:r>
        <w:rPr>
          <w:rFonts w:ascii="SimHei" w:hAnsi="SimHei" w:eastAsia="黑体"/>
          <w:sz w:val="24"/>
        </w:rPr>
      </w:r>
    </w:p>
    <w:p>
      <w:pPr>
        <w:pStyle w:val="Normal"/>
        <w:spacing w:lineRule="exact" w:line="500"/>
        <w:ind w:firstLine="360"/>
        <w:rPr>
          <w:sz w:val="24"/>
        </w:rPr>
      </w:pPr>
      <w:r>
        <w:rPr>
          <w:rFonts w:ascii="SimHei" w:hAnsi="SimHei" w:eastAsia="黑体"/>
          <w:sz w:val="24"/>
        </w:rPr>
      </w:r>
    </w:p>
    <w:p>
      <w:pPr>
        <w:pStyle w:val="Heading1"/>
        <w:spacing w:lineRule="exact" w:line="500"/>
        <w:rPr>
          <w:b w:val="false"/>
          <w:b w:val="false"/>
          <w:bCs w:val="false"/>
          <w:kern w:val="2"/>
          <w:sz w:val="24"/>
          <w:szCs w:val="24"/>
        </w:rPr>
      </w:pPr>
      <w:bookmarkStart w:id="4" w:name="__RefHeading___Toc427859407"/>
      <w:bookmarkEnd w:id="4"/>
      <w:r>
        <w:rPr>
          <w:rFonts w:ascii="SimHei" w:hAnsi="SimHei" w:eastAsia="黑体"/>
        </w:rPr>
        <w:t>第二章</w:t>
      </w:r>
      <w:r>
        <w:rPr>
          <w:rFonts w:eastAsia="黑体" w:ascii="SimHei" w:hAnsi="SimHei"/>
        </w:rPr>
        <w:t xml:space="preserve"> </w:t>
      </w:r>
      <w:r>
        <w:rPr>
          <w:rFonts w:ascii="SimHei" w:hAnsi="SimHei" w:eastAsia="黑体"/>
        </w:rPr>
        <w:t>公司</w:t>
      </w:r>
      <w:r>
        <w:rPr>
          <w:rFonts w:ascii="SimHei" w:hAnsi="SimHei" w:eastAsia="黑体"/>
        </w:rPr>
        <w:t>概述</w:t>
      </w:r>
    </w:p>
    <w:p>
      <w:pPr>
        <w:pStyle w:val="Heading2"/>
        <w:rPr/>
      </w:pPr>
      <w:bookmarkStart w:id="5" w:name="__RefHeading___Toc427859408"/>
      <w:bookmarkEnd w:id="5"/>
      <w:r>
        <w:rPr>
          <w:rFonts w:ascii="SimHei" w:hAnsi="SimHei" w:eastAsia="黑体"/>
        </w:rPr>
        <w:t>2.1</w:t>
      </w:r>
      <w:r>
        <w:rPr>
          <w:rFonts w:ascii="SimHei" w:hAnsi="SimHei" w:eastAsia="黑体"/>
        </w:rPr>
        <w:t>公司</w:t>
      </w:r>
      <w:r>
        <w:rPr>
          <w:rFonts w:ascii="SimHei" w:hAnsi="SimHei" w:eastAsia="黑体"/>
        </w:rPr>
        <w:t>发展历程（略）</w:t>
      </w:r>
    </w:p>
    <w:p>
      <w:pPr>
        <w:pStyle w:val="Heading2"/>
        <w:rPr/>
      </w:pPr>
      <w:bookmarkStart w:id="6" w:name="__RefHeading___Toc427859409"/>
      <w:bookmarkEnd w:id="6"/>
      <w:r>
        <w:rPr>
          <w:rFonts w:ascii="SimHei" w:hAnsi="SimHei" w:eastAsia="黑体"/>
        </w:rPr>
        <w:t>2.2</w:t>
      </w:r>
      <w:r>
        <w:rPr>
          <w:rFonts w:ascii="SimHei" w:hAnsi="SimHei" w:eastAsia="黑体"/>
        </w:rPr>
        <w:t>公司概况</w:t>
      </w:r>
    </w:p>
    <w:p>
      <w:pPr>
        <w:pStyle w:val="Normal"/>
        <w:rPr>
          <w:sz w:val="24"/>
        </w:rPr>
      </w:pPr>
      <w:r>
        <w:rPr>
          <w:rFonts w:ascii="SimHei" w:hAnsi="SimHei" w:eastAsia="黑体"/>
          <w:sz w:val="24"/>
        </w:rPr>
        <w:t>（</w:t>
      </w:r>
      <w:r>
        <w:rPr>
          <w:rFonts w:ascii="SimHei" w:hAnsi="SimHei" w:eastAsia="黑体"/>
          <w:sz w:val="24"/>
        </w:rPr>
        <w:t>简介、产品、创始人等</w:t>
      </w:r>
      <w:r>
        <w:rPr>
          <w:rFonts w:ascii="SimHei" w:hAnsi="SimHei" w:eastAsia="黑体"/>
          <w:sz w:val="24"/>
        </w:rPr>
        <w:t>）</w:t>
      </w:r>
    </w:p>
    <w:p>
      <w:pPr>
        <w:pStyle w:val="Heading2"/>
        <w:rPr/>
      </w:pPr>
      <w:bookmarkStart w:id="7" w:name="__RefHeading___Toc427859410"/>
      <w:bookmarkEnd w:id="7"/>
      <w:r>
        <w:rPr>
          <w:rFonts w:ascii="SimHei" w:hAnsi="SimHei" w:eastAsia="黑体"/>
        </w:rPr>
        <w:t xml:space="preserve">2.3 </w:t>
      </w:r>
      <w:r>
        <w:rPr>
          <w:rFonts w:ascii="SimHei" w:hAnsi="SimHei" w:eastAsia="黑体"/>
        </w:rPr>
        <w:t>公司理念</w:t>
      </w:r>
    </w:p>
    <w:p>
      <w:pPr>
        <w:pStyle w:val="Normal"/>
        <w:rPr>
          <w:sz w:val="24"/>
        </w:rPr>
      </w:pPr>
      <w:r>
        <w:rPr>
          <w:rFonts w:ascii="SimHei" w:hAnsi="SimHei" w:eastAsia="黑体"/>
          <w:sz w:val="24"/>
        </w:rPr>
        <w:t>（使命、愿景、企业精神、核心价值观、管理理念等）</w:t>
      </w:r>
    </w:p>
    <w:p>
      <w:pPr>
        <w:pStyle w:val="Heading2"/>
        <w:rPr/>
      </w:pPr>
      <w:bookmarkStart w:id="8" w:name="__RefHeading___Toc427859411"/>
      <w:bookmarkEnd w:id="8"/>
      <w:r>
        <w:rPr>
          <w:rFonts w:ascii="SimHei" w:hAnsi="SimHei" w:eastAsia="黑体"/>
        </w:rPr>
        <w:t xml:space="preserve">2.4 </w:t>
      </w:r>
      <w:r>
        <w:rPr>
          <w:rFonts w:ascii="SimHei" w:hAnsi="SimHei" w:eastAsia="黑体"/>
        </w:rPr>
        <w:t>组织架构（略）</w:t>
      </w:r>
    </w:p>
    <w:p>
      <w:pPr>
        <w:pStyle w:val="Normal"/>
        <w:spacing w:lineRule="exact" w:line="500"/>
        <w:rPr>
          <w:sz w:val="24"/>
        </w:rPr>
      </w:pPr>
      <w:r>
        <w:rPr>
          <w:rFonts w:ascii="SimHei" w:hAnsi="SimHei" w:eastAsia="黑体"/>
          <w:sz w:val="24"/>
        </w:rPr>
      </w:r>
    </w:p>
    <w:p>
      <w:pPr>
        <w:pStyle w:val="Normal"/>
        <w:spacing w:lineRule="exact" w:line="500"/>
        <w:rPr>
          <w:b/>
          <w:b/>
          <w:bCs/>
          <w:kern w:val="2"/>
          <w:sz w:val="44"/>
          <w:szCs w:val="44"/>
        </w:rPr>
      </w:pPr>
      <w:r>
        <w:rPr>
          <w:rFonts w:ascii="SimHei" w:hAnsi="SimHei" w:eastAsia="黑体"/>
          <w:sz w:val="24"/>
        </w:rPr>
        <w:b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Normal"/>
        <w:spacing w:lineRule="exact" w:line="500"/>
        <w:rPr>
          <w:b/>
          <w:b/>
          <w:bCs/>
          <w:kern w:val="2"/>
          <w:sz w:val="44"/>
          <w:szCs w:val="44"/>
        </w:rPr>
      </w:pPr>
      <w:r>
        <w:rPr>
          <w:rFonts w:ascii="SimHei" w:hAnsi="SimHei" w:eastAsia="黑体"/>
          <w:b/>
          <w:bCs/>
          <w:kern w:val="2"/>
          <w:sz w:val="44"/>
          <w:szCs w:val="44"/>
        </w:rPr>
      </w:r>
    </w:p>
    <w:p>
      <w:pPr>
        <w:pStyle w:val="Heading2"/>
        <w:rPr/>
      </w:pPr>
      <w:bookmarkStart w:id="9" w:name="__RefHeading___Toc427859412"/>
      <w:r>
        <w:rPr>
          <w:rFonts w:ascii="SimHei" w:hAnsi="SimHei" w:cs="Times New Roman" w:eastAsia="黑体"/>
          <w:kern w:val="2"/>
          <w:sz w:val="44"/>
          <w:szCs w:val="44"/>
        </w:rPr>
        <w:t>第三章</w:t>
      </w:r>
      <w:r>
        <w:rPr>
          <w:rFonts w:ascii="SimHei" w:hAnsi="SimHei" w:cs="Times New Roman" w:eastAsia="黑体"/>
          <w:kern w:val="2"/>
          <w:sz w:val="44"/>
          <w:szCs w:val="44"/>
        </w:rPr>
        <w:t xml:space="preserve"> </w:t>
      </w:r>
      <w:r>
        <w:rPr>
          <w:rFonts w:ascii="SimHei" w:hAnsi="SimHei" w:cs="Times New Roman" w:eastAsia="黑体"/>
          <w:kern w:val="2"/>
          <w:sz w:val="44"/>
          <w:szCs w:val="44"/>
        </w:rPr>
        <w:t>入职指引</w:t>
      </w:r>
      <w:bookmarkEnd w:id="9"/>
      <w:r>
        <w:rPr>
          <w:rFonts w:ascii="SimHei" w:hAnsi="SimHei" w:eastAsia="黑体"/>
        </w:rPr>
        <w:br/>
      </w:r>
    </w:p>
    <w:p>
      <w:pPr>
        <w:pStyle w:val="Heading2"/>
        <w:rPr/>
      </w:pPr>
      <w:bookmarkStart w:id="10" w:name="__RefHeading___Toc427859413"/>
      <w:bookmarkEnd w:id="10"/>
      <w:r>
        <w:rPr>
          <w:rFonts w:ascii="SimHei" w:hAnsi="SimHei" w:eastAsia="黑体"/>
        </w:rPr>
        <w:t xml:space="preserve">3.1 </w:t>
      </w:r>
      <w:r>
        <w:rPr>
          <w:rFonts w:ascii="SimHei" w:hAnsi="SimHei" w:eastAsia="黑体"/>
        </w:rPr>
        <w:t>招聘原则</w:t>
      </w:r>
    </w:p>
    <w:p>
      <w:pPr>
        <w:pStyle w:val="Normal"/>
        <w:numPr>
          <w:ilvl w:val="2"/>
          <w:numId w:val="8"/>
        </w:numPr>
        <w:spacing w:lineRule="exact" w:line="500"/>
        <w:rPr>
          <w:sz w:val="24"/>
        </w:rPr>
      </w:pPr>
      <w:r>
        <w:rPr>
          <w:rFonts w:ascii="SimHei" w:hAnsi="SimHei" w:eastAsia="黑体"/>
          <w:sz w:val="24"/>
        </w:rPr>
        <w:t>公司招聘员工的主要原则，乃视其对该职位是否合适而定，并以该职位的职务说明书为考核的标准。</w:t>
      </w:r>
    </w:p>
    <w:p>
      <w:pPr>
        <w:pStyle w:val="Normal"/>
        <w:numPr>
          <w:ilvl w:val="2"/>
          <w:numId w:val="8"/>
        </w:numPr>
        <w:spacing w:lineRule="exact" w:line="500"/>
        <w:rPr>
          <w:sz w:val="24"/>
        </w:rPr>
      </w:pPr>
      <w:r>
        <w:rPr>
          <w:rFonts w:ascii="SimHei" w:hAnsi="SimHei" w:eastAsia="黑体"/>
          <w:sz w:val="24"/>
        </w:rPr>
        <w:t>公司聘用员工本着精简的原则，可聘可不聘者坚决不聘，无才无德者坚决</w:t>
      </w:r>
      <w:r>
        <w:rPr>
          <w:rFonts w:ascii="SimHei" w:hAnsi="SimHei" w:eastAsia="黑体"/>
          <w:sz w:val="24"/>
        </w:rPr>
        <w:br/>
      </w:r>
      <w:r>
        <w:rPr>
          <w:rFonts w:ascii="SimHei" w:hAnsi="SimHei" w:eastAsia="黑体"/>
          <w:sz w:val="24"/>
        </w:rPr>
        <w:t>不聘，有才无德者坚决不聘，真正做到按需录用、量才录用、任人唯贤。</w:t>
      </w:r>
    </w:p>
    <w:p>
      <w:pPr>
        <w:pStyle w:val="Normal"/>
        <w:numPr>
          <w:ilvl w:val="2"/>
          <w:numId w:val="8"/>
        </w:numPr>
        <w:spacing w:lineRule="exact" w:line="500"/>
        <w:rPr>
          <w:sz w:val="24"/>
        </w:rPr>
      </w:pPr>
      <w:r>
        <w:rPr>
          <w:rFonts w:ascii="SimHei" w:hAnsi="SimHei" w:eastAsia="黑体"/>
          <w:sz w:val="24"/>
        </w:rPr>
        <w:t>公平竞争，择优录用是公司招聘</w:t>
      </w:r>
      <w:r>
        <w:rPr>
          <w:rFonts w:ascii="SimHei" w:hAnsi="SimHei" w:eastAsia="黑体"/>
          <w:sz w:val="24"/>
        </w:rPr>
        <w:t>和晋升方面</w:t>
      </w:r>
      <w:r>
        <w:rPr>
          <w:rFonts w:ascii="SimHei" w:hAnsi="SimHei" w:eastAsia="黑体"/>
          <w:sz w:val="24"/>
        </w:rPr>
        <w:t>的另一重要原则，公司给予内部和外部应聘者同等的机会。</w:t>
      </w:r>
      <w:r>
        <w:rPr>
          <w:rFonts w:ascii="SimHei" w:hAnsi="SimHei" w:cs="宋体;SimSun" w:eastAsia="黑体"/>
          <w:sz w:val="24"/>
        </w:rPr>
        <w:t>职位或补空缺职位时，本公司将在可能情况下首先考虑已聘用员工，然后再向外招聘。公司员工在被聘用及晋升方面享有均等的机会；</w:t>
      </w:r>
    </w:p>
    <w:p>
      <w:pPr>
        <w:pStyle w:val="Normal"/>
        <w:numPr>
          <w:ilvl w:val="2"/>
          <w:numId w:val="8"/>
        </w:numPr>
        <w:spacing w:lineRule="exact" w:line="500"/>
        <w:rPr>
          <w:sz w:val="24"/>
        </w:rPr>
      </w:pPr>
      <w:r>
        <w:rPr>
          <w:rFonts w:ascii="SimHei" w:hAnsi="SimHei" w:cs="宋体;SimSun" w:eastAsia="黑体"/>
          <w:sz w:val="24"/>
        </w:rPr>
        <w:t>工作表现是本公司晋升员工的最主要依据。</w:t>
      </w:r>
    </w:p>
    <w:p>
      <w:pPr>
        <w:pStyle w:val="Normal"/>
        <w:spacing w:lineRule="exact" w:line="500"/>
        <w:rPr>
          <w:rFonts w:ascii="宋体;SimSun" w:hAnsi="宋体;SimSun" w:cs="宋体;SimSun"/>
          <w:sz w:val="24"/>
        </w:rPr>
      </w:pPr>
      <w:r>
        <w:rPr>
          <w:rFonts w:cs="宋体;SimSun" w:ascii="SimHei" w:hAnsi="SimHei" w:eastAsia="黑体"/>
          <w:sz w:val="24"/>
        </w:rPr>
      </w:r>
    </w:p>
    <w:p>
      <w:pPr>
        <w:pStyle w:val="Heading2"/>
        <w:rPr/>
      </w:pPr>
      <w:bookmarkStart w:id="11" w:name="__RefHeading___Toc427859414"/>
      <w:bookmarkEnd w:id="11"/>
      <w:r>
        <w:rPr>
          <w:rFonts w:ascii="SimHei" w:hAnsi="SimHei" w:eastAsia="黑体"/>
        </w:rPr>
        <w:t xml:space="preserve">3.2 </w:t>
      </w:r>
      <w:r>
        <w:rPr>
          <w:rFonts w:ascii="SimHei" w:hAnsi="SimHei" w:eastAsia="黑体"/>
        </w:rPr>
        <w:t>招聘及录用流程</w:t>
      </w:r>
    </w:p>
    <w:p>
      <w:pPr>
        <w:pStyle w:val="Normal"/>
        <w:numPr>
          <w:ilvl w:val="2"/>
          <w:numId w:val="19"/>
        </w:numPr>
        <w:spacing w:lineRule="exact" w:line="500"/>
        <w:rPr>
          <w:sz w:val="24"/>
        </w:rPr>
      </w:pPr>
      <w:r>
        <w:rPr>
          <w:rFonts w:ascii="SimHei" w:hAnsi="SimHei" w:eastAsia="黑体"/>
          <w:sz w:val="24"/>
        </w:rPr>
        <w:t>应聘者通过公司笔试、面试、背景审查和体格检查，并经确认合格后，可被公司聘为正式员工。</w:t>
      </w:r>
    </w:p>
    <w:p>
      <w:pPr>
        <w:pStyle w:val="Normal"/>
        <w:numPr>
          <w:ilvl w:val="2"/>
          <w:numId w:val="19"/>
        </w:numPr>
        <w:spacing w:lineRule="exact" w:line="500"/>
        <w:rPr/>
      </w:pPr>
      <w:r>
        <w:rPr>
          <w:rFonts w:ascii="SimHei" w:hAnsi="SimHei" w:eastAsia="黑体"/>
          <w:sz w:val="24"/>
        </w:rPr>
        <w:t>新进人员先至</w:t>
      </w:r>
      <w:r>
        <w:rPr>
          <w:rFonts w:ascii="SimHei" w:hAnsi="SimHei" w:eastAsia="黑体"/>
          <w:sz w:val="24"/>
        </w:rPr>
        <w:t>人力资源</w:t>
      </w:r>
      <w:r>
        <w:rPr>
          <w:rFonts w:ascii="SimHei" w:hAnsi="SimHei" w:eastAsia="黑体"/>
          <w:sz w:val="24"/>
        </w:rPr>
        <w:t>部办理报到手续，包括</w:t>
      </w:r>
      <w:r>
        <w:rPr>
          <w:rFonts w:ascii="SimHei" w:hAnsi="SimHei" w:eastAsia="黑体"/>
          <w:sz w:val="24"/>
        </w:rPr>
        <w:t>：</w:t>
      </w:r>
      <w:r>
        <w:rPr>
          <w:rFonts w:ascii="SimHei" w:hAnsi="SimHei" w:eastAsia="黑体"/>
          <w:sz w:val="24"/>
        </w:rPr>
        <w:t>交验有关资料、证明；分配座位及电话分机号、领取员工手册、领取办公用品、办理邮箱登记、办理名片印刷登记、领用固定资产、参加迎新培训、签订劳动合同及保密协议等。</w:t>
      </w:r>
      <w:r>
        <w:rPr>
          <w:rFonts w:ascii="SimHei" w:hAnsi="SimHei" w:eastAsia="黑体"/>
          <w:sz w:val="24"/>
        </w:rPr>
        <w:t>（提示：部分企业要求个人提供当地户籍人员担保书；另需考虑个别移民问题）</w:t>
      </w:r>
    </w:p>
    <w:p>
      <w:pPr>
        <w:pStyle w:val="Normal"/>
        <w:numPr>
          <w:ilvl w:val="2"/>
          <w:numId w:val="19"/>
        </w:numPr>
        <w:spacing w:lineRule="exact" w:line="500"/>
        <w:rPr>
          <w:sz w:val="24"/>
        </w:rPr>
      </w:pPr>
      <w:r>
        <w:rPr>
          <w:rFonts w:ascii="SimHei" w:hAnsi="SimHei" w:eastAsia="黑体"/>
          <w:sz w:val="24"/>
        </w:rPr>
        <w:t>与试用部门负责人见面，接受工作安排，并与负责人指定的入职引导人见面。</w:t>
      </w:r>
    </w:p>
    <w:p>
      <w:pPr>
        <w:pStyle w:val="Normal"/>
        <w:numPr>
          <w:ilvl w:val="2"/>
          <w:numId w:val="19"/>
        </w:numPr>
        <w:spacing w:lineRule="exact" w:line="500"/>
        <w:rPr>
          <w:sz w:val="24"/>
        </w:rPr>
      </w:pPr>
      <w:r>
        <w:rPr>
          <w:rFonts w:ascii="SimHei" w:hAnsi="SimHei" w:eastAsia="黑体"/>
          <w:sz w:val="24"/>
        </w:rPr>
        <w:t>公司将组织新入司员工参加新员工培训，以使员工对公司概况有初步了解。</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9"/>
        </w:numPr>
        <w:snapToGrid w:val="true"/>
        <w:spacing w:lineRule="auto" w:line="415" w:before="260" w:after="260"/>
        <w:jc w:val="both"/>
        <w:rPr/>
      </w:pPr>
      <w:bookmarkStart w:id="12" w:name="__RefHeading___Toc427859415"/>
      <w:bookmarkEnd w:id="12"/>
      <w:r>
        <w:rPr>
          <w:rFonts w:ascii="SimHei" w:hAnsi="SimHei" w:eastAsia="黑体"/>
        </w:rPr>
        <w:t>个人</w:t>
      </w:r>
      <w:r>
        <w:rPr>
          <w:rFonts w:ascii="SimHei" w:hAnsi="SimHei" w:eastAsia="黑体"/>
        </w:rPr>
        <w:t>档案管理</w:t>
      </w:r>
    </w:p>
    <w:p>
      <w:pPr>
        <w:pStyle w:val="Normal"/>
        <w:numPr>
          <w:ilvl w:val="2"/>
          <w:numId w:val="19"/>
        </w:numPr>
        <w:spacing w:lineRule="exact" w:line="500"/>
        <w:rPr>
          <w:sz w:val="24"/>
        </w:rPr>
      </w:pPr>
      <w:r>
        <w:rPr>
          <w:rFonts w:ascii="SimHei" w:hAnsi="SimHei" w:eastAsia="黑体"/>
          <w:sz w:val="24"/>
        </w:rPr>
        <w:t>公司所有员工均应认真填写</w:t>
      </w:r>
      <w:r>
        <w:rPr>
          <w:rFonts w:ascii="SimHei" w:hAnsi="SimHei" w:eastAsia="黑体"/>
          <w:sz w:val="24"/>
        </w:rPr>
        <w:t>“</w:t>
      </w:r>
      <w:r>
        <w:rPr>
          <w:rFonts w:ascii="SimHei" w:hAnsi="SimHei" w:eastAsia="黑体"/>
          <w:sz w:val="24"/>
        </w:rPr>
        <w:t>个人信息表</w:t>
      </w:r>
      <w:r>
        <w:rPr>
          <w:rFonts w:ascii="SimHei" w:hAnsi="SimHei" w:eastAsia="黑体"/>
          <w:sz w:val="24"/>
        </w:rPr>
        <w:t>”</w:t>
      </w:r>
      <w:r>
        <w:rPr>
          <w:rFonts w:ascii="SimHei" w:hAnsi="SimHei" w:eastAsia="黑体"/>
          <w:sz w:val="24"/>
        </w:rPr>
        <w:t>，并附上有关证书、证件的复印件。员工应保证个人资料的准确性和真实性，任何虚假信息一经查实，公司将可以立即解除聘用关系。</w:t>
      </w:r>
    </w:p>
    <w:p>
      <w:pPr>
        <w:pStyle w:val="Normal"/>
        <w:numPr>
          <w:ilvl w:val="2"/>
          <w:numId w:val="19"/>
        </w:numPr>
        <w:spacing w:lineRule="exact" w:line="500"/>
        <w:rPr/>
      </w:pPr>
      <w:r>
        <w:rPr>
          <w:rFonts w:ascii="SimHei" w:hAnsi="SimHei" w:eastAsia="黑体"/>
          <w:sz w:val="24"/>
        </w:rPr>
        <w:t>员工的</w:t>
      </w:r>
      <w:r>
        <w:rPr>
          <w:rFonts w:ascii="SimHei" w:hAnsi="SimHei" w:eastAsia="黑体"/>
          <w:sz w:val="24"/>
        </w:rPr>
        <w:t>姓名、</w:t>
      </w:r>
      <w:r>
        <w:rPr>
          <w:rFonts w:ascii="SimHei" w:hAnsi="SimHei" w:eastAsia="黑体"/>
          <w:sz w:val="24"/>
        </w:rPr>
        <w:t>住址、电话、婚姻状况</w:t>
      </w:r>
      <w:r>
        <w:rPr>
          <w:rFonts w:ascii="SimHei" w:hAnsi="SimHei" w:eastAsia="黑体"/>
          <w:sz w:val="24"/>
        </w:rPr>
        <w:t>、学历证书</w:t>
      </w:r>
      <w:r>
        <w:rPr>
          <w:rFonts w:ascii="SimHei" w:hAnsi="SimHei" w:eastAsia="黑体"/>
          <w:sz w:val="24"/>
        </w:rPr>
        <w:t>和其它个人资料若有变更，员工有责任立即</w:t>
      </w:r>
      <w:r>
        <w:rPr>
          <w:rFonts w:ascii="SimHei" w:hAnsi="SimHei" w:eastAsia="黑体"/>
          <w:sz w:val="24"/>
        </w:rPr>
        <w:t>（一个月内）</w:t>
      </w:r>
      <w:r>
        <w:rPr>
          <w:rFonts w:ascii="SimHei" w:hAnsi="SimHei" w:eastAsia="黑体"/>
          <w:sz w:val="24"/>
        </w:rPr>
        <w:t>通知</w:t>
      </w:r>
      <w:r>
        <w:rPr>
          <w:rFonts w:ascii="SimHei" w:hAnsi="SimHei" w:eastAsia="黑体"/>
          <w:sz w:val="24"/>
        </w:rPr>
        <w:t>人力资源部</w:t>
      </w:r>
      <w:r>
        <w:rPr>
          <w:rFonts w:ascii="SimHei" w:hAnsi="SimHei" w:eastAsia="黑体"/>
          <w:sz w:val="24"/>
        </w:rPr>
        <w:t>，以便公司在必要的时候运用正确的人力资源信息</w:t>
      </w:r>
      <w:r>
        <w:rPr>
          <w:rFonts w:ascii="SimHei" w:hAnsi="SimHei" w:eastAsia="黑体"/>
          <w:sz w:val="24"/>
        </w:rPr>
        <w:t>，同时确保与职员有关的各项权益。</w:t>
      </w:r>
    </w:p>
    <w:p>
      <w:pPr>
        <w:pStyle w:val="Normal"/>
        <w:numPr>
          <w:ilvl w:val="2"/>
          <w:numId w:val="19"/>
        </w:numPr>
        <w:spacing w:lineRule="exact" w:line="500"/>
        <w:rPr>
          <w:sz w:val="24"/>
        </w:rPr>
      </w:pPr>
      <w:r>
        <w:rPr>
          <w:rFonts w:ascii="SimHei" w:hAnsi="SimHei" w:eastAsia="黑体"/>
          <w:sz w:val="24"/>
        </w:rPr>
        <w:t>个人档案管理内容包括：</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个人应聘申请表（附照片）</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个人简历（中</w:t>
      </w:r>
      <w:r>
        <w:rPr>
          <w:rFonts w:ascii="SimHei" w:hAnsi="SimHei" w:eastAsia="黑体"/>
          <w:sz w:val="24"/>
        </w:rPr>
        <w:t>/</w:t>
      </w:r>
      <w:r>
        <w:rPr>
          <w:rFonts w:ascii="SimHei" w:hAnsi="SimHei" w:eastAsia="黑体"/>
          <w:sz w:val="24"/>
        </w:rPr>
        <w:t>英文）</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各种证件复印件（包括证件）</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聘用书复印件（附有最初工资说明、职位说明）</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各种培训证件复印件（个人、公司）</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与公司签定的劳动合同（公司备件）</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保密协议书、承诺书各一份（公司备件）</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使用公司财物清单（包括固定资产、低值易耗品）</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月度考核成绩单</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月度考勤记录</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试用期记录、个人转正总结（包括进入公司时间记录）</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工资涨浮、月奖金记录（包括总监以上级别建议证明）</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晋级记录（包括总监以上级别建议证明）</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公司内部奖励证明（包括总经理意见证明）</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个人休假明细（包括重要病、事、休假申请证件）</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公司派送的培训记录（包括最后取得的证书原件）</w:t>
      </w:r>
    </w:p>
    <w:p>
      <w:pPr>
        <w:pStyle w:val="Normal"/>
        <w:numPr>
          <w:ilvl w:val="0"/>
          <w:numId w:val="20"/>
        </w:numPr>
        <w:spacing w:lineRule="exact" w:line="500"/>
        <w:rPr/>
      </w:pPr>
      <w:r>
        <w:rPr>
          <w:rFonts w:ascii="SimHei" w:hAnsi="SimHei" w:eastAsia="黑体"/>
          <w:sz w:val="24"/>
        </w:rPr>
        <w:t></w:t>
      </w:r>
      <w:r>
        <w:rPr>
          <w:rFonts w:ascii="SimHei" w:hAnsi="SimHei" w:eastAsia="黑体"/>
          <w:sz w:val="24"/>
        </w:rPr>
        <w:t>个人福利记录</w:t>
      </w:r>
      <w:r>
        <w:rPr>
          <w:rFonts w:eastAsia="黑体" w:ascii="SimHei" w:hAnsi="SimHei"/>
          <w:sz w:val="24"/>
        </w:rPr>
        <w:t xml:space="preserve"> </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出差记录表</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财务部私人借款记录</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公司股票期权记录（包括涨浮记录）</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纪律与处罚记录（包括总监以上级别意见证明）</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建议与投诉记录（包括被公司采纳建议具体内容）</w:t>
      </w:r>
    </w:p>
    <w:p>
      <w:pPr>
        <w:pStyle w:val="Normal"/>
        <w:numPr>
          <w:ilvl w:val="0"/>
          <w:numId w:val="20"/>
        </w:numPr>
        <w:spacing w:lineRule="exact" w:line="500"/>
        <w:rPr>
          <w:sz w:val="24"/>
        </w:rPr>
      </w:pPr>
      <w:r>
        <w:rPr>
          <w:rFonts w:ascii="SimHei" w:hAnsi="SimHei" w:eastAsia="黑体"/>
          <w:sz w:val="24"/>
        </w:rPr>
        <w:t></w:t>
      </w:r>
      <w:r>
        <w:rPr>
          <w:rFonts w:ascii="SimHei" w:hAnsi="SimHei" w:eastAsia="黑体"/>
          <w:sz w:val="24"/>
        </w:rPr>
        <w:t>离职手续明细单</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9"/>
        </w:numPr>
        <w:snapToGrid w:val="true"/>
        <w:spacing w:lineRule="auto" w:line="415" w:before="260" w:after="260"/>
        <w:jc w:val="both"/>
        <w:rPr/>
      </w:pPr>
      <w:bookmarkStart w:id="13" w:name="__RefHeading___Toc427859416"/>
      <w:bookmarkEnd w:id="13"/>
      <w:r>
        <w:rPr>
          <w:rFonts w:ascii="SimHei" w:hAnsi="SimHei" w:eastAsia="黑体"/>
        </w:rPr>
        <w:t>试用</w:t>
      </w:r>
      <w:r>
        <w:rPr>
          <w:rFonts w:ascii="SimHei" w:hAnsi="SimHei" w:eastAsia="黑体"/>
        </w:rPr>
        <w:t>与转正</w:t>
      </w:r>
    </w:p>
    <w:p>
      <w:pPr>
        <w:pStyle w:val="Normal"/>
        <w:numPr>
          <w:ilvl w:val="2"/>
          <w:numId w:val="19"/>
        </w:numPr>
        <w:spacing w:lineRule="exact" w:line="500"/>
        <w:rPr/>
      </w:pPr>
      <w:r>
        <w:rPr>
          <w:rFonts w:ascii="SimHei" w:hAnsi="SimHei" w:eastAsia="黑体"/>
          <w:sz w:val="24"/>
        </w:rPr>
        <w:t>试用期是公司录用人员的必要环节，坚持双向选择、优胜劣汰的原则。新员工自报到的第一天起的之后三个月为试用期。此期间，如果职员感到公司实际状况、发展机</w:t>
      </w:r>
      <w:r>
        <w:rPr>
          <w:rFonts w:ascii="SimHei" w:hAnsi="SimHei" w:eastAsia="黑体"/>
          <w:sz w:val="24"/>
        </w:rPr>
        <w:t>会与预期有较大差距，或由于其它原因而决定离开，可提出辞职，并按规定办理离职手续；</w:t>
      </w:r>
      <w:r>
        <w:rPr>
          <w:rFonts w:ascii="SimHei" w:hAnsi="SimHei" w:eastAsia="黑体"/>
          <w:sz w:val="24"/>
        </w:rPr>
        <w:t>如果员工在试用期内的表现不符合职位要求或有严重过失的，公司可以立即终止与该员工的聘用关系；公司也可根据情况决定是否延长员工的试用期，但最长不超过六个月</w:t>
      </w:r>
      <w:r>
        <w:rPr>
          <w:rFonts w:ascii="SimHei" w:hAnsi="SimHei" w:eastAsia="黑体"/>
          <w:sz w:val="24"/>
        </w:rPr>
        <w:t>。</w:t>
      </w:r>
    </w:p>
    <w:p>
      <w:pPr>
        <w:pStyle w:val="Normal"/>
        <w:numPr>
          <w:ilvl w:val="2"/>
          <w:numId w:val="19"/>
        </w:numPr>
        <w:spacing w:lineRule="exact" w:line="500"/>
        <w:rPr>
          <w:sz w:val="24"/>
        </w:rPr>
      </w:pPr>
      <w:r>
        <w:rPr>
          <w:rFonts w:ascii="SimHei" w:hAnsi="SimHei" w:eastAsia="黑体"/>
          <w:sz w:val="24"/>
        </w:rPr>
        <w:t>试用期满公司将书面通知员工被正式聘用；在计算员工服务年限时，试用期计入员工的服务年限。</w:t>
      </w:r>
      <w:r>
        <w:rPr>
          <w:rFonts w:ascii="SimHei" w:hAnsi="SimHei" w:eastAsia="黑体"/>
          <w:sz w:val="24"/>
        </w:rPr>
        <w:t>（提示：</w:t>
      </w:r>
      <w:r>
        <w:rPr>
          <w:rFonts w:ascii="SimHei" w:hAnsi="SimHei" w:eastAsia="黑体"/>
          <w:sz w:val="24"/>
        </w:rPr>
        <w:t>从公司离职后，重新再进入公司时，职员的</w:t>
      </w:r>
      <w:r>
        <w:rPr>
          <w:rFonts w:ascii="SimHei" w:hAnsi="SimHei" w:eastAsia="黑体"/>
          <w:sz w:val="24"/>
        </w:rPr>
        <w:t>服务年限</w:t>
      </w:r>
      <w:r>
        <w:rPr>
          <w:rFonts w:ascii="SimHei" w:hAnsi="SimHei" w:eastAsia="黑体"/>
          <w:sz w:val="24"/>
        </w:rPr>
        <w:t>将从最近一次进入公司起计。</w:t>
      </w:r>
      <w:r>
        <w:rPr>
          <w:rFonts w:ascii="SimHei" w:hAnsi="SimHei" w:eastAsia="黑体"/>
          <w:sz w:val="24"/>
        </w:rPr>
        <w:t>）</w:t>
      </w:r>
    </w:p>
    <w:p>
      <w:pPr>
        <w:pStyle w:val="Normal"/>
        <w:numPr>
          <w:ilvl w:val="2"/>
          <w:numId w:val="19"/>
        </w:numPr>
        <w:spacing w:lineRule="exact" w:line="500"/>
        <w:rPr>
          <w:sz w:val="24"/>
        </w:rPr>
      </w:pPr>
      <w:r>
        <w:rPr>
          <w:rFonts w:ascii="SimHei" w:hAnsi="SimHei" w:eastAsia="黑体"/>
          <w:sz w:val="24"/>
        </w:rPr>
        <w:t>试用期内员工不享受公司福利及年假。</w:t>
      </w:r>
    </w:p>
    <w:p>
      <w:pPr>
        <w:pStyle w:val="Normal"/>
        <w:numPr>
          <w:ilvl w:val="2"/>
          <w:numId w:val="19"/>
        </w:numPr>
        <w:spacing w:lineRule="exact" w:line="500"/>
        <w:rPr/>
      </w:pPr>
      <w:r>
        <w:rPr>
          <w:rFonts w:ascii="SimHei" w:hAnsi="SimHei" w:eastAsia="黑体"/>
          <w:sz w:val="24"/>
        </w:rPr>
        <w:t>如试用合格并通过入职前培训（包括脱产集中培训和在职培训），职员可填写《新职员基础在职培训清单》、《新职员入职培训情况调查表》、《新职员熟悉部门情况练习》和《职员转正申请表》，</w:t>
      </w:r>
      <w:r>
        <w:rPr>
          <w:rFonts w:ascii="SimHei" w:hAnsi="SimHei" w:eastAsia="黑体"/>
          <w:sz w:val="24"/>
        </w:rPr>
        <w:t>员工的部门主管将就员工试用期的表现</w:t>
      </w:r>
      <w:r>
        <w:rPr>
          <w:rFonts w:ascii="SimHei" w:hAnsi="SimHei" w:eastAsia="黑体"/>
          <w:sz w:val="24"/>
        </w:rPr>
        <w:t>做出</w:t>
      </w:r>
      <w:r>
        <w:rPr>
          <w:rFonts w:ascii="SimHei" w:hAnsi="SimHei" w:eastAsia="黑体"/>
          <w:sz w:val="24"/>
        </w:rPr>
        <w:t>评估，并填写</w:t>
      </w:r>
      <w:r>
        <w:rPr>
          <w:rFonts w:ascii="SimHei" w:hAnsi="SimHei" w:eastAsia="黑体"/>
          <w:sz w:val="24"/>
        </w:rPr>
        <w:t>“</w:t>
      </w:r>
      <w:r>
        <w:rPr>
          <w:rFonts w:ascii="SimHei" w:hAnsi="SimHei" w:eastAsia="黑体"/>
          <w:sz w:val="24"/>
        </w:rPr>
        <w:t>试用期业绩评估表</w:t>
      </w:r>
      <w:r>
        <w:rPr>
          <w:rFonts w:ascii="SimHei" w:hAnsi="SimHei" w:eastAsia="黑体"/>
          <w:sz w:val="24"/>
        </w:rPr>
        <w:t>”</w:t>
      </w:r>
      <w:r>
        <w:rPr>
          <w:rFonts w:ascii="SimHei" w:hAnsi="SimHei" w:eastAsia="黑体"/>
          <w:sz w:val="24"/>
        </w:rPr>
        <w:t>在员工试用期结束前至少两周交至</w:t>
      </w:r>
      <w:r>
        <w:rPr>
          <w:rFonts w:ascii="SimHei" w:hAnsi="SimHei" w:eastAsia="黑体"/>
          <w:sz w:val="24"/>
        </w:rPr>
        <w:t>人力资源部</w:t>
      </w:r>
      <w:r>
        <w:rPr>
          <w:rFonts w:ascii="SimHei" w:hAnsi="SimHei" w:eastAsia="黑体"/>
          <w:sz w:val="24"/>
        </w:rPr>
        <w:t>，由</w:t>
      </w:r>
      <w:r>
        <w:rPr>
          <w:rFonts w:ascii="SimHei" w:hAnsi="SimHei" w:eastAsia="黑体"/>
          <w:sz w:val="24"/>
        </w:rPr>
        <w:t>人力资源部</w:t>
      </w:r>
      <w:r>
        <w:rPr>
          <w:rFonts w:ascii="SimHei" w:hAnsi="SimHei" w:eastAsia="黑体"/>
          <w:sz w:val="24"/>
        </w:rPr>
        <w:t>结合部门主管的评价，决定是否给予转正。</w:t>
      </w:r>
      <w:r>
        <w:rPr>
          <w:rFonts w:ascii="SimHei" w:hAnsi="SimHei" w:eastAsia="黑体"/>
          <w:sz w:val="24"/>
        </w:rPr>
        <w:t>（提示：财务人员须由总部财务部审核；副总经理、部门正副经理及以上人员需由人力资源部审核，集团总经理审批。）</w:t>
      </w:r>
    </w:p>
    <w:p>
      <w:pPr>
        <w:pStyle w:val="Normal"/>
        <w:numPr>
          <w:ilvl w:val="2"/>
          <w:numId w:val="19"/>
        </w:numPr>
        <w:spacing w:lineRule="exact" w:line="500"/>
        <w:rPr>
          <w:sz w:val="24"/>
        </w:rPr>
      </w:pPr>
      <w:r>
        <w:rPr>
          <w:rFonts w:ascii="SimHei" w:hAnsi="SimHei" w:eastAsia="黑体"/>
          <w:b/>
          <w:sz w:val="24"/>
        </w:rPr>
        <w:t>入职引导人</w:t>
      </w:r>
      <w:r>
        <w:rPr>
          <w:rFonts w:ascii="SimHei" w:hAnsi="SimHei" w:eastAsia="黑体"/>
          <w:sz w:val="24"/>
        </w:rPr>
        <w:t>（企业根据自身需求确定是否设立）：试用期间，公司会指定入职引导人帮助新职员接受脱产集中培训和在职培训。入职引导人的职责包括向新职员介绍本部门职能、人员情况、讲解本职工作内容和要求，帮助了解公司有关规则和规定，为新职员安排脱产集中培训的时间，确认并协助取得《员工手册》等资料。任何有关工作的具体事务，如确定办公位、领取办公用品、使用办公设备、用餐、搭乘班车等，新职员都可咨询入职引导人。</w:t>
      </w:r>
    </w:p>
    <w:p>
      <w:pPr>
        <w:pStyle w:val="Normal"/>
        <w:numPr>
          <w:ilvl w:val="2"/>
          <w:numId w:val="19"/>
        </w:numPr>
        <w:spacing w:lineRule="exact" w:line="500"/>
        <w:rPr>
          <w:sz w:val="24"/>
        </w:rPr>
      </w:pPr>
      <w:r>
        <w:rPr>
          <w:rFonts w:ascii="SimHei" w:hAnsi="SimHei" w:eastAsia="黑体"/>
          <w:sz w:val="24"/>
        </w:rPr>
        <w:t>转正后的员工由</w:t>
      </w:r>
      <w:r>
        <w:rPr>
          <w:rFonts w:ascii="SimHei" w:hAnsi="SimHei" w:eastAsia="黑体"/>
          <w:sz w:val="24"/>
        </w:rPr>
        <w:t>人力资源部</w:t>
      </w:r>
      <w:r>
        <w:rPr>
          <w:rFonts w:ascii="SimHei" w:hAnsi="SimHei" w:eastAsia="黑体"/>
          <w:sz w:val="24"/>
        </w:rPr>
        <w:t>部负责建立相应的社会福利和社会保险。</w:t>
      </w:r>
    </w:p>
    <w:p>
      <w:pPr>
        <w:pStyle w:val="Style16"/>
        <w:spacing w:lineRule="auto" w:line="360" w:before="0" w:after="0"/>
        <w:jc w:val="both"/>
        <w:rPr>
          <w:rFonts w:ascii="Times New Roman" w:hAnsi="Times New Roman" w:cs="Times New Roman"/>
          <w:kern w:val="2"/>
          <w:sz w:val="24"/>
        </w:rPr>
      </w:pPr>
      <w:r>
        <w:rPr>
          <w:rFonts w:cs="Times New Roman" w:ascii="SimHei" w:hAnsi="SimHei" w:eastAsia="黑体"/>
          <w:kern w:val="2"/>
          <w:sz w:val="24"/>
        </w:rPr>
      </w:r>
    </w:p>
    <w:p>
      <w:pPr>
        <w:pStyle w:val="Heading2"/>
        <w:rPr/>
      </w:pPr>
      <w:bookmarkStart w:id="14" w:name="__RefHeading___Toc427859417"/>
      <w:bookmarkEnd w:id="14"/>
      <w:r>
        <w:rPr>
          <w:rFonts w:ascii="SimHei" w:hAnsi="SimHei" w:eastAsia="黑体"/>
        </w:rPr>
        <w:t>3.5</w:t>
      </w:r>
      <w:r>
        <w:rPr>
          <w:rFonts w:ascii="SimHei" w:hAnsi="SimHei" w:eastAsia="黑体"/>
        </w:rPr>
        <w:t>工作时间</w:t>
      </w:r>
    </w:p>
    <w:p>
      <w:pPr>
        <w:pStyle w:val="Style16"/>
        <w:spacing w:lineRule="auto" w:line="360" w:before="0" w:after="0"/>
        <w:ind w:firstLine="480"/>
        <w:jc w:val="both"/>
        <w:rPr>
          <w:rFonts w:ascii="Times New Roman" w:hAnsi="Times New Roman" w:cs="Times New Roman"/>
          <w:kern w:val="2"/>
        </w:rPr>
      </w:pPr>
      <w:r>
        <w:rPr>
          <w:rFonts w:ascii="SimHei" w:hAnsi="SimHei" w:cs="Times New Roman" w:eastAsia="黑体"/>
          <w:kern w:val="2"/>
        </w:rPr>
        <w:t>本公司实行每周五天工作日，每天工作时间为星期一至星期五：八点至十七点，</w:t>
      </w:r>
      <w:r>
        <w:rPr>
          <w:rFonts w:ascii="SimHei" w:hAnsi="SimHei" w:cs="Times New Roman" w:eastAsia="黑体"/>
          <w:kern w:val="2"/>
        </w:rPr>
        <w:t>平均每周工作时间不超过四十小时的工时制度。</w:t>
      </w:r>
      <w:r>
        <w:rPr>
          <w:rFonts w:ascii="SimHei" w:hAnsi="SimHei" w:cs="Times New Roman" w:eastAsia="黑体"/>
          <w:kern w:val="2"/>
        </w:rPr>
        <w:t>午餐时间：十二点至十三点。</w:t>
      </w:r>
    </w:p>
    <w:p>
      <w:pPr>
        <w:pStyle w:val="Normal"/>
        <w:spacing w:lineRule="exact" w:line="500"/>
        <w:ind w:firstLine="480"/>
        <w:rPr>
          <w:sz w:val="24"/>
        </w:rPr>
      </w:pPr>
      <w:r>
        <w:rPr>
          <w:rFonts w:ascii="SimHei" w:hAnsi="SimHei" w:eastAsia="黑体"/>
          <w:sz w:val="24"/>
        </w:rPr>
        <w:t>（提示：</w:t>
      </w:r>
      <w:r>
        <w:rPr>
          <w:rFonts w:ascii="SimHei" w:hAnsi="SimHei" w:eastAsia="黑体"/>
          <w:sz w:val="24"/>
        </w:rPr>
        <w:t>对于销售人员，经主管同意，工作时间可根据客户的需求来安排，除去午餐时间，每天的工作时间不能少于</w:t>
      </w:r>
      <w:r>
        <w:rPr>
          <w:rFonts w:ascii="SimHei" w:hAnsi="SimHei" w:eastAsia="黑体"/>
          <w:sz w:val="24"/>
        </w:rPr>
        <w:t>8</w:t>
      </w:r>
      <w:r>
        <w:rPr>
          <w:rFonts w:ascii="SimHei" w:hAnsi="SimHei" w:eastAsia="黑体"/>
          <w:sz w:val="24"/>
        </w:rPr>
        <w:t>小时。</w:t>
      </w:r>
      <w:r>
        <w:rPr>
          <w:rFonts w:ascii="SimHei" w:hAnsi="SimHei" w:eastAsia="黑体"/>
          <w:sz w:val="24"/>
        </w:rPr>
        <w:t>）</w:t>
      </w:r>
      <w:r>
        <w:rPr>
          <w:rFonts w:ascii="SimHei" w:hAnsi="SimHei" w:eastAsia="黑体"/>
          <w:sz w:val="24"/>
        </w:rPr>
        <w:b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Heading1"/>
        <w:rPr/>
      </w:pPr>
      <w:bookmarkStart w:id="15" w:name="__RefHeading___Toc427859418"/>
      <w:bookmarkEnd w:id="15"/>
      <w:r>
        <w:rPr>
          <w:rFonts w:ascii="SimHei" w:hAnsi="SimHei" w:eastAsia="黑体"/>
        </w:rPr>
        <w:t>第四章</w:t>
      </w:r>
      <w:r>
        <w:rPr>
          <w:rFonts w:eastAsia="黑体" w:ascii="SimHei" w:hAnsi="SimHei"/>
        </w:rPr>
        <w:t xml:space="preserve"> </w:t>
      </w:r>
      <w:r>
        <w:rPr>
          <w:rFonts w:ascii="SimHei" w:hAnsi="SimHei" w:eastAsia="黑体"/>
        </w:rPr>
        <w:t>员工行为准则（员工守则）</w:t>
      </w:r>
    </w:p>
    <w:p>
      <w:pPr>
        <w:pStyle w:val="Heading2"/>
        <w:keepNext w:val="true"/>
        <w:keepLines/>
        <w:widowControl w:val="false"/>
        <w:numPr>
          <w:ilvl w:val="1"/>
          <w:numId w:val="10"/>
        </w:numPr>
        <w:snapToGrid w:val="true"/>
        <w:spacing w:lineRule="auto" w:line="415" w:before="260" w:after="260"/>
        <w:jc w:val="both"/>
        <w:rPr/>
      </w:pPr>
      <w:r>
        <w:rPr>
          <w:rFonts w:eastAsia="黑体" w:ascii="SimHei" w:hAnsi="SimHei"/>
        </w:rPr>
        <w:t xml:space="preserve"> </w:t>
      </w:r>
      <w:bookmarkStart w:id="16" w:name="__RefHeading___Toc427859419"/>
      <w:r>
        <w:rPr>
          <w:rFonts w:ascii="SimHei" w:hAnsi="SimHei" w:eastAsia="黑体"/>
        </w:rPr>
        <w:t>总则</w:t>
      </w:r>
      <w:bookmarkEnd w:id="16"/>
    </w:p>
    <w:p>
      <w:pPr>
        <w:pStyle w:val="Normal"/>
        <w:numPr>
          <w:ilvl w:val="2"/>
          <w:numId w:val="10"/>
        </w:numPr>
        <w:spacing w:lineRule="exact" w:line="500"/>
        <w:rPr>
          <w:sz w:val="24"/>
        </w:rPr>
      </w:pPr>
      <w:r>
        <w:rPr>
          <w:rFonts w:ascii="SimHei" w:hAnsi="SimHei" w:eastAsia="黑体"/>
          <w:sz w:val="24"/>
        </w:rPr>
        <w:t>本准则体现了公司价值观的基本要求，职员应当熟知并遵守。</w:t>
      </w:r>
    </w:p>
    <w:p>
      <w:pPr>
        <w:pStyle w:val="Normal"/>
        <w:numPr>
          <w:ilvl w:val="2"/>
          <w:numId w:val="10"/>
        </w:numPr>
        <w:spacing w:lineRule="exact" w:line="500"/>
        <w:rPr/>
      </w:pPr>
      <w:r>
        <w:rPr>
          <w:rFonts w:ascii="SimHei" w:hAnsi="SimHei" w:eastAsia="黑体"/>
          <w:sz w:val="24"/>
        </w:rPr>
        <w:t>员工必须遵守中华人民共和国各项法律法规。</w:t>
      </w:r>
    </w:p>
    <w:p>
      <w:pPr>
        <w:pStyle w:val="Normal"/>
        <w:numPr>
          <w:ilvl w:val="2"/>
          <w:numId w:val="10"/>
        </w:numPr>
        <w:spacing w:lineRule="exact" w:line="500"/>
        <w:rPr>
          <w:sz w:val="24"/>
        </w:rPr>
      </w:pPr>
      <w:r>
        <w:rPr>
          <w:rFonts w:ascii="SimHei" w:hAnsi="SimHei" w:eastAsia="黑体"/>
          <w:sz w:val="24"/>
        </w:rPr>
        <w:t>在代表公司的各项活动中，员工必须维护公司荣誉与利益。</w:t>
      </w:r>
    </w:p>
    <w:p>
      <w:pPr>
        <w:pStyle w:val="Normal"/>
        <w:numPr>
          <w:ilvl w:val="2"/>
          <w:numId w:val="10"/>
        </w:numPr>
        <w:spacing w:lineRule="exact" w:line="500"/>
        <w:rPr>
          <w:sz w:val="24"/>
        </w:rPr>
      </w:pPr>
      <w:r>
        <w:rPr>
          <w:rFonts w:ascii="SimHei" w:hAnsi="SimHei" w:eastAsia="黑体"/>
          <w:sz w:val="24"/>
        </w:rPr>
        <w:t>每位员工都应在工作中积极进取、严于自律、不断提升个人工作技能、技巧。</w:t>
      </w:r>
    </w:p>
    <w:p>
      <w:pPr>
        <w:pStyle w:val="Normal"/>
        <w:numPr>
          <w:ilvl w:val="2"/>
          <w:numId w:val="10"/>
        </w:numPr>
        <w:spacing w:lineRule="exact" w:line="500"/>
        <w:rPr>
          <w:sz w:val="24"/>
        </w:rPr>
      </w:pPr>
      <w:r>
        <w:rPr>
          <w:rFonts w:ascii="SimHei" w:hAnsi="SimHei" w:eastAsia="黑体"/>
          <w:sz w:val="24"/>
        </w:rPr>
        <w:t>公司提倡互相信任的工作氛围，员工之间应该相互尊敬、相互信任。</w:t>
      </w:r>
    </w:p>
    <w:p>
      <w:pPr>
        <w:pStyle w:val="Normal"/>
        <w:numPr>
          <w:ilvl w:val="2"/>
          <w:numId w:val="10"/>
        </w:numPr>
        <w:spacing w:lineRule="exact" w:line="500"/>
        <w:rPr>
          <w:sz w:val="24"/>
        </w:rPr>
      </w:pPr>
      <w:r>
        <w:rPr>
          <w:rFonts w:ascii="SimHei" w:hAnsi="SimHei" w:eastAsia="黑体"/>
          <w:sz w:val="24"/>
        </w:rPr>
        <w:t>公司尊重职员的正当权益，通过本准则界定公司利益与职员个人利益，避免二者发生冲突。</w:t>
      </w:r>
    </w:p>
    <w:p>
      <w:pPr>
        <w:pStyle w:val="Normal"/>
        <w:numPr>
          <w:ilvl w:val="2"/>
          <w:numId w:val="10"/>
        </w:numPr>
        <w:spacing w:lineRule="exact" w:line="500"/>
        <w:rPr>
          <w:sz w:val="24"/>
        </w:rPr>
      </w:pPr>
      <w:r>
        <w:rPr>
          <w:rFonts w:ascii="SimHei" w:hAnsi="SimHei" w:eastAsia="黑体"/>
          <w:sz w:val="24"/>
        </w:rPr>
        <w:t>职员违反本准则可能导致公司与之解除劳动合同。职员违反本准则给公司造成经济损失，公司将依法追索经济赔偿。职员行为涉嫌刑事犯罪，公司将报告司法机关处理。</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0"/>
        </w:numPr>
        <w:snapToGrid w:val="true"/>
        <w:spacing w:lineRule="auto" w:line="415" w:before="260" w:after="260"/>
        <w:jc w:val="both"/>
        <w:rPr/>
      </w:pPr>
      <w:r>
        <w:rPr>
          <w:rFonts w:eastAsia="黑体" w:ascii="SimHei" w:hAnsi="SimHei"/>
        </w:rPr>
        <w:t xml:space="preserve"> </w:t>
      </w:r>
      <w:bookmarkStart w:id="17" w:name="__RefHeading___Toc427859420"/>
      <w:r>
        <w:rPr>
          <w:rFonts w:ascii="SimHei" w:hAnsi="SimHei" w:eastAsia="黑体"/>
        </w:rPr>
        <w:t>职务权责</w:t>
      </w:r>
      <w:bookmarkEnd w:id="17"/>
    </w:p>
    <w:p>
      <w:pPr>
        <w:pStyle w:val="Normal"/>
        <w:numPr>
          <w:ilvl w:val="2"/>
          <w:numId w:val="10"/>
        </w:numPr>
        <w:spacing w:lineRule="exact" w:line="500"/>
        <w:rPr>
          <w:b/>
          <w:b/>
          <w:sz w:val="24"/>
        </w:rPr>
      </w:pPr>
      <w:r>
        <w:rPr>
          <w:rFonts w:ascii="SimHei" w:hAnsi="SimHei" w:eastAsia="黑体"/>
          <w:b/>
          <w:sz w:val="24"/>
        </w:rPr>
        <w:t>经营活动</w:t>
      </w:r>
    </w:p>
    <w:p>
      <w:pPr>
        <w:pStyle w:val="Normal"/>
        <w:numPr>
          <w:ilvl w:val="3"/>
          <w:numId w:val="10"/>
        </w:numPr>
        <w:spacing w:lineRule="exact" w:line="500"/>
        <w:rPr>
          <w:sz w:val="24"/>
        </w:rPr>
      </w:pPr>
      <w:r>
        <w:rPr>
          <w:rFonts w:ascii="SimHei" w:hAnsi="SimHei" w:eastAsia="黑体"/>
          <w:sz w:val="24"/>
        </w:rPr>
        <w:t>职员应守法、诚实地履行自己的职责，任何私人理由都不应成为其职务行为的动机。</w:t>
      </w:r>
    </w:p>
    <w:p>
      <w:pPr>
        <w:pStyle w:val="Normal"/>
        <w:numPr>
          <w:ilvl w:val="3"/>
          <w:numId w:val="10"/>
        </w:numPr>
        <w:spacing w:lineRule="exact" w:line="500"/>
        <w:rPr>
          <w:sz w:val="24"/>
        </w:rPr>
      </w:pPr>
      <w:r>
        <w:rPr>
          <w:rFonts w:ascii="SimHei" w:hAnsi="SimHei" w:eastAsia="黑体"/>
          <w:sz w:val="24"/>
        </w:rPr>
        <w:t>维护公司利益是职员的义务。职员不得从事、参与、支持、纵容对公司有现实或潜在危害的行为。发现公司利益受到损害，职员应向公司汇报，不得拖延或隐瞒。</w:t>
      </w:r>
    </w:p>
    <w:p>
      <w:pPr>
        <w:pStyle w:val="Normal"/>
        <w:numPr>
          <w:ilvl w:val="3"/>
          <w:numId w:val="10"/>
        </w:numPr>
        <w:spacing w:lineRule="exact" w:line="500"/>
        <w:rPr>
          <w:sz w:val="24"/>
        </w:rPr>
      </w:pPr>
      <w:r>
        <w:rPr>
          <w:rFonts w:ascii="SimHei" w:hAnsi="SimHei" w:eastAsia="黑体"/>
          <w:sz w:val="24"/>
        </w:rPr>
        <w:t>在未经授权的情况下，职员不得超越本职业务和职权范围从事经营活动。</w:t>
      </w:r>
    </w:p>
    <w:p>
      <w:pPr>
        <w:pStyle w:val="Normal"/>
        <w:numPr>
          <w:ilvl w:val="3"/>
          <w:numId w:val="10"/>
        </w:numPr>
        <w:spacing w:lineRule="exact" w:line="500"/>
        <w:rPr>
          <w:sz w:val="24"/>
        </w:rPr>
      </w:pPr>
      <w:r>
        <w:rPr>
          <w:rFonts w:ascii="SimHei" w:hAnsi="SimHei" w:eastAsia="黑体"/>
          <w:sz w:val="24"/>
        </w:rPr>
        <w:t>除本职日常业务外，未经公司授权或批准，职员不得从事下列活动：</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）以公司名义进行考察、谈判、签约、招投标、竞拍等；</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）以公司名义提供担保、证明；</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）以公司名义对新闻媒介发表意见、消息；</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）代表公司出席公众活动。</w:t>
      </w:r>
    </w:p>
    <w:p>
      <w:pPr>
        <w:pStyle w:val="Normal"/>
        <w:spacing w:lineRule="exact" w:line="500"/>
        <w:rPr>
          <w:sz w:val="24"/>
        </w:rPr>
      </w:pPr>
      <w:r>
        <w:rPr>
          <w:rFonts w:ascii="SimHei" w:hAnsi="SimHei" w:eastAsia="黑体"/>
          <w:sz w:val="24"/>
        </w:rPr>
        <w:t>4.2.1.5</w:t>
      </w:r>
      <w:r>
        <w:rPr>
          <w:rFonts w:ascii="SimHei" w:hAnsi="SimHei" w:eastAsia="黑体"/>
          <w:sz w:val="24"/>
        </w:rPr>
        <w:t>职员须严格执行公司颁布的各项制度。职员认为公司制度明显不适用，应及时向上司或制定和解释该制度的部门反映。公司鼓励职员就工作充分发表意见或提出合理化建议。</w:t>
      </w:r>
    </w:p>
    <w:p>
      <w:pPr>
        <w:pStyle w:val="Normal"/>
        <w:spacing w:lineRule="exact" w:line="500"/>
        <w:rPr>
          <w:sz w:val="24"/>
        </w:rPr>
      </w:pPr>
      <w:r>
        <w:rPr>
          <w:rFonts w:ascii="SimHei" w:hAnsi="SimHei" w:eastAsia="黑体"/>
          <w:sz w:val="24"/>
        </w:rPr>
        <w:t>4.2.1.6</w:t>
      </w:r>
      <w:r>
        <w:rPr>
          <w:rFonts w:ascii="SimHei" w:hAnsi="SimHei" w:eastAsia="黑体"/>
          <w:sz w:val="24"/>
        </w:rPr>
        <w:t>遵循管理流程接受上司的领导是职员的职责。职员应服从上司的指示。职员如认为上司的指示有违法律及商业道德，或危害公司利益，有权越级汇报。</w:t>
      </w:r>
    </w:p>
    <w:p>
      <w:pPr>
        <w:pStyle w:val="Normal"/>
        <w:spacing w:lineRule="exact" w:line="500"/>
        <w:rPr>
          <w:sz w:val="24"/>
        </w:rPr>
      </w:pPr>
      <w:r>
        <w:rPr>
          <w:rFonts w:ascii="SimHei" w:hAnsi="SimHei" w:eastAsia="黑体"/>
          <w:sz w:val="24"/>
        </w:rPr>
        <w:t>4.2.1.7</w:t>
      </w:r>
      <w:r>
        <w:rPr>
          <w:rFonts w:ascii="SimHei" w:hAnsi="SimHei" w:eastAsia="黑体"/>
          <w:sz w:val="24"/>
        </w:rPr>
        <w:t>遇到工作职责交叉或模糊的事项，公司鼓励勇于承担责任和以公司利益为重的行为，倡导主动积极地行动，推动工作完成。在工作紧急和重要的情况下，职员不得以分工不明为由推诿。</w:t>
      </w:r>
    </w:p>
    <w:p>
      <w:pPr>
        <w:pStyle w:val="Normal"/>
        <w:spacing w:lineRule="exact" w:line="500"/>
        <w:rPr>
          <w:sz w:val="24"/>
        </w:rPr>
      </w:pPr>
      <w:r>
        <w:rPr>
          <w:rFonts w:ascii="SimHei" w:hAnsi="SimHei" w:eastAsia="黑体"/>
          <w:sz w:val="24"/>
        </w:rPr>
        <w:t>4.2.1.8</w:t>
      </w:r>
      <w:r>
        <w:rPr>
          <w:rFonts w:ascii="SimHei" w:hAnsi="SimHei" w:eastAsia="黑体"/>
          <w:sz w:val="24"/>
        </w:rPr>
        <w:t>严禁职员超出公司授权范围或业务指引的要求，对客户和业务关联单位做出书面或口头承诺。在公司内部，职员应实事求是地对工作做出承诺，并努力兑现。</w:t>
      </w:r>
    </w:p>
    <w:p>
      <w:pPr>
        <w:pStyle w:val="Normal"/>
        <w:spacing w:lineRule="exact" w:line="500"/>
        <w:rPr/>
      </w:pPr>
      <w:r>
        <w:rPr>
          <w:rFonts w:ascii="SimHei" w:hAnsi="SimHei" w:eastAsia="黑体"/>
          <w:sz w:val="24"/>
        </w:rPr>
        <w:t>4.2.1.9</w:t>
      </w:r>
      <w:r>
        <w:rPr>
          <w:rFonts w:ascii="SimHei" w:hAnsi="SimHei" w:eastAsia="黑体"/>
          <w:sz w:val="24"/>
        </w:rPr>
        <w:t>职员有贪污、受贿或作假欺骗公司的行为，无论给公司造成损失与否，公司均可无条件与之解除劳动合同。</w:t>
      </w:r>
    </w:p>
    <w:p>
      <w:pPr>
        <w:pStyle w:val="Normal"/>
        <w:spacing w:lineRule="exact" w:line="500"/>
        <w:rPr>
          <w:sz w:val="24"/>
        </w:rPr>
      </w:pPr>
      <w:r>
        <w:rPr>
          <w:rFonts w:ascii="SimHei" w:hAnsi="SimHei" w:eastAsia="黑体"/>
          <w:sz w:val="24"/>
        </w:rPr>
      </w:r>
    </w:p>
    <w:p>
      <w:pPr>
        <w:pStyle w:val="Normal"/>
        <w:spacing w:lineRule="exact" w:line="500"/>
        <w:rPr>
          <w:b/>
          <w:b/>
          <w:sz w:val="24"/>
        </w:rPr>
      </w:pPr>
      <w:r>
        <w:rPr>
          <w:rFonts w:ascii="SimHei" w:hAnsi="SimHei" w:eastAsia="黑体"/>
          <w:b/>
          <w:sz w:val="24"/>
        </w:rPr>
        <w:t>4.2.2</w:t>
      </w:r>
      <w:r>
        <w:rPr>
          <w:rFonts w:ascii="SimHei" w:hAnsi="SimHei" w:eastAsia="黑体"/>
          <w:b/>
          <w:sz w:val="24"/>
        </w:rPr>
        <w:t>资源使用</w:t>
      </w:r>
    </w:p>
    <w:p>
      <w:pPr>
        <w:pStyle w:val="Normal"/>
        <w:numPr>
          <w:ilvl w:val="3"/>
          <w:numId w:val="21"/>
        </w:numPr>
        <w:spacing w:lineRule="exact" w:line="500"/>
        <w:rPr/>
      </w:pPr>
      <w:r>
        <w:rPr>
          <w:rFonts w:ascii="SimHei" w:hAnsi="SimHei" w:eastAsia="黑体"/>
          <w:sz w:val="24"/>
        </w:rPr>
        <w:t>职员未经批准，不得将公司资产赠与、转让、出租、出借、抵押给其它单位或者个人。</w:t>
      </w:r>
    </w:p>
    <w:p>
      <w:pPr>
        <w:pStyle w:val="Normal"/>
        <w:numPr>
          <w:ilvl w:val="3"/>
          <w:numId w:val="21"/>
        </w:numPr>
        <w:spacing w:lineRule="exact" w:line="500"/>
        <w:rPr>
          <w:sz w:val="24"/>
        </w:rPr>
      </w:pPr>
      <w:r>
        <w:rPr>
          <w:rFonts w:ascii="SimHei" w:hAnsi="SimHei" w:eastAsia="黑体"/>
          <w:sz w:val="24"/>
        </w:rPr>
        <w:t>职员对公司的办公设备、交通工具、通讯及网络系统或其他资产，不得违反使用规定，做任何不适当的用途。</w:t>
      </w:r>
    </w:p>
    <w:p>
      <w:pPr>
        <w:pStyle w:val="Normal"/>
        <w:numPr>
          <w:ilvl w:val="3"/>
          <w:numId w:val="21"/>
        </w:numPr>
        <w:spacing w:lineRule="exact" w:line="500"/>
        <w:rPr>
          <w:sz w:val="24"/>
        </w:rPr>
      </w:pPr>
      <w:r>
        <w:rPr>
          <w:rFonts w:ascii="SimHei" w:hAnsi="SimHei" w:eastAsia="黑体"/>
          <w:sz w:val="24"/>
        </w:rPr>
        <w:t>公司的一切书面和电子教材、培训资料等，均有知识产权，职员未经授权，不得对外传播。</w:t>
      </w:r>
    </w:p>
    <w:p>
      <w:pPr>
        <w:pStyle w:val="Normal"/>
        <w:numPr>
          <w:ilvl w:val="3"/>
          <w:numId w:val="21"/>
        </w:numPr>
        <w:spacing w:lineRule="exact" w:line="500"/>
        <w:rPr>
          <w:sz w:val="24"/>
        </w:rPr>
      </w:pPr>
      <w:r>
        <w:rPr>
          <w:rFonts w:ascii="SimHei" w:hAnsi="SimHei" w:eastAsia="黑体"/>
          <w:sz w:val="24"/>
        </w:rPr>
        <w:t>职员因职务取得的商业和技术信息、发明创造和研究成果等，权益归公司所有。</w:t>
      </w:r>
    </w:p>
    <w:p>
      <w:pPr>
        <w:pStyle w:val="Normal"/>
        <w:numPr>
          <w:ilvl w:val="3"/>
          <w:numId w:val="21"/>
        </w:numPr>
        <w:spacing w:lineRule="exact" w:line="500"/>
        <w:rPr>
          <w:sz w:val="24"/>
        </w:rPr>
      </w:pPr>
      <w:r>
        <w:rPr>
          <w:rFonts w:ascii="SimHei" w:hAnsi="SimHei" w:eastAsia="黑体"/>
          <w:sz w:val="24"/>
        </w:rPr>
        <w:t>职员对任何公司财产，包括配备给个人使用的办公桌、保险柜、橱柜，乃至储存在公司设备内的电子资料，不具有隐私权。公司有权进行检查和调配。</w:t>
      </w:r>
    </w:p>
    <w:p>
      <w:pPr>
        <w:pStyle w:val="Normal"/>
        <w:spacing w:lineRule="exact" w:line="500"/>
        <w:rPr>
          <w:sz w:val="24"/>
        </w:rPr>
      </w:pPr>
      <w:r>
        <w:rPr>
          <w:rFonts w:ascii="SimHei" w:hAnsi="SimHei" w:eastAsia="黑体"/>
          <w:sz w:val="24"/>
        </w:rPr>
      </w:r>
    </w:p>
    <w:p>
      <w:pPr>
        <w:pStyle w:val="Heading2"/>
        <w:rPr/>
      </w:pPr>
      <w:bookmarkStart w:id="18" w:name="__RefHeading___Toc427859421"/>
      <w:bookmarkEnd w:id="18"/>
      <w:r>
        <w:rPr>
          <w:rFonts w:ascii="SimHei" w:hAnsi="SimHei" w:eastAsia="黑体"/>
        </w:rPr>
        <w:t xml:space="preserve">4.3 </w:t>
      </w:r>
      <w:r>
        <w:rPr>
          <w:rFonts w:ascii="SimHei" w:hAnsi="SimHei" w:eastAsia="黑体"/>
        </w:rPr>
        <w:t>内外交往</w:t>
      </w:r>
    </w:p>
    <w:p>
      <w:pPr>
        <w:pStyle w:val="Normal"/>
        <w:numPr>
          <w:ilvl w:val="2"/>
          <w:numId w:val="17"/>
        </w:numPr>
        <w:spacing w:lineRule="exact" w:line="500"/>
        <w:rPr>
          <w:sz w:val="24"/>
        </w:rPr>
      </w:pPr>
      <w:r>
        <w:rPr>
          <w:rFonts w:ascii="SimHei" w:hAnsi="SimHei" w:eastAsia="黑体"/>
          <w:sz w:val="24"/>
        </w:rPr>
        <w:t>员工在业务范围内，应坚持合法、正当的职业道德。不准索取或者收受相关业务往来单位（客户）的酬金（回扣），否则将构成受贿；对于对方馈赠的礼物，只有当价值较小（按公认标准），接受后不会影响正确处理与对方的业务关系，且拒绝对方会被视为失礼的情况下，才可以在公开的场合下接受，并应在事后及时报告上司。反对以贿赂或其它不正当手段取得不正当利益。</w:t>
      </w:r>
    </w:p>
    <w:p>
      <w:pPr>
        <w:pStyle w:val="Normal"/>
        <w:numPr>
          <w:ilvl w:val="2"/>
          <w:numId w:val="17"/>
        </w:numPr>
        <w:spacing w:lineRule="exact" w:line="500"/>
        <w:rPr>
          <w:sz w:val="24"/>
        </w:rPr>
      </w:pPr>
      <w:r>
        <w:rPr>
          <w:rFonts w:ascii="SimHei" w:hAnsi="SimHei" w:eastAsia="黑体"/>
          <w:sz w:val="24"/>
        </w:rPr>
        <w:t>员工不得挪用公款谋求个人利益或为他人谋取利益，否则依法追究其刑事责任。</w:t>
      </w:r>
    </w:p>
    <w:p>
      <w:pPr>
        <w:pStyle w:val="Normal"/>
        <w:numPr>
          <w:ilvl w:val="2"/>
          <w:numId w:val="17"/>
        </w:numPr>
        <w:spacing w:lineRule="exact" w:line="500"/>
        <w:rPr>
          <w:sz w:val="24"/>
        </w:rPr>
      </w:pPr>
      <w:r>
        <w:rPr>
          <w:rFonts w:ascii="SimHei" w:hAnsi="SimHei" w:eastAsia="黑体"/>
          <w:sz w:val="24"/>
        </w:rPr>
        <w:t>员工在对外业务往来中，按照规定接受相关单位（客户）礼品（佣金），应按公司有关礼品管理制度上缴公司。</w:t>
      </w:r>
    </w:p>
    <w:p>
      <w:pPr>
        <w:pStyle w:val="Normal"/>
        <w:numPr>
          <w:ilvl w:val="2"/>
          <w:numId w:val="17"/>
        </w:numPr>
        <w:spacing w:lineRule="exact" w:line="500"/>
        <w:rPr>
          <w:sz w:val="24"/>
        </w:rPr>
      </w:pPr>
      <w:r>
        <w:rPr>
          <w:rFonts w:ascii="SimHei" w:hAnsi="SimHei" w:eastAsia="黑体"/>
          <w:sz w:val="24"/>
        </w:rPr>
        <w:t>员工在对外业务往来中，不得参加违反法律法规及社会公德的活动。</w:t>
      </w:r>
    </w:p>
    <w:p>
      <w:pPr>
        <w:pStyle w:val="Normal"/>
        <w:numPr>
          <w:ilvl w:val="2"/>
          <w:numId w:val="17"/>
        </w:numPr>
        <w:spacing w:lineRule="exact" w:line="500"/>
        <w:rPr>
          <w:sz w:val="24"/>
        </w:rPr>
      </w:pPr>
      <w:r>
        <w:rPr>
          <w:rFonts w:ascii="SimHei" w:hAnsi="SimHei" w:eastAsia="黑体"/>
          <w:sz w:val="24"/>
        </w:rPr>
        <w:t>公司对外的交际应酬活动，应本着礼貌大方、简朴务实的原则，不应铺张浪费。公司内部的接待工作，应务实简朴。职员在安排交际活动时须考虑以下重要因素：</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）是否属于工作需要；</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）费用、频率和时机是否恰当；</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）消费项目是否合法。</w:t>
      </w:r>
    </w:p>
    <w:p>
      <w:pPr>
        <w:pStyle w:val="Normal"/>
        <w:spacing w:lineRule="exact" w:line="500"/>
        <w:rPr/>
      </w:pPr>
      <w:r>
        <w:rPr>
          <w:rFonts w:ascii="SimHei" w:hAnsi="SimHei" w:eastAsia="黑体"/>
          <w:sz w:val="24"/>
        </w:rPr>
        <w:t xml:space="preserve">4.3.6 </w:t>
      </w:r>
      <w:r>
        <w:rPr>
          <w:rFonts w:ascii="SimHei" w:hAnsi="SimHei" w:eastAsia="黑体"/>
          <w:sz w:val="24"/>
        </w:rPr>
        <w:t>公司对外部单位或个人支付佣金、回扣、酬金，或提供招待、馈赠等，应坚持下列原则：</w:t>
      </w:r>
    </w:p>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）不违反相关法律法规；</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）符合一般道德标准和商业惯例。</w:t>
      </w:r>
    </w:p>
    <w:p>
      <w:pPr>
        <w:pStyle w:val="Normal"/>
        <w:spacing w:lineRule="exact" w:line="500"/>
        <w:rPr/>
      </w:pPr>
      <w:r>
        <w:rPr>
          <w:rFonts w:ascii="SimHei" w:hAnsi="SimHei" w:eastAsia="黑体"/>
          <w:sz w:val="24"/>
        </w:rPr>
        <w:t xml:space="preserve">4.3.7 </w:t>
      </w:r>
      <w:r>
        <w:rPr>
          <w:rFonts w:ascii="SimHei" w:hAnsi="SimHei" w:eastAsia="黑体"/>
          <w:sz w:val="24"/>
        </w:rPr>
        <w:t>尊重客户、业务关联单位和同事是基本的职业准则。职员不得在任何场合诋毁任何单位和个人。</w:t>
      </w:r>
    </w:p>
    <w:p>
      <w:pPr>
        <w:pStyle w:val="Normal"/>
        <w:spacing w:lineRule="exact" w:line="500"/>
        <w:rPr>
          <w:sz w:val="24"/>
        </w:rPr>
      </w:pPr>
      <w:r>
        <w:rPr>
          <w:rFonts w:ascii="SimHei" w:hAnsi="SimHei" w:eastAsia="黑体"/>
          <w:sz w:val="24"/>
        </w:rPr>
      </w:r>
    </w:p>
    <w:p>
      <w:pPr>
        <w:pStyle w:val="Heading2"/>
        <w:rPr/>
      </w:pPr>
      <w:bookmarkStart w:id="19" w:name="__RefHeading___Toc427859422"/>
      <w:bookmarkEnd w:id="19"/>
      <w:r>
        <w:rPr>
          <w:rFonts w:ascii="SimHei" w:hAnsi="SimHei" w:eastAsia="黑体"/>
        </w:rPr>
        <w:t xml:space="preserve">4.4 </w:t>
      </w:r>
      <w:r>
        <w:rPr>
          <w:rFonts w:ascii="SimHei" w:hAnsi="SimHei" w:eastAsia="黑体"/>
        </w:rPr>
        <w:t>个人与公司利益的冲突</w:t>
      </w:r>
    </w:p>
    <w:p>
      <w:pPr>
        <w:pStyle w:val="Normal"/>
        <w:spacing w:lineRule="exact" w:line="500"/>
        <w:rPr>
          <w:b/>
          <w:b/>
          <w:sz w:val="24"/>
        </w:rPr>
      </w:pPr>
      <w:r>
        <w:rPr>
          <w:rFonts w:ascii="SimHei" w:hAnsi="SimHei" w:eastAsia="黑体"/>
          <w:b/>
          <w:sz w:val="24"/>
        </w:rPr>
        <w:t xml:space="preserve">4.4.1 </w:t>
      </w:r>
      <w:r>
        <w:rPr>
          <w:rFonts w:ascii="SimHei" w:hAnsi="SimHei" w:eastAsia="黑体"/>
          <w:b/>
          <w:sz w:val="24"/>
        </w:rPr>
        <w:t>兼职</w:t>
      </w:r>
    </w:p>
    <w:p>
      <w:pPr>
        <w:pStyle w:val="Normal"/>
        <w:spacing w:lineRule="exact" w:line="500"/>
        <w:rPr/>
      </w:pPr>
      <w:r>
        <w:rPr>
          <w:rFonts w:ascii="SimHei" w:hAnsi="SimHei" w:eastAsia="黑体"/>
          <w:sz w:val="24"/>
        </w:rPr>
        <w:t>4.4.1.1</w:t>
      </w:r>
      <w:r>
        <w:rPr>
          <w:rFonts w:ascii="SimHei" w:hAnsi="SimHei" w:eastAsia="黑体"/>
          <w:sz w:val="24"/>
        </w:rPr>
        <w:t>职员未经公司安排或批准，不得在外兼任获取报酬的工作。</w:t>
      </w:r>
    </w:p>
    <w:p>
      <w:pPr>
        <w:pStyle w:val="Normal"/>
        <w:spacing w:lineRule="exact" w:line="500"/>
        <w:rPr/>
      </w:pPr>
      <w:r>
        <w:rPr>
          <w:rFonts w:ascii="SimHei" w:hAnsi="SimHei" w:eastAsia="黑体"/>
          <w:sz w:val="24"/>
        </w:rPr>
        <w:t>4.4.1.2</w:t>
      </w:r>
      <w:r>
        <w:rPr>
          <w:rFonts w:ascii="SimHei" w:hAnsi="SimHei" w:eastAsia="黑体"/>
          <w:sz w:val="24"/>
        </w:rPr>
        <w:t>在任何情况下，禁止下列情形的兼职（包括不获取报酬的活动）：</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）在公司内从事外部的兼职工作；</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）兼职于公司的业务关联单位、客户或者商业竞争对手；</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）所兼任的工作构成对公司的商业竞争；</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）因兼职影响本职工作或有损公司形象；</w:t>
      </w:r>
    </w:p>
    <w:p>
      <w:pPr>
        <w:pStyle w:val="Normal"/>
        <w:spacing w:lineRule="exact" w:line="500"/>
        <w:ind w:firstLine="600"/>
        <w:rPr>
          <w:sz w:val="24"/>
        </w:rPr>
      </w:pPr>
      <w:r>
        <w:rPr>
          <w:rFonts w:ascii="SimHei" w:hAnsi="SimHei" w:eastAsia="黑体"/>
          <w:sz w:val="24"/>
        </w:rPr>
        <w:t>（</w:t>
      </w:r>
      <w:r>
        <w:rPr>
          <w:rFonts w:ascii="SimHei" w:hAnsi="SimHei" w:eastAsia="黑体"/>
          <w:sz w:val="24"/>
        </w:rPr>
        <w:t>5</w:t>
      </w:r>
      <w:r>
        <w:rPr>
          <w:rFonts w:ascii="SimHei" w:hAnsi="SimHei" w:eastAsia="黑体"/>
          <w:sz w:val="24"/>
        </w:rPr>
        <w:t>）经理级及以上职员兼职。</w:t>
      </w:r>
    </w:p>
    <w:p>
      <w:pPr>
        <w:pStyle w:val="Normal"/>
        <w:spacing w:lineRule="exact" w:line="500"/>
        <w:rPr/>
      </w:pPr>
      <w:r>
        <w:rPr>
          <w:rFonts w:ascii="SimHei" w:hAnsi="SimHei" w:eastAsia="黑体"/>
          <w:sz w:val="24"/>
        </w:rPr>
        <w:t>4.4.1.3</w:t>
      </w:r>
      <w:r>
        <w:rPr>
          <w:rFonts w:ascii="SimHei" w:hAnsi="SimHei" w:eastAsia="黑体"/>
          <w:sz w:val="24"/>
        </w:rPr>
        <w:t>公司鼓励职员在业余时间参加社会公益活动。但如利用公司资源或可能影响到工作，职员应事先获得公司批准。</w:t>
      </w:r>
    </w:p>
    <w:p>
      <w:pPr>
        <w:pStyle w:val="Normal"/>
        <w:spacing w:lineRule="exact" w:line="500"/>
        <w:rPr>
          <w:sz w:val="24"/>
        </w:rPr>
      </w:pPr>
      <w:r>
        <w:rPr>
          <w:rFonts w:ascii="SimHei" w:hAnsi="SimHei" w:eastAsia="黑体"/>
          <w:sz w:val="24"/>
        </w:rPr>
      </w:r>
    </w:p>
    <w:p>
      <w:pPr>
        <w:pStyle w:val="Normal"/>
        <w:spacing w:lineRule="exact" w:line="500"/>
        <w:rPr>
          <w:b/>
          <w:b/>
          <w:sz w:val="24"/>
        </w:rPr>
      </w:pPr>
      <w:r>
        <w:rPr>
          <w:rFonts w:ascii="SimHei" w:hAnsi="SimHei" w:eastAsia="黑体"/>
          <w:b/>
          <w:sz w:val="24"/>
        </w:rPr>
        <w:t xml:space="preserve">4.4.2 </w:t>
      </w:r>
      <w:r>
        <w:rPr>
          <w:rFonts w:ascii="SimHei" w:hAnsi="SimHei" w:eastAsia="黑体"/>
          <w:b/>
          <w:sz w:val="24"/>
        </w:rPr>
        <w:t>个人投资</w:t>
      </w:r>
    </w:p>
    <w:p>
      <w:pPr>
        <w:pStyle w:val="Normal"/>
        <w:spacing w:lineRule="exact" w:line="500"/>
        <w:rPr/>
      </w:pPr>
      <w:r>
        <w:rPr>
          <w:rFonts w:ascii="SimHei" w:hAnsi="SimHei" w:eastAsia="黑体"/>
          <w:sz w:val="24"/>
        </w:rPr>
        <w:t xml:space="preserve">4.4.2.1 </w:t>
      </w:r>
      <w:r>
        <w:rPr>
          <w:rFonts w:ascii="SimHei" w:hAnsi="SimHei" w:eastAsia="黑体"/>
          <w:sz w:val="24"/>
        </w:rPr>
        <w:t>职员可以在不与公司利益发生冲突的前提下，从事合法的投资活动，但不得进行下列情形的个人投资活动：</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）参与经营管理的；</w:t>
      </w:r>
      <w:r>
        <w:rPr>
          <w:rFonts w:eastAsia="黑体" w:ascii="SimHei" w:hAnsi="SimHei"/>
          <w:sz w:val="24"/>
        </w:rPr>
        <w:t xml:space="preserve"> </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）对公司的客户、业务关联单位或商业竞争对手进行直接投资的；</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）借职务之便向投资对象提供利益的；</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）假借他人名义从事上述三项投资行为的。</w:t>
      </w:r>
    </w:p>
    <w:p>
      <w:pPr>
        <w:pStyle w:val="Normal"/>
        <w:spacing w:lineRule="exact" w:line="500"/>
        <w:rPr/>
      </w:pPr>
      <w:r>
        <w:rPr>
          <w:rFonts w:ascii="SimHei" w:hAnsi="SimHei" w:eastAsia="黑体"/>
          <w:sz w:val="24"/>
        </w:rPr>
        <w:t xml:space="preserve">4.4.2.2 </w:t>
      </w:r>
      <w:r>
        <w:rPr>
          <w:rFonts w:ascii="SimHei" w:hAnsi="SimHei" w:eastAsia="黑体"/>
          <w:sz w:val="24"/>
        </w:rPr>
        <w:t>职员不得利用内幕消息，进行公司股票的买卖，亦不得指使、提示他人进行买卖。</w:t>
      </w:r>
    </w:p>
    <w:p>
      <w:pPr>
        <w:pStyle w:val="Normal"/>
        <w:spacing w:lineRule="exact" w:line="500"/>
        <w:rPr>
          <w:sz w:val="24"/>
        </w:rPr>
      </w:pPr>
      <w:r>
        <w:rPr>
          <w:rFonts w:ascii="SimHei" w:hAnsi="SimHei" w:eastAsia="黑体"/>
          <w:sz w:val="24"/>
        </w:rPr>
      </w:r>
    </w:p>
    <w:p>
      <w:pPr>
        <w:pStyle w:val="Normal"/>
        <w:spacing w:lineRule="exact" w:line="500"/>
        <w:rPr/>
      </w:pPr>
      <w:r>
        <w:rPr>
          <w:rFonts w:ascii="SimHei" w:hAnsi="SimHei" w:eastAsia="黑体"/>
          <w:b/>
          <w:sz w:val="24"/>
        </w:rPr>
        <w:t xml:space="preserve">4.4.3 </w:t>
      </w:r>
      <w:r>
        <w:rPr>
          <w:rFonts w:ascii="SimHei" w:hAnsi="SimHei" w:eastAsia="黑体"/>
          <w:b/>
          <w:sz w:val="24"/>
        </w:rPr>
        <w:t>特殊关系的回避</w:t>
      </w:r>
    </w:p>
    <w:p>
      <w:pPr>
        <w:pStyle w:val="Normal"/>
        <w:spacing w:lineRule="exact" w:line="500"/>
        <w:rPr>
          <w:sz w:val="24"/>
        </w:rPr>
      </w:pPr>
      <w:r>
        <w:rPr>
          <w:rFonts w:ascii="SimHei" w:hAnsi="SimHei" w:eastAsia="黑体"/>
          <w:sz w:val="24"/>
        </w:rPr>
        <w:t>4.4.3.1</w:t>
      </w:r>
      <w:r>
        <w:rPr>
          <w:rFonts w:ascii="SimHei" w:hAnsi="SimHei" w:eastAsia="黑体"/>
          <w:sz w:val="24"/>
        </w:rPr>
        <w:t>公司坚持举贤避亲的人事原则。职员不得录用或调动亲属到自己所管辖范围内工作。向集团内任何单位推荐自己亲属或好友的，应向人力资源部门提前申明。</w:t>
      </w:r>
    </w:p>
    <w:p>
      <w:pPr>
        <w:pStyle w:val="Normal"/>
        <w:spacing w:lineRule="exact" w:line="500"/>
        <w:rPr>
          <w:sz w:val="24"/>
        </w:rPr>
      </w:pPr>
      <w:r>
        <w:rPr>
          <w:rFonts w:ascii="SimHei" w:hAnsi="SimHei" w:eastAsia="黑体"/>
          <w:sz w:val="24"/>
        </w:rPr>
        <w:t>4.4.3.2</w:t>
      </w:r>
      <w:r>
        <w:rPr>
          <w:rFonts w:ascii="SimHei" w:hAnsi="SimHei" w:eastAsia="黑体"/>
          <w:sz w:val="24"/>
        </w:rPr>
        <w:t>已经存在亲属关系的职员，不得在同一地区（城市）或部门工作，并应回避有业务关联的岗位。新的亲属关系产生一个月内，须向人力资源部门书面声明。</w:t>
      </w:r>
    </w:p>
    <w:p>
      <w:pPr>
        <w:pStyle w:val="Normal"/>
        <w:spacing w:lineRule="exact" w:line="500"/>
        <w:rPr>
          <w:sz w:val="24"/>
        </w:rPr>
      </w:pPr>
      <w:r>
        <w:rPr>
          <w:rFonts w:ascii="SimHei" w:hAnsi="SimHei" w:eastAsia="黑体"/>
          <w:sz w:val="24"/>
        </w:rPr>
        <w:t>4.4.3.3</w:t>
      </w:r>
      <w:r>
        <w:rPr>
          <w:rFonts w:ascii="SimHei" w:hAnsi="SimHei" w:eastAsia="黑体"/>
          <w:sz w:val="24"/>
        </w:rPr>
        <w:t>公司不提倡职员与自己的亲属、好友所在单位建立业务合作关系。有正当理由建立业务关系的，要主动向上司书面申报自己的亲友关系，并应在相关的业务活动中回避。</w:t>
      </w:r>
    </w:p>
    <w:p>
      <w:pPr>
        <w:pStyle w:val="Normal"/>
        <w:spacing w:lineRule="exact" w:line="500"/>
        <w:rPr/>
      </w:pPr>
      <w:r>
        <w:rPr>
          <w:rFonts w:ascii="SimHei" w:hAnsi="SimHei" w:eastAsia="黑体"/>
          <w:sz w:val="24"/>
        </w:rPr>
        <w:t>4.4.3.4</w:t>
      </w:r>
      <w:r>
        <w:rPr>
          <w:rFonts w:ascii="SimHei" w:hAnsi="SimHei" w:eastAsia="黑体"/>
          <w:sz w:val="24"/>
        </w:rPr>
        <w:t>职员应避免工作之外与业务关联单位的经营往来，不得利用职务影响力在业务关联单位安排亲属、接受劳务、技术服务或获取其他利益。如确实无法避免，应事先向公司申报。</w:t>
      </w:r>
    </w:p>
    <w:p>
      <w:pPr>
        <w:pStyle w:val="Normal"/>
        <w:spacing w:lineRule="exact" w:line="500"/>
        <w:rPr>
          <w:sz w:val="24"/>
        </w:rPr>
      </w:pPr>
      <w:r>
        <w:rPr>
          <w:rFonts w:ascii="SimHei" w:hAnsi="SimHei" w:eastAsia="黑体"/>
          <w:sz w:val="24"/>
        </w:rPr>
      </w:r>
    </w:p>
    <w:p>
      <w:pPr>
        <w:pStyle w:val="Heading2"/>
        <w:rPr/>
      </w:pPr>
      <w:bookmarkStart w:id="20" w:name="__RefHeading___Toc427859423"/>
      <w:bookmarkEnd w:id="20"/>
      <w:r>
        <w:rPr>
          <w:rFonts w:ascii="SimHei" w:hAnsi="SimHei" w:eastAsia="黑体"/>
        </w:rPr>
        <w:t xml:space="preserve">4.5 </w:t>
      </w:r>
      <w:r>
        <w:rPr>
          <w:rFonts w:ascii="SimHei" w:hAnsi="SimHei" w:eastAsia="黑体"/>
        </w:rPr>
        <w:t>投诉和举报</w:t>
      </w:r>
    </w:p>
    <w:p>
      <w:pPr>
        <w:pStyle w:val="Normal"/>
        <w:spacing w:lineRule="exact" w:line="500"/>
        <w:ind w:firstLine="480"/>
        <w:rPr>
          <w:sz w:val="24"/>
        </w:rPr>
      </w:pPr>
      <w:r>
        <w:rPr>
          <w:rFonts w:ascii="SimHei" w:hAnsi="SimHei" w:eastAsia="黑体"/>
          <w:sz w:val="24"/>
        </w:rPr>
        <w:t>公司内部的投诉和举报，可以向人力资源部、法务部和纪律检查委员会以及主管该事项的高层经理人员提出。受理部门和人员，应认真调查处理投诉和举报，并为投诉人和举报人保密。</w:t>
      </w:r>
    </w:p>
    <w:p>
      <w:pPr>
        <w:pStyle w:val="Normal"/>
        <w:spacing w:lineRule="exact" w:line="500"/>
        <w:rPr>
          <w:sz w:val="24"/>
        </w:rPr>
      </w:pPr>
      <w:r>
        <w:rPr>
          <w:rFonts w:ascii="SimHei" w:hAnsi="SimHei" w:eastAsia="黑体"/>
          <w:sz w:val="24"/>
        </w:rPr>
      </w:r>
    </w:p>
    <w:p>
      <w:pPr>
        <w:pStyle w:val="Heading2"/>
        <w:rPr/>
      </w:pPr>
      <w:bookmarkStart w:id="21" w:name="__RefHeading___Toc427859424"/>
      <w:bookmarkEnd w:id="21"/>
      <w:r>
        <w:rPr>
          <w:rFonts w:ascii="SimHei" w:hAnsi="SimHei" w:eastAsia="黑体"/>
        </w:rPr>
        <w:t xml:space="preserve">4.6 </w:t>
      </w:r>
      <w:r>
        <w:rPr>
          <w:rFonts w:ascii="SimHei" w:hAnsi="SimHei" w:eastAsia="黑体"/>
        </w:rPr>
        <w:t>行为的判断及督导</w:t>
      </w:r>
    </w:p>
    <w:p>
      <w:pPr>
        <w:pStyle w:val="Normal"/>
        <w:spacing w:lineRule="exact" w:line="500"/>
        <w:rPr/>
      </w:pPr>
      <w:r>
        <w:rPr>
          <w:rFonts w:ascii="SimHei" w:hAnsi="SimHei" w:eastAsia="黑体"/>
          <w:sz w:val="24"/>
        </w:rPr>
        <w:t>4.6.1</w:t>
      </w:r>
      <w:r>
        <w:rPr>
          <w:rFonts w:ascii="SimHei" w:hAnsi="SimHei" w:eastAsia="黑体"/>
          <w:sz w:val="24"/>
        </w:rPr>
        <w:t>职员判断个人行为是否违反本准则的简易标准是该行为能否毫无保留地在公司公开谈论。</w:t>
      </w:r>
    </w:p>
    <w:p>
      <w:pPr>
        <w:pStyle w:val="Normal"/>
        <w:spacing w:lineRule="exact" w:line="500"/>
        <w:rPr>
          <w:sz w:val="24"/>
        </w:rPr>
      </w:pPr>
      <w:r>
        <w:rPr>
          <w:rFonts w:ascii="SimHei" w:hAnsi="SimHei" w:eastAsia="黑体"/>
          <w:sz w:val="24"/>
        </w:rPr>
        <w:t>4.6.2</w:t>
      </w:r>
      <w:r>
        <w:rPr>
          <w:rFonts w:ascii="SimHei" w:hAnsi="SimHei" w:eastAsia="黑体"/>
          <w:sz w:val="24"/>
        </w:rPr>
        <w:t>职员有责任就难于作自我判断的行为或情形向上司或人力资源部咨询。接受咨询的部门和人员应给予及时、明确的指导并为当事人保密。</w:t>
      </w:r>
    </w:p>
    <w:p>
      <w:pPr>
        <w:pStyle w:val="Normal"/>
        <w:spacing w:lineRule="exact" w:line="500"/>
        <w:rPr/>
      </w:pPr>
      <w:r>
        <w:rPr>
          <w:rFonts w:ascii="SimHei" w:hAnsi="SimHei" w:eastAsia="黑体"/>
          <w:sz w:val="24"/>
        </w:rPr>
        <w:t>4.6.3</w:t>
      </w:r>
      <w:r>
        <w:rPr>
          <w:rFonts w:ascii="SimHei" w:hAnsi="SimHei" w:eastAsia="黑体"/>
          <w:sz w:val="24"/>
        </w:rPr>
        <w:t>上司对其下属应尽到教导和管理的责任。如上司未能尽到责任，以致产生不良的后果，将与其下属同时受到处分。上司未尽教导和管理责任的情形包括：</w:t>
      </w:r>
    </w:p>
    <w:p>
      <w:pPr>
        <w:pStyle w:val="Normal"/>
        <w:spacing w:lineRule="exact" w:line="500"/>
        <w:ind w:firstLine="360"/>
        <w:rPr>
          <w:sz w:val="24"/>
        </w:rPr>
      </w:pPr>
      <w:r>
        <w:rPr>
          <w:rFonts w:ascii="SimHei" w:hAnsi="SimHei" w:eastAsia="黑体"/>
          <w:sz w:val="24"/>
        </w:rPr>
        <w:t>（</w:t>
      </w:r>
      <w:r>
        <w:rPr>
          <w:rFonts w:ascii="SimHei" w:hAnsi="SimHei" w:eastAsia="黑体"/>
          <w:sz w:val="24"/>
        </w:rPr>
        <w:t>1</w:t>
      </w:r>
      <w:r>
        <w:rPr>
          <w:rFonts w:ascii="SimHei" w:hAnsi="SimHei" w:eastAsia="黑体"/>
          <w:sz w:val="24"/>
        </w:rPr>
        <w:t>）默认下属违反本准则的行为；</w:t>
      </w:r>
    </w:p>
    <w:p>
      <w:pPr>
        <w:pStyle w:val="Normal"/>
        <w:spacing w:lineRule="exact" w:line="500"/>
        <w:ind w:firstLine="360"/>
        <w:rPr>
          <w:sz w:val="24"/>
        </w:rPr>
      </w:pPr>
      <w:r>
        <w:rPr>
          <w:rFonts w:ascii="SimHei" w:hAnsi="SimHei" w:eastAsia="黑体"/>
          <w:sz w:val="24"/>
        </w:rPr>
        <w:t>（</w:t>
      </w:r>
      <w:r>
        <w:rPr>
          <w:rFonts w:ascii="SimHei" w:hAnsi="SimHei" w:eastAsia="黑体"/>
          <w:sz w:val="24"/>
        </w:rPr>
        <w:t>2</w:t>
      </w:r>
      <w:r>
        <w:rPr>
          <w:rFonts w:ascii="SimHei" w:hAnsi="SimHei" w:eastAsia="黑体"/>
          <w:sz w:val="24"/>
        </w:rPr>
        <w:t>）未能按照公司规定保证下属定期接受本准则的培训；</w:t>
      </w:r>
    </w:p>
    <w:p>
      <w:pPr>
        <w:pStyle w:val="Normal"/>
        <w:spacing w:lineRule="exact" w:line="500"/>
        <w:ind w:firstLine="360"/>
        <w:rPr>
          <w:sz w:val="24"/>
        </w:rPr>
      </w:pPr>
      <w:r>
        <w:rPr>
          <w:rFonts w:ascii="SimHei" w:hAnsi="SimHei" w:eastAsia="黑体"/>
          <w:sz w:val="24"/>
        </w:rPr>
        <w:t>（</w:t>
      </w:r>
      <w:r>
        <w:rPr>
          <w:rFonts w:ascii="SimHei" w:hAnsi="SimHei" w:eastAsia="黑体"/>
          <w:sz w:val="24"/>
        </w:rPr>
        <w:t>3</w:t>
      </w:r>
      <w:r>
        <w:rPr>
          <w:rFonts w:ascii="SimHei" w:hAnsi="SimHei" w:eastAsia="黑体"/>
          <w:sz w:val="24"/>
        </w:rPr>
        <w:t>）未能采取有效的措施防止及补救管理上的漏洞；</w:t>
      </w:r>
    </w:p>
    <w:p>
      <w:pPr>
        <w:pStyle w:val="Normal"/>
        <w:spacing w:lineRule="exact" w:line="500"/>
        <w:ind w:firstLine="360"/>
        <w:rPr>
          <w:sz w:val="24"/>
        </w:rPr>
      </w:pPr>
      <w:r>
        <w:rPr>
          <w:rFonts w:ascii="SimHei" w:hAnsi="SimHei" w:eastAsia="黑体"/>
          <w:sz w:val="24"/>
        </w:rPr>
        <w:t>（</w:t>
      </w:r>
      <w:r>
        <w:rPr>
          <w:rFonts w:ascii="SimHei" w:hAnsi="SimHei" w:eastAsia="黑体"/>
          <w:sz w:val="24"/>
        </w:rPr>
        <w:t>4</w:t>
      </w:r>
      <w:r>
        <w:rPr>
          <w:rFonts w:ascii="SimHei" w:hAnsi="SimHei" w:eastAsia="黑体"/>
          <w:sz w:val="24"/>
        </w:rPr>
        <w:t>）未能严格遵守公司的政策进行管理。</w:t>
      </w:r>
    </w:p>
    <w:p>
      <w:pPr>
        <w:pStyle w:val="Normal"/>
        <w:spacing w:lineRule="exact" w:line="500"/>
        <w:rPr>
          <w:sz w:val="24"/>
        </w:rPr>
      </w:pPr>
      <w:r>
        <w:rPr>
          <w:rFonts w:ascii="SimHei" w:hAnsi="SimHei" w:eastAsia="黑体"/>
          <w:sz w:val="24"/>
        </w:rPr>
      </w:r>
    </w:p>
    <w:p>
      <w:pPr>
        <w:pStyle w:val="Heading2"/>
        <w:rPr/>
      </w:pPr>
      <w:bookmarkStart w:id="22" w:name="__RefHeading___Toc427859425"/>
      <w:bookmarkEnd w:id="22"/>
      <w:r>
        <w:rPr>
          <w:rFonts w:ascii="SimHei" w:hAnsi="SimHei" w:eastAsia="黑体"/>
        </w:rPr>
        <w:t xml:space="preserve">4.7 </w:t>
      </w:r>
      <w:r>
        <w:rPr>
          <w:rFonts w:ascii="SimHei" w:hAnsi="SimHei" w:eastAsia="黑体"/>
        </w:rPr>
        <w:t>职业礼仪</w:t>
      </w:r>
    </w:p>
    <w:p>
      <w:pPr>
        <w:pStyle w:val="Normal"/>
        <w:spacing w:lineRule="exact" w:line="500"/>
        <w:rPr/>
      </w:pPr>
      <w:r>
        <w:rPr>
          <w:rFonts w:ascii="SimHei" w:hAnsi="SimHei" w:eastAsia="黑体"/>
          <w:sz w:val="24"/>
        </w:rPr>
        <w:t xml:space="preserve">4.7.1 </w:t>
      </w:r>
      <w:r>
        <w:rPr>
          <w:rFonts w:ascii="SimHei" w:hAnsi="SimHei" w:eastAsia="黑体"/>
          <w:sz w:val="24"/>
        </w:rPr>
        <w:t>职业形象</w:t>
      </w:r>
    </w:p>
    <w:p>
      <w:pPr>
        <w:pStyle w:val="Normal"/>
        <w:spacing w:lineRule="exact" w:line="500"/>
        <w:ind w:firstLine="360"/>
        <w:rPr>
          <w:sz w:val="24"/>
        </w:rPr>
      </w:pPr>
      <w:r>
        <w:rPr>
          <w:rFonts w:ascii="SimHei" w:hAnsi="SimHei" w:eastAsia="黑体"/>
          <w:sz w:val="24"/>
        </w:rPr>
        <w:t>（</w:t>
      </w:r>
      <w:r>
        <w:rPr>
          <w:rFonts w:ascii="SimHei" w:hAnsi="SimHei" w:eastAsia="黑体"/>
          <w:sz w:val="24"/>
        </w:rPr>
        <w:t>1</w:t>
      </w:r>
      <w:r>
        <w:rPr>
          <w:rFonts w:ascii="SimHei" w:hAnsi="SimHei" w:eastAsia="黑体"/>
          <w:sz w:val="24"/>
        </w:rPr>
        <w:t>）我们着力体现整洁、大方、得体的职业风格。</w:t>
      </w:r>
    </w:p>
    <w:p>
      <w:pPr>
        <w:pStyle w:val="Normal"/>
        <w:spacing w:lineRule="exact" w:line="500"/>
        <w:ind w:firstLine="360"/>
        <w:rPr>
          <w:sz w:val="24"/>
        </w:rPr>
      </w:pPr>
      <w:r>
        <w:rPr>
          <w:rFonts w:ascii="SimHei" w:hAnsi="SimHei" w:eastAsia="黑体"/>
          <w:sz w:val="24"/>
        </w:rPr>
        <w:t>（</w:t>
      </w:r>
      <w:r>
        <w:rPr>
          <w:rFonts w:ascii="SimHei" w:hAnsi="SimHei" w:eastAsia="黑体"/>
          <w:sz w:val="24"/>
        </w:rPr>
        <w:t>2</w:t>
      </w:r>
      <w:r>
        <w:rPr>
          <w:rFonts w:ascii="SimHei" w:hAnsi="SimHei" w:eastAsia="黑体"/>
          <w:sz w:val="24"/>
        </w:rPr>
        <w:t>）职员上班衣着基本分为：</w:t>
      </w:r>
    </w:p>
    <w:p>
      <w:pPr>
        <w:pStyle w:val="Normal"/>
        <w:spacing w:lineRule="exact" w:line="500"/>
        <w:ind w:firstLine="480"/>
        <w:rPr>
          <w:sz w:val="24"/>
        </w:rPr>
      </w:pPr>
      <w:r>
        <w:rPr>
          <w:rFonts w:ascii="SimHei" w:hAnsi="SimHei" w:eastAsia="黑体"/>
          <w:sz w:val="24"/>
        </w:rPr>
        <w:t>A</w:t>
      </w:r>
      <w:r>
        <w:rPr>
          <w:rFonts w:ascii="SimHei" w:hAnsi="SimHei" w:eastAsia="黑体"/>
          <w:sz w:val="24"/>
        </w:rPr>
        <w:t>、星期一至四</w:t>
      </w:r>
    </w:p>
    <w:p>
      <w:pPr>
        <w:pStyle w:val="Normal"/>
        <w:spacing w:lineRule="exact" w:line="500"/>
        <w:rPr>
          <w:sz w:val="24"/>
        </w:rPr>
      </w:pPr>
      <w:r>
        <w:rPr>
          <w:rFonts w:eastAsia="黑体" w:ascii="SimHei" w:hAnsi="SimHei"/>
          <w:sz w:val="24"/>
        </w:rPr>
        <w:t xml:space="preserve">    </w:t>
      </w:r>
      <w:r>
        <w:rPr>
          <w:rFonts w:ascii="SimHei" w:hAnsi="SimHei" w:eastAsia="黑体"/>
          <w:sz w:val="24"/>
        </w:rPr>
        <w:t>男职员着衬衫、西装、深色皮鞋（短袜），系领带；女职员着有袖衬衫、西装裙或西装裤、有袖套裙，着皮鞋。</w:t>
      </w:r>
    </w:p>
    <w:p>
      <w:pPr>
        <w:pStyle w:val="Normal"/>
        <w:spacing w:lineRule="exact" w:line="500"/>
        <w:ind w:firstLine="480"/>
        <w:rPr>
          <w:sz w:val="24"/>
        </w:rPr>
      </w:pPr>
      <w:r>
        <w:rPr>
          <w:rFonts w:ascii="SimHei" w:hAnsi="SimHei" w:eastAsia="黑体"/>
          <w:sz w:val="24"/>
        </w:rPr>
        <w:t>B</w:t>
      </w:r>
      <w:r>
        <w:rPr>
          <w:rFonts w:ascii="SimHei" w:hAnsi="SimHei" w:eastAsia="黑体"/>
          <w:sz w:val="24"/>
        </w:rPr>
        <w:t>、星期五</w:t>
      </w:r>
    </w:p>
    <w:p>
      <w:pPr>
        <w:pStyle w:val="Normal"/>
        <w:spacing w:lineRule="exact" w:line="500"/>
        <w:rPr>
          <w:sz w:val="24"/>
        </w:rPr>
      </w:pPr>
      <w:r>
        <w:rPr>
          <w:rFonts w:eastAsia="黑体" w:ascii="SimHei" w:hAnsi="SimHei"/>
          <w:sz w:val="24"/>
        </w:rPr>
        <w:t xml:space="preserve">    </w:t>
      </w:r>
      <w:r>
        <w:rPr>
          <w:rFonts w:ascii="SimHei" w:hAnsi="SimHei" w:eastAsia="黑体"/>
          <w:sz w:val="24"/>
        </w:rPr>
        <w:t>可着与工作场所相适应的轻便服装，但短裤、无袖装、超短裙不在此列。</w:t>
      </w:r>
    </w:p>
    <w:p>
      <w:pPr>
        <w:pStyle w:val="Normal"/>
        <w:spacing w:lineRule="exact" w:line="500"/>
        <w:ind w:firstLine="480"/>
        <w:rPr>
          <w:sz w:val="24"/>
        </w:rPr>
      </w:pPr>
      <w:r>
        <w:rPr>
          <w:rFonts w:ascii="SimHei" w:hAnsi="SimHei" w:eastAsia="黑体"/>
          <w:sz w:val="24"/>
        </w:rPr>
        <w:t>C</w:t>
      </w:r>
      <w:r>
        <w:rPr>
          <w:rFonts w:ascii="SimHei" w:hAnsi="SimHei" w:eastAsia="黑体"/>
          <w:sz w:val="24"/>
        </w:rPr>
        <w:t>、在“五一”、“十一”、“元旦”、“春节”等长假期时，如需要将休息日与工作日进行调换以连续休假，导致休息日仍需上班的，可在放假前一个工作日，着与工作场所相适应的轻便服装，其余时间，按照非周末要求着装。</w:t>
      </w:r>
    </w:p>
    <w:p>
      <w:pPr>
        <w:pStyle w:val="Normal"/>
        <w:spacing w:lineRule="exact" w:line="500"/>
        <w:ind w:firstLine="600"/>
        <w:rPr>
          <w:sz w:val="24"/>
        </w:rPr>
      </w:pPr>
      <w:r>
        <w:rPr>
          <w:rFonts w:ascii="SimHei" w:hAnsi="SimHei" w:eastAsia="黑体"/>
          <w:sz w:val="24"/>
        </w:rPr>
        <w:t>D</w:t>
      </w:r>
      <w:r>
        <w:rPr>
          <w:rFonts w:ascii="SimHei" w:hAnsi="SimHei" w:eastAsia="黑体"/>
          <w:sz w:val="24"/>
        </w:rPr>
        <w:t>、所在单位、岗位另有着装要求的，按要求执行。</w:t>
      </w:r>
    </w:p>
    <w:p>
      <w:pPr>
        <w:pStyle w:val="Normal"/>
        <w:spacing w:lineRule="exact" w:line="500"/>
        <w:ind w:firstLine="480"/>
        <w:rPr>
          <w:sz w:val="24"/>
        </w:rPr>
      </w:pPr>
      <w:r>
        <w:rPr>
          <w:rFonts w:ascii="SimHei" w:hAnsi="SimHei" w:eastAsia="黑体"/>
          <w:sz w:val="24"/>
        </w:rPr>
        <w:t>（</w:t>
      </w:r>
      <w:r>
        <w:rPr>
          <w:rFonts w:ascii="SimHei" w:hAnsi="SimHei" w:eastAsia="黑体"/>
          <w:sz w:val="24"/>
        </w:rPr>
        <w:t>3</w:t>
      </w:r>
      <w:r>
        <w:rPr>
          <w:rFonts w:ascii="SimHei" w:hAnsi="SimHei" w:eastAsia="黑体"/>
          <w:sz w:val="24"/>
        </w:rPr>
        <w:t>）上班时间佩戴工作牌。</w:t>
      </w:r>
    </w:p>
    <w:p>
      <w:pPr>
        <w:pStyle w:val="Normal"/>
        <w:spacing w:lineRule="exact" w:line="500"/>
        <w:rPr/>
      </w:pPr>
      <w:r>
        <w:rPr>
          <w:rFonts w:ascii="SimHei" w:hAnsi="SimHei" w:eastAsia="黑体"/>
          <w:sz w:val="24"/>
        </w:rPr>
        <w:t xml:space="preserve">4.7.2 </w:t>
      </w:r>
      <w:r>
        <w:rPr>
          <w:rFonts w:ascii="SimHei" w:hAnsi="SimHei" w:eastAsia="黑体"/>
          <w:sz w:val="24"/>
        </w:rPr>
        <w:t>办公礼仪</w:t>
      </w:r>
    </w:p>
    <w:p>
      <w:pPr>
        <w:pStyle w:val="Normal"/>
        <w:spacing w:lineRule="exact" w:line="500"/>
        <w:ind w:firstLine="360"/>
        <w:rPr>
          <w:sz w:val="24"/>
        </w:rPr>
      </w:pPr>
      <w:r>
        <w:rPr>
          <w:rFonts w:ascii="SimHei" w:hAnsi="SimHei" w:eastAsia="黑体"/>
          <w:sz w:val="24"/>
        </w:rPr>
        <w:t>（</w:t>
      </w:r>
      <w:r>
        <w:rPr>
          <w:rFonts w:ascii="SimHei" w:hAnsi="SimHei" w:eastAsia="黑体"/>
          <w:sz w:val="24"/>
        </w:rPr>
        <w:t>1</w:t>
      </w:r>
      <w:r>
        <w:rPr>
          <w:rFonts w:ascii="SimHei" w:hAnsi="SimHei" w:eastAsia="黑体"/>
          <w:sz w:val="24"/>
        </w:rPr>
        <w:t>）使用电话注意语言简明；</w:t>
      </w:r>
    </w:p>
    <w:p>
      <w:pPr>
        <w:pStyle w:val="Normal"/>
        <w:spacing w:lineRule="exact" w:line="500"/>
        <w:ind w:firstLine="360"/>
        <w:rPr>
          <w:sz w:val="24"/>
        </w:rPr>
      </w:pPr>
      <w:r>
        <w:rPr>
          <w:rFonts w:ascii="SimHei" w:hAnsi="SimHei" w:eastAsia="黑体"/>
          <w:sz w:val="24"/>
        </w:rPr>
        <w:t>（</w:t>
      </w:r>
      <w:r>
        <w:rPr>
          <w:rFonts w:ascii="SimHei" w:hAnsi="SimHei" w:eastAsia="黑体"/>
          <w:sz w:val="24"/>
        </w:rPr>
        <w:t>2</w:t>
      </w:r>
      <w:r>
        <w:rPr>
          <w:rFonts w:ascii="SimHei" w:hAnsi="SimHei" w:eastAsia="黑体"/>
          <w:sz w:val="24"/>
        </w:rPr>
        <w:t>）代接同事办公位电话，做好必要记录并及时转达；</w:t>
      </w:r>
    </w:p>
    <w:p>
      <w:pPr>
        <w:pStyle w:val="Normal"/>
        <w:spacing w:lineRule="exact" w:line="500"/>
        <w:ind w:firstLine="360"/>
        <w:rPr>
          <w:sz w:val="24"/>
        </w:rPr>
      </w:pPr>
      <w:r>
        <w:rPr>
          <w:rFonts w:ascii="SimHei" w:hAnsi="SimHei" w:eastAsia="黑体"/>
          <w:sz w:val="24"/>
        </w:rPr>
        <w:t>（</w:t>
      </w:r>
      <w:r>
        <w:rPr>
          <w:rFonts w:ascii="SimHei" w:hAnsi="SimHei" w:eastAsia="黑体"/>
          <w:sz w:val="24"/>
        </w:rPr>
        <w:t>3</w:t>
      </w:r>
      <w:r>
        <w:rPr>
          <w:rFonts w:ascii="SimHei" w:hAnsi="SimHei" w:eastAsia="黑体"/>
          <w:sz w:val="24"/>
        </w:rPr>
        <w:t>）办公时间不擅离工作岗位，需暂时离开时应与同事交代；</w:t>
      </w:r>
    </w:p>
    <w:p>
      <w:pPr>
        <w:pStyle w:val="Normal"/>
        <w:spacing w:lineRule="exact" w:line="500"/>
        <w:ind w:firstLine="360"/>
        <w:rPr>
          <w:sz w:val="24"/>
        </w:rPr>
      </w:pPr>
      <w:r>
        <w:rPr>
          <w:rFonts w:ascii="SimHei" w:hAnsi="SimHei" w:eastAsia="黑体"/>
          <w:sz w:val="24"/>
        </w:rPr>
        <w:t>（</w:t>
      </w:r>
      <w:r>
        <w:rPr>
          <w:rFonts w:ascii="SimHei" w:hAnsi="SimHei" w:eastAsia="黑体"/>
          <w:sz w:val="24"/>
        </w:rPr>
        <w:t>4</w:t>
      </w:r>
      <w:r>
        <w:rPr>
          <w:rFonts w:ascii="SimHei" w:hAnsi="SimHei" w:eastAsia="黑体"/>
          <w:sz w:val="24"/>
        </w:rPr>
        <w:t>）不在办公区域高声喧哗，接待来访、业务洽谈要在洽谈室内或其他公司指定区域进行；</w:t>
      </w:r>
    </w:p>
    <w:p>
      <w:pPr>
        <w:pStyle w:val="Normal"/>
        <w:spacing w:lineRule="exact" w:line="500"/>
        <w:ind w:firstLine="360"/>
        <w:rPr>
          <w:sz w:val="24"/>
        </w:rPr>
      </w:pPr>
      <w:r>
        <w:rPr>
          <w:rFonts w:ascii="SimHei" w:hAnsi="SimHei" w:eastAsia="黑体"/>
          <w:sz w:val="24"/>
        </w:rPr>
        <w:t>（</w:t>
      </w:r>
      <w:r>
        <w:rPr>
          <w:rFonts w:ascii="SimHei" w:hAnsi="SimHei" w:eastAsia="黑体"/>
          <w:sz w:val="24"/>
        </w:rPr>
        <w:t>5</w:t>
      </w:r>
      <w:r>
        <w:rPr>
          <w:rFonts w:ascii="SimHei" w:hAnsi="SimHei" w:eastAsia="黑体"/>
          <w:sz w:val="24"/>
        </w:rPr>
        <w:t>）注意保持整洁的办公环境，不在办公区域进食或在非吸烟区吸烟；</w:t>
      </w:r>
    </w:p>
    <w:p>
      <w:pPr>
        <w:pStyle w:val="Normal"/>
        <w:spacing w:lineRule="exact" w:line="500"/>
        <w:ind w:firstLine="360"/>
        <w:rPr>
          <w:sz w:val="24"/>
        </w:rPr>
      </w:pPr>
      <w:r>
        <w:rPr>
          <w:rFonts w:ascii="SimHei" w:hAnsi="SimHei" w:eastAsia="黑体"/>
          <w:sz w:val="24"/>
        </w:rPr>
        <w:t>（</w:t>
      </w:r>
      <w:r>
        <w:rPr>
          <w:rFonts w:ascii="SimHei" w:hAnsi="SimHei" w:eastAsia="黑体"/>
          <w:sz w:val="24"/>
        </w:rPr>
        <w:t>6</w:t>
      </w:r>
      <w:r>
        <w:rPr>
          <w:rFonts w:ascii="SimHei" w:hAnsi="SimHei" w:eastAsia="黑体"/>
          <w:sz w:val="24"/>
        </w:rPr>
        <w:t>）适时调整手机铃声，办公区域内适当调低，培训</w:t>
      </w:r>
      <w:r>
        <w:rPr>
          <w:rFonts w:ascii="SimHei" w:hAnsi="SimHei" w:eastAsia="黑体"/>
          <w:sz w:val="24"/>
        </w:rPr>
        <w:t>/</w:t>
      </w:r>
      <w:r>
        <w:rPr>
          <w:rFonts w:ascii="SimHei" w:hAnsi="SimHei" w:eastAsia="黑体"/>
          <w:sz w:val="24"/>
        </w:rPr>
        <w:t>会议中则请取消铃声。</w:t>
      </w:r>
    </w:p>
    <w:p>
      <w:pPr>
        <w:pStyle w:val="Normal"/>
        <w:spacing w:lineRule="exact" w:line="500"/>
        <w:rPr>
          <w:sz w:val="24"/>
        </w:rPr>
      </w:pPr>
      <w:r>
        <w:rPr>
          <w:rFonts w:ascii="SimHei" w:hAnsi="SimHei" w:eastAsia="黑体"/>
          <w:sz w:val="24"/>
        </w:rPr>
        <w:t xml:space="preserve">4.7.3 </w:t>
      </w:r>
      <w:r>
        <w:rPr>
          <w:rFonts w:ascii="SimHei" w:hAnsi="SimHei" w:eastAsia="黑体"/>
          <w:sz w:val="24"/>
        </w:rPr>
        <w:t>员工应就工作资料、个人物品、现金进行妥善保存，以免丢失或损坏。</w:t>
      </w:r>
    </w:p>
    <w:p>
      <w:pPr>
        <w:pStyle w:val="Normal"/>
        <w:spacing w:lineRule="exact" w:line="500"/>
        <w:rPr>
          <w:b/>
          <w:b/>
          <w:szCs w:val="21"/>
        </w:rPr>
      </w:pPr>
      <w:r>
        <w:rPr>
          <w:rFonts w:ascii="SimHei" w:hAnsi="SimHei" w:eastAsia="黑体"/>
          <w:b/>
          <w:szCs w:val="21"/>
        </w:rPr>
        <w:t>其它规定详见所在单位有关办公管理制度。</w:t>
      </w:r>
    </w:p>
    <w:p>
      <w:pPr>
        <w:pStyle w:val="Normal"/>
        <w:spacing w:lineRule="exact" w:line="500"/>
        <w:rPr>
          <w:b/>
          <w:b/>
          <w:szCs w:val="21"/>
        </w:rPr>
      </w:pPr>
      <w:r>
        <w:rPr>
          <w:rFonts w:ascii="SimHei" w:hAnsi="SimHei" w:eastAsia="黑体"/>
          <w:b/>
          <w:szCs w:val="21"/>
        </w:rPr>
      </w:r>
    </w:p>
    <w:p>
      <w:pPr>
        <w:pStyle w:val="Heading2"/>
        <w:keepNext w:val="true"/>
        <w:keepLines/>
        <w:widowControl w:val="false"/>
        <w:numPr>
          <w:ilvl w:val="1"/>
          <w:numId w:val="9"/>
        </w:numPr>
        <w:snapToGrid w:val="true"/>
        <w:spacing w:lineRule="auto" w:line="415" w:before="260" w:after="260"/>
        <w:jc w:val="both"/>
        <w:rPr/>
      </w:pPr>
      <w:bookmarkStart w:id="23" w:name="__RefHeading___Toc427859426"/>
      <w:bookmarkEnd w:id="23"/>
      <w:r>
        <w:rPr>
          <w:rFonts w:ascii="SimHei" w:hAnsi="SimHei" w:eastAsia="黑体"/>
        </w:rPr>
        <w:t>考勤制度</w:t>
      </w:r>
    </w:p>
    <w:p>
      <w:pPr>
        <w:pStyle w:val="Normal"/>
        <w:numPr>
          <w:ilvl w:val="2"/>
          <w:numId w:val="9"/>
        </w:numPr>
        <w:spacing w:lineRule="exact" w:line="500"/>
        <w:rPr>
          <w:sz w:val="24"/>
        </w:rPr>
      </w:pPr>
      <w:r>
        <w:rPr>
          <w:rFonts w:ascii="SimHei" w:hAnsi="SimHei" w:eastAsia="黑体"/>
          <w:sz w:val="24"/>
        </w:rPr>
        <w:t>上午上班前和下午下班后，职员要记住刷（打）卡，若因故不能刷（打）卡，应及时填写请假单报本部门负责人签字，然后送人力资源部门备案。</w:t>
      </w:r>
    </w:p>
    <w:p>
      <w:pPr>
        <w:pStyle w:val="Normal"/>
        <w:numPr>
          <w:ilvl w:val="2"/>
          <w:numId w:val="9"/>
        </w:numPr>
        <w:spacing w:lineRule="exact" w:line="500"/>
        <w:rPr>
          <w:sz w:val="24"/>
        </w:rPr>
      </w:pPr>
      <w:r>
        <w:rPr>
          <w:rFonts w:ascii="SimHei" w:hAnsi="SimHei" w:eastAsia="黑体"/>
          <w:sz w:val="24"/>
        </w:rPr>
        <w:t>如代他人刷（打）卡，每次会扣除双方薪金各</w:t>
      </w:r>
      <w:r>
        <w:rPr>
          <w:rFonts w:ascii="SimHei" w:hAnsi="SimHei" w:eastAsia="黑体"/>
          <w:sz w:val="24"/>
        </w:rPr>
        <w:t>50</w:t>
      </w:r>
      <w:r>
        <w:rPr>
          <w:rFonts w:ascii="SimHei" w:hAnsi="SimHei" w:eastAsia="黑体"/>
          <w:sz w:val="24"/>
        </w:rPr>
        <w:t>元，违纪三次以上除作上述处罚外，本年度薪金级别不予上调。</w:t>
      </w:r>
    </w:p>
    <w:p>
      <w:pPr>
        <w:pStyle w:val="Normal"/>
        <w:numPr>
          <w:ilvl w:val="2"/>
          <w:numId w:val="9"/>
        </w:numPr>
        <w:spacing w:lineRule="exact" w:line="500"/>
        <w:rPr>
          <w:sz w:val="24"/>
        </w:rPr>
      </w:pPr>
      <w:r>
        <w:rPr>
          <w:rFonts w:ascii="SimHei" w:hAnsi="SimHei" w:eastAsia="黑体"/>
          <w:sz w:val="24"/>
        </w:rPr>
        <w:t>无故不上班或故意不刷（打）卡作旷工处理，并给予行政处分或不超过当月薪金</w:t>
      </w:r>
      <w:r>
        <w:rPr>
          <w:rFonts w:ascii="SimHei" w:hAnsi="SimHei" w:eastAsia="黑体"/>
          <w:sz w:val="24"/>
        </w:rPr>
        <w:t>20%</w:t>
      </w:r>
      <w:r>
        <w:rPr>
          <w:rFonts w:ascii="SimHei" w:hAnsi="SimHei" w:eastAsia="黑体"/>
          <w:sz w:val="24"/>
        </w:rPr>
        <w:t>的经济处罚。连续旷工超过十五天，或一年内累计旷工超过三十天者，作除名处理，公司不负责其一切善后事宜。</w:t>
      </w:r>
    </w:p>
    <w:p>
      <w:pPr>
        <w:pStyle w:val="Normal"/>
        <w:numPr>
          <w:ilvl w:val="2"/>
          <w:numId w:val="9"/>
        </w:numPr>
        <w:spacing w:lineRule="exact" w:line="500"/>
        <w:rPr>
          <w:sz w:val="24"/>
        </w:rPr>
      </w:pPr>
      <w:r>
        <w:rPr>
          <w:rFonts w:ascii="SimHei" w:hAnsi="SimHei" w:eastAsia="黑体"/>
          <w:sz w:val="24"/>
        </w:rPr>
        <w:t>迟到或早退</w:t>
      </w:r>
      <w:r>
        <w:rPr>
          <w:rFonts w:ascii="SimHei" w:hAnsi="SimHei" w:eastAsia="黑体"/>
          <w:sz w:val="24"/>
        </w:rPr>
        <w:t>5</w:t>
      </w:r>
      <w:r>
        <w:rPr>
          <w:rFonts w:ascii="SimHei" w:hAnsi="SimHei" w:eastAsia="黑体"/>
          <w:sz w:val="24"/>
        </w:rPr>
        <w:t>分钟以上</w:t>
      </w:r>
      <w:r>
        <w:rPr>
          <w:rFonts w:ascii="SimHei" w:hAnsi="SimHei" w:eastAsia="黑体"/>
          <w:sz w:val="24"/>
        </w:rPr>
        <w:t>15</w:t>
      </w:r>
      <w:r>
        <w:rPr>
          <w:rFonts w:ascii="SimHei" w:hAnsi="SimHei" w:eastAsia="黑体"/>
          <w:sz w:val="24"/>
        </w:rPr>
        <w:t>分钟以下者，每次扣除薪金</w:t>
      </w:r>
      <w:r>
        <w:rPr>
          <w:rFonts w:eastAsia="黑体" w:ascii="SimHei" w:hAnsi="SimHei"/>
          <w:sz w:val="24"/>
          <w:u w:val="single"/>
        </w:rPr>
        <w:t xml:space="preserve">     </w:t>
      </w:r>
      <w:r>
        <w:rPr>
          <w:rFonts w:ascii="SimHei" w:hAnsi="SimHei" w:eastAsia="黑体"/>
          <w:sz w:val="24"/>
        </w:rPr>
        <w:t>元；</w:t>
      </w:r>
      <w:r>
        <w:rPr>
          <w:rFonts w:ascii="SimHei" w:hAnsi="SimHei" w:eastAsia="黑体"/>
          <w:sz w:val="24"/>
        </w:rPr>
        <w:t>15</w:t>
      </w:r>
      <w:r>
        <w:rPr>
          <w:rFonts w:ascii="SimHei" w:hAnsi="SimHei" w:eastAsia="黑体"/>
          <w:sz w:val="24"/>
        </w:rPr>
        <w:t>分钟以上，两小时以下者，每次扣除薪金</w:t>
      </w:r>
      <w:r>
        <w:rPr>
          <w:rFonts w:eastAsia="黑体" w:ascii="SimHei" w:hAnsi="SimHei"/>
          <w:sz w:val="24"/>
        </w:rPr>
        <w:t xml:space="preserve"> </w:t>
      </w:r>
      <w:r>
        <w:rPr>
          <w:rFonts w:eastAsia="黑体" w:ascii="SimHei" w:hAnsi="SimHei"/>
          <w:sz w:val="24"/>
          <w:u w:val="single"/>
        </w:rPr>
        <w:t xml:space="preserve">     </w:t>
      </w:r>
      <w:r>
        <w:rPr>
          <w:rFonts w:ascii="SimHei" w:hAnsi="SimHei" w:eastAsia="黑体"/>
          <w:sz w:val="24"/>
        </w:rPr>
        <w:t>元，迟到或早退超过两小时按旷工处理。</w:t>
      </w:r>
    </w:p>
    <w:p>
      <w:pPr>
        <w:pStyle w:val="Normal"/>
        <w:numPr>
          <w:ilvl w:val="2"/>
          <w:numId w:val="9"/>
        </w:numPr>
        <w:spacing w:lineRule="exact" w:line="500"/>
        <w:rPr>
          <w:sz w:val="24"/>
        </w:rPr>
      </w:pPr>
      <w:r>
        <w:rPr>
          <w:rFonts w:ascii="SimHei" w:hAnsi="SimHei" w:eastAsia="黑体"/>
          <w:sz w:val="24"/>
        </w:rPr>
        <w:t>请假须填写请假单，职员层由所在部门的经理签署意见，管理人员由上一级领导签署意见，获得批准并安排好工作后，才可离开工作岗位，同时请假单应交人力资源部门备案。</w:t>
      </w:r>
    </w:p>
    <w:p>
      <w:pPr>
        <w:pStyle w:val="Normal"/>
        <w:numPr>
          <w:ilvl w:val="2"/>
          <w:numId w:val="9"/>
        </w:numPr>
        <w:spacing w:lineRule="exact" w:line="500"/>
        <w:rPr>
          <w:sz w:val="24"/>
        </w:rPr>
      </w:pPr>
      <w:r>
        <w:rPr>
          <w:rFonts w:ascii="SimHei" w:hAnsi="SimHei" w:eastAsia="黑体"/>
          <w:sz w:val="24"/>
        </w:rPr>
        <w:t>请病假必须于上班前或不迟于上班时间</w:t>
      </w:r>
      <w:r>
        <w:rPr>
          <w:rFonts w:ascii="SimHei" w:hAnsi="SimHei" w:eastAsia="黑体"/>
          <w:sz w:val="24"/>
        </w:rPr>
        <w:t>15</w:t>
      </w:r>
      <w:r>
        <w:rPr>
          <w:rFonts w:ascii="SimHei" w:hAnsi="SimHei" w:eastAsia="黑体"/>
          <w:sz w:val="24"/>
        </w:rPr>
        <w:t>分钟内，致电所在单位负责人及人力资源部门，且应于病假后上班第一天内，向公司提供规定医务机构出具的建议休息的有效证明。病假期间扣除当日福利补贴。病假累计半年以上者，至第七个月起按岗位薪金数额的</w:t>
      </w:r>
      <w:r>
        <w:rPr>
          <w:rFonts w:ascii="SimHei" w:hAnsi="SimHei" w:eastAsia="黑体"/>
          <w:sz w:val="24"/>
        </w:rPr>
        <w:t>70%</w:t>
      </w:r>
      <w:r>
        <w:rPr>
          <w:rFonts w:ascii="SimHei" w:hAnsi="SimHei" w:eastAsia="黑体"/>
          <w:sz w:val="24"/>
        </w:rPr>
        <w:t>为基数发放。</w:t>
      </w:r>
    </w:p>
    <w:p>
      <w:pPr>
        <w:pStyle w:val="Normal"/>
        <w:numPr>
          <w:ilvl w:val="2"/>
          <w:numId w:val="9"/>
        </w:numPr>
        <w:spacing w:lineRule="exact" w:line="500"/>
        <w:rPr>
          <w:sz w:val="24"/>
        </w:rPr>
      </w:pPr>
      <w:r>
        <w:rPr>
          <w:rFonts w:ascii="SimHei" w:hAnsi="SimHei" w:eastAsia="黑体"/>
          <w:sz w:val="24"/>
        </w:rPr>
        <w:t>请事假将被扣除当日薪金全额及当日午餐补贴。</w:t>
      </w:r>
    </w:p>
    <w:p>
      <w:pPr>
        <w:pStyle w:val="Normal"/>
        <w:numPr>
          <w:ilvl w:val="2"/>
          <w:numId w:val="9"/>
        </w:numPr>
        <w:spacing w:lineRule="exact" w:line="500"/>
        <w:rPr>
          <w:sz w:val="24"/>
        </w:rPr>
      </w:pPr>
      <w:r>
        <w:rPr>
          <w:rFonts w:ascii="SimHei" w:hAnsi="SimHei" w:eastAsia="黑体"/>
          <w:sz w:val="24"/>
        </w:rPr>
        <w:t>因参加社会活动请假，需经领导批准给予公假，薪金照发。</w:t>
      </w:r>
    </w:p>
    <w:p>
      <w:pPr>
        <w:pStyle w:val="Normal"/>
        <w:numPr>
          <w:ilvl w:val="2"/>
          <w:numId w:val="9"/>
        </w:numPr>
        <w:spacing w:lineRule="exact" w:line="500"/>
        <w:rPr>
          <w:sz w:val="24"/>
        </w:rPr>
      </w:pPr>
      <w:r>
        <w:rPr>
          <w:rFonts w:ascii="SimHei" w:hAnsi="SimHei" w:eastAsia="黑体"/>
          <w:sz w:val="24"/>
        </w:rPr>
        <w:t>如赴外地出差，应填写出差单交人力资源部门备案。</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9"/>
        </w:numPr>
        <w:snapToGrid w:val="true"/>
        <w:spacing w:lineRule="auto" w:line="415" w:before="260" w:after="260"/>
        <w:jc w:val="both"/>
        <w:rPr/>
      </w:pPr>
      <w:bookmarkStart w:id="24" w:name="__RefHeading___Toc427859427"/>
      <w:bookmarkEnd w:id="24"/>
      <w:r>
        <w:rPr>
          <w:rFonts w:ascii="SimHei" w:hAnsi="SimHei" w:eastAsia="黑体"/>
        </w:rPr>
        <w:t>出差制度</w:t>
      </w:r>
    </w:p>
    <w:p>
      <w:pPr>
        <w:pStyle w:val="Normal"/>
        <w:numPr>
          <w:ilvl w:val="2"/>
          <w:numId w:val="9"/>
        </w:numPr>
        <w:spacing w:lineRule="exact" w:line="500"/>
        <w:rPr>
          <w:sz w:val="24"/>
        </w:rPr>
      </w:pPr>
      <w:r>
        <w:rPr>
          <w:rFonts w:ascii="SimHei" w:hAnsi="SimHei" w:eastAsia="黑体"/>
          <w:sz w:val="24"/>
        </w:rPr>
        <w:t>公司内部出差管理，均由人力资源部负责，包括人员机票订购、房间订购，以及与主管领导最终协调批准。</w:t>
      </w:r>
    </w:p>
    <w:p>
      <w:pPr>
        <w:pStyle w:val="Normal"/>
        <w:numPr>
          <w:ilvl w:val="2"/>
          <w:numId w:val="9"/>
        </w:numPr>
        <w:spacing w:lineRule="exact" w:line="500"/>
        <w:rPr>
          <w:sz w:val="24"/>
        </w:rPr>
      </w:pPr>
      <w:r>
        <w:rPr>
          <w:rFonts w:ascii="SimHei" w:hAnsi="SimHei" w:eastAsia="黑体"/>
          <w:sz w:val="24"/>
        </w:rPr>
        <w:t>通常情况下员工需提前一周向上级主管提出出差（当日往返的出差可根据</w:t>
      </w:r>
      <w:r>
        <w:rPr>
          <w:rFonts w:ascii="SimHei" w:hAnsi="SimHei" w:eastAsia="黑体"/>
          <w:sz w:val="24"/>
        </w:rPr>
        <w:br/>
      </w:r>
      <w:r>
        <w:rPr>
          <w:rFonts w:ascii="SimHei" w:hAnsi="SimHei" w:eastAsia="黑体"/>
          <w:sz w:val="24"/>
        </w:rPr>
        <w:t>实际情况决定）申请，并作好工作安排，保证离开期间不会给工作带来任</w:t>
      </w:r>
      <w:r>
        <w:rPr>
          <w:rFonts w:ascii="SimHei" w:hAnsi="SimHei" w:eastAsia="黑体"/>
          <w:sz w:val="24"/>
        </w:rPr>
        <w:br/>
      </w:r>
      <w:r>
        <w:rPr>
          <w:rFonts w:ascii="SimHei" w:hAnsi="SimHei" w:eastAsia="黑体"/>
          <w:sz w:val="24"/>
        </w:rPr>
        <w:t>何影响。</w:t>
      </w:r>
    </w:p>
    <w:p>
      <w:pPr>
        <w:pStyle w:val="Normal"/>
        <w:numPr>
          <w:ilvl w:val="2"/>
          <w:numId w:val="9"/>
        </w:numPr>
        <w:spacing w:lineRule="exact" w:line="500"/>
        <w:rPr>
          <w:sz w:val="24"/>
        </w:rPr>
      </w:pPr>
      <w:r>
        <w:rPr>
          <w:rFonts w:ascii="SimHei" w:hAnsi="SimHei" w:eastAsia="黑体"/>
          <w:sz w:val="24"/>
        </w:rPr>
        <w:t>出差期间员工应遵守如下规定：</w:t>
      </w:r>
      <w:r>
        <w:rPr>
          <w:rFonts w:ascii="SimHei" w:hAnsi="SimHei" w:eastAsia="黑体"/>
          <w:sz w:val="24"/>
        </w:rPr>
        <w:br/>
      </w:r>
      <w:r>
        <w:rPr>
          <w:rFonts w:ascii="SimHei" w:hAnsi="SimHei" w:eastAsia="黑体"/>
          <w:sz w:val="24"/>
        </w:rPr>
        <w:t>（</w:t>
      </w:r>
      <w:r>
        <w:rPr>
          <w:rFonts w:ascii="SimHei" w:hAnsi="SimHei" w:eastAsia="黑体"/>
          <w:sz w:val="24"/>
        </w:rPr>
        <w:t>1</w:t>
      </w:r>
      <w:r>
        <w:rPr>
          <w:rFonts w:ascii="SimHei" w:hAnsi="SimHei" w:eastAsia="黑体"/>
          <w:sz w:val="24"/>
        </w:rPr>
        <w:t>）</w:t>
      </w:r>
      <w:r>
        <w:rPr>
          <w:rFonts w:ascii="SimHei" w:hAnsi="SimHei" w:eastAsia="黑体"/>
          <w:sz w:val="24"/>
        </w:rPr>
        <w:t>注意言行举止，展示公司良好的企业形象；</w:t>
      </w:r>
    </w:p>
    <w:p>
      <w:pPr>
        <w:pStyle w:val="Normal"/>
        <w:spacing w:lineRule="exact" w:line="500"/>
        <w:ind w:firstLine="720"/>
        <w:rPr>
          <w:sz w:val="24"/>
        </w:rPr>
      </w:pPr>
      <w:r>
        <w:rPr>
          <w:rFonts w:ascii="SimHei" w:hAnsi="SimHei" w:eastAsia="黑体"/>
          <w:sz w:val="24"/>
        </w:rPr>
        <w:t>（</w:t>
      </w:r>
      <w:r>
        <w:rPr>
          <w:rFonts w:ascii="SimHei" w:hAnsi="SimHei" w:eastAsia="黑体"/>
          <w:sz w:val="24"/>
        </w:rPr>
        <w:t>2</w:t>
      </w:r>
      <w:r>
        <w:rPr>
          <w:rFonts w:ascii="SimHei" w:hAnsi="SimHei" w:eastAsia="黑体"/>
          <w:sz w:val="24"/>
        </w:rPr>
        <w:t>）</w:t>
      </w:r>
      <w:r>
        <w:rPr>
          <w:rFonts w:ascii="SimHei" w:hAnsi="SimHei" w:eastAsia="黑体"/>
          <w:sz w:val="24"/>
        </w:rPr>
        <w:t>避免与出差目的无关的活动；</w:t>
      </w:r>
    </w:p>
    <w:p>
      <w:pPr>
        <w:pStyle w:val="Normal"/>
        <w:spacing w:lineRule="exact" w:line="500"/>
        <w:ind w:firstLine="720"/>
        <w:rPr>
          <w:sz w:val="24"/>
        </w:rPr>
      </w:pPr>
      <w:r>
        <w:rPr>
          <w:rFonts w:ascii="SimHei" w:hAnsi="SimHei" w:eastAsia="黑体"/>
          <w:sz w:val="24"/>
        </w:rPr>
        <w:t>（</w:t>
      </w:r>
      <w:r>
        <w:rPr>
          <w:rFonts w:ascii="SimHei" w:hAnsi="SimHei" w:eastAsia="黑体"/>
          <w:sz w:val="24"/>
        </w:rPr>
        <w:t>3</w:t>
      </w:r>
      <w:r>
        <w:rPr>
          <w:rFonts w:ascii="SimHei" w:hAnsi="SimHei" w:eastAsia="黑体"/>
          <w:sz w:val="24"/>
        </w:rPr>
        <w:t>）</w:t>
      </w:r>
      <w:r>
        <w:rPr>
          <w:rFonts w:ascii="SimHei" w:hAnsi="SimHei" w:eastAsia="黑体"/>
          <w:sz w:val="24"/>
        </w:rPr>
        <w:t>出差在外期间应与上级主管保持联系，通报工作进程。如有行程变动，应立即报上级主管批准方可执行；</w:t>
      </w:r>
    </w:p>
    <w:p>
      <w:pPr>
        <w:pStyle w:val="Normal"/>
        <w:spacing w:lineRule="exact" w:line="500"/>
        <w:ind w:firstLine="720"/>
        <w:rPr>
          <w:sz w:val="24"/>
        </w:rPr>
      </w:pPr>
      <w:r>
        <w:rPr>
          <w:rFonts w:ascii="SimHei" w:hAnsi="SimHei" w:eastAsia="黑体"/>
          <w:sz w:val="24"/>
        </w:rPr>
        <w:t>（</w:t>
      </w:r>
      <w:r>
        <w:rPr>
          <w:rFonts w:ascii="SimHei" w:hAnsi="SimHei" w:eastAsia="黑体"/>
          <w:sz w:val="24"/>
        </w:rPr>
        <w:t>4</w:t>
      </w:r>
      <w:r>
        <w:rPr>
          <w:rFonts w:ascii="SimHei" w:hAnsi="SimHei" w:eastAsia="黑体"/>
          <w:sz w:val="24"/>
        </w:rPr>
        <w:t>）</w:t>
      </w:r>
      <w:r>
        <w:rPr>
          <w:rFonts w:ascii="SimHei" w:hAnsi="SimHei" w:eastAsia="黑体"/>
          <w:sz w:val="24"/>
        </w:rPr>
        <w:t>出差任务完成后应及时返回；</w:t>
      </w:r>
      <w:r>
        <w:rPr>
          <w:rFonts w:eastAsia="黑体" w:ascii="SimHei" w:hAnsi="SimHei"/>
          <w:sz w:val="24"/>
        </w:rPr>
        <w:t xml:space="preserve"> </w:t>
      </w:r>
    </w:p>
    <w:p>
      <w:pPr>
        <w:pStyle w:val="Normal"/>
        <w:spacing w:lineRule="exact" w:line="500"/>
        <w:ind w:firstLine="720"/>
        <w:rPr>
          <w:sz w:val="24"/>
        </w:rPr>
      </w:pPr>
      <w:r>
        <w:rPr>
          <w:rFonts w:ascii="SimHei" w:hAnsi="SimHei" w:eastAsia="黑体"/>
          <w:sz w:val="24"/>
        </w:rPr>
        <w:t>（</w:t>
      </w:r>
      <w:r>
        <w:rPr>
          <w:rFonts w:ascii="SimHei" w:hAnsi="SimHei" w:eastAsia="黑体"/>
          <w:sz w:val="24"/>
        </w:rPr>
        <w:t>5</w:t>
      </w:r>
      <w:r>
        <w:rPr>
          <w:rFonts w:ascii="SimHei" w:hAnsi="SimHei" w:eastAsia="黑体"/>
          <w:sz w:val="24"/>
        </w:rPr>
        <w:t>）</w:t>
      </w:r>
      <w:r>
        <w:rPr>
          <w:rFonts w:ascii="SimHei" w:hAnsi="SimHei" w:eastAsia="黑体"/>
          <w:sz w:val="24"/>
        </w:rPr>
        <w:t>出差回来应及时向上级主管汇报工作情况。</w:t>
      </w:r>
      <w:r>
        <w:rPr>
          <w:rFonts w:ascii="SimHei" w:hAnsi="SimHei" w:eastAsia="黑体"/>
          <w:sz w:val="24"/>
        </w:rPr>
        <w:br/>
      </w:r>
      <w:r>
        <w:rPr>
          <w:rFonts w:ascii="SimHei" w:hAnsi="SimHei" w:eastAsia="黑体"/>
          <w:sz w:val="24"/>
        </w:rPr>
        <w:t xml:space="preserve">4.9.4 </w:t>
      </w:r>
      <w:r>
        <w:rPr>
          <w:rFonts w:ascii="SimHei" w:hAnsi="SimHei" w:eastAsia="黑体"/>
          <w:sz w:val="24"/>
        </w:rPr>
        <w:t>交通工具</w:t>
      </w:r>
      <w:r>
        <w:rPr>
          <w:rFonts w:ascii="SimHei" w:hAnsi="SimHei" w:eastAsia="黑体"/>
          <w:sz w:val="24"/>
        </w:rPr>
        <w:br/>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员工出差一般应选择乘坐汽车或火车（在火车上过夜方可选择卧铺），特殊情况或时间紧急方可乘坐飞机（经济舱）。</w:t>
      </w:r>
      <w:r>
        <w:rPr>
          <w:rFonts w:ascii="SimHei" w:hAnsi="SimHei" w:eastAsia="黑体"/>
          <w:sz w:val="24"/>
        </w:rPr>
        <w:br/>
      </w:r>
      <w:r>
        <w:rPr>
          <w:rFonts w:ascii="SimHei" w:hAnsi="SimHei" w:eastAsia="黑体"/>
          <w:sz w:val="24"/>
        </w:rPr>
        <w:t xml:space="preserve">4.9.5 </w:t>
      </w:r>
      <w:r>
        <w:rPr>
          <w:rFonts w:ascii="SimHei" w:hAnsi="SimHei" w:eastAsia="黑体"/>
          <w:sz w:val="24"/>
        </w:rPr>
        <w:t>出差住宿标准</w:t>
      </w:r>
      <w:r>
        <w:rPr>
          <w:rFonts w:ascii="SimHei" w:hAnsi="SimHei" w:eastAsia="黑体"/>
          <w:sz w:val="24"/>
        </w:rPr>
        <w:br/>
      </w:r>
      <w:r>
        <w:rPr>
          <w:rFonts w:ascii="SimHei" w:hAnsi="SimHei" w:eastAsia="黑体"/>
          <w:sz w:val="24"/>
        </w:rPr>
        <w:t xml:space="preserve">    </w:t>
      </w:r>
      <w:r>
        <w:rPr>
          <w:rFonts w:ascii="SimHei" w:hAnsi="SimHei" w:eastAsia="黑体"/>
          <w:sz w:val="24"/>
        </w:rPr>
        <w:t>需在出差地逗留</w:t>
      </w:r>
      <w:r>
        <w:rPr>
          <w:rFonts w:ascii="SimHei" w:hAnsi="SimHei" w:eastAsia="黑体"/>
          <w:sz w:val="24"/>
        </w:rPr>
        <w:t>24</w:t>
      </w:r>
      <w:r>
        <w:rPr>
          <w:rFonts w:ascii="SimHei" w:hAnsi="SimHei" w:eastAsia="黑体"/>
          <w:sz w:val="24"/>
        </w:rPr>
        <w:t>小时以上的员工选择住宿地时，一般员工住宿标准为</w:t>
      </w:r>
      <w:r>
        <w:rPr>
          <w:rFonts w:eastAsia="黑体" w:ascii="SimHei" w:hAnsi="SimHei"/>
          <w:sz w:val="24"/>
          <w:u w:val="single"/>
        </w:rPr>
        <w:t xml:space="preserve">  </w:t>
      </w:r>
      <w:r>
        <w:rPr>
          <w:rFonts w:ascii="SimHei" w:hAnsi="SimHei" w:eastAsia="黑体"/>
          <w:sz w:val="24"/>
        </w:rPr>
        <w:t>元</w:t>
      </w:r>
      <w:r>
        <w:rPr>
          <w:rFonts w:ascii="SimHei" w:hAnsi="SimHei" w:eastAsia="黑体"/>
          <w:sz w:val="24"/>
        </w:rPr>
        <w:t>/</w:t>
      </w:r>
      <w:r>
        <w:rPr>
          <w:rFonts w:ascii="SimHei" w:hAnsi="SimHei" w:eastAsia="黑体"/>
          <w:sz w:val="24"/>
        </w:rPr>
        <w:t>夜，部门主管级住宿标准为</w:t>
      </w:r>
      <w:r>
        <w:rPr>
          <w:rFonts w:eastAsia="黑体" w:ascii="SimHei" w:hAnsi="SimHei"/>
          <w:sz w:val="24"/>
          <w:u w:val="single"/>
        </w:rPr>
        <w:t xml:space="preserve">    </w:t>
      </w:r>
      <w:r>
        <w:rPr>
          <w:rFonts w:ascii="SimHei" w:hAnsi="SimHei" w:eastAsia="黑体"/>
          <w:sz w:val="24"/>
        </w:rPr>
        <w:t>元</w:t>
      </w:r>
      <w:r>
        <w:rPr>
          <w:rFonts w:ascii="SimHei" w:hAnsi="SimHei" w:eastAsia="黑体"/>
          <w:sz w:val="24"/>
        </w:rPr>
        <w:t>/</w:t>
      </w:r>
      <w:r>
        <w:rPr>
          <w:rFonts w:ascii="SimHei" w:hAnsi="SimHei" w:eastAsia="黑体"/>
          <w:sz w:val="24"/>
        </w:rPr>
        <w:t>夜，部门主管级以上者住宿标准为</w:t>
      </w:r>
      <w:r>
        <w:rPr>
          <w:rFonts w:eastAsia="黑体" w:ascii="SimHei" w:hAnsi="SimHei"/>
          <w:sz w:val="24"/>
          <w:u w:val="single"/>
        </w:rPr>
        <w:t xml:space="preserve">    </w:t>
      </w:r>
      <w:r>
        <w:rPr>
          <w:rFonts w:ascii="SimHei" w:hAnsi="SimHei" w:eastAsia="黑体"/>
          <w:sz w:val="24"/>
        </w:rPr>
        <w:t>元</w:t>
      </w:r>
      <w:r>
        <w:rPr>
          <w:rFonts w:ascii="SimHei" w:hAnsi="SimHei" w:eastAsia="黑体"/>
          <w:sz w:val="24"/>
        </w:rPr>
        <w:t>/</w:t>
      </w:r>
      <w:r>
        <w:rPr>
          <w:rFonts w:ascii="SimHei" w:hAnsi="SimHei" w:eastAsia="黑体"/>
          <w:sz w:val="24"/>
        </w:rPr>
        <w:t>夜。特殊情况经总经理批准后可超过以上标准。国外出差具体住宿标准参照当地水平决定，遵循合理经济的原则。</w:t>
      </w:r>
      <w:r>
        <w:rPr>
          <w:rFonts w:ascii="SimHei" w:hAnsi="SimHei" w:eastAsia="黑体"/>
          <w:sz w:val="24"/>
        </w:rPr>
        <w:br/>
      </w:r>
      <w:r>
        <w:rPr>
          <w:rFonts w:ascii="SimHei" w:hAnsi="SimHei" w:eastAsia="黑体"/>
          <w:sz w:val="24"/>
        </w:rPr>
        <w:t xml:space="preserve">4.9.6 </w:t>
      </w:r>
      <w:r>
        <w:rPr>
          <w:rFonts w:ascii="SimHei" w:hAnsi="SimHei" w:eastAsia="黑体"/>
          <w:sz w:val="24"/>
        </w:rPr>
        <w:t>伙食标准</w:t>
      </w:r>
      <w:r>
        <w:rPr>
          <w:rFonts w:ascii="SimHei" w:hAnsi="SimHei" w:eastAsia="黑体"/>
          <w:sz w:val="24"/>
        </w:rPr>
        <w:br/>
      </w:r>
      <w:r>
        <w:rPr>
          <w:rFonts w:ascii="SimHei" w:hAnsi="SimHei" w:eastAsia="黑体"/>
          <w:sz w:val="24"/>
        </w:rPr>
        <w:t xml:space="preserve">    </w:t>
      </w:r>
      <w:r>
        <w:rPr>
          <w:rFonts w:ascii="SimHei" w:hAnsi="SimHei" w:eastAsia="黑体"/>
          <w:sz w:val="24"/>
        </w:rPr>
        <w:t>（</w:t>
      </w:r>
      <w:r>
        <w:rPr>
          <w:rFonts w:ascii="SimHei" w:hAnsi="SimHei" w:eastAsia="黑体"/>
          <w:sz w:val="24"/>
        </w:rPr>
        <w:t>1</w:t>
      </w:r>
      <w:r>
        <w:rPr>
          <w:rFonts w:ascii="SimHei" w:hAnsi="SimHei" w:eastAsia="黑体"/>
          <w:sz w:val="24"/>
        </w:rPr>
        <w:t>）</w:t>
      </w:r>
      <w:r>
        <w:rPr>
          <w:rFonts w:ascii="SimHei" w:hAnsi="SimHei" w:eastAsia="黑体"/>
          <w:sz w:val="24"/>
        </w:rPr>
        <w:t>早餐标准为</w:t>
      </w:r>
      <w:r>
        <w:rPr>
          <w:rFonts w:eastAsia="黑体" w:ascii="SimHei" w:hAnsi="SimHei"/>
          <w:sz w:val="24"/>
          <w:u w:val="single"/>
        </w:rPr>
        <w:t xml:space="preserve">    </w:t>
      </w:r>
      <w:r>
        <w:rPr>
          <w:rFonts w:ascii="SimHei" w:hAnsi="SimHei" w:eastAsia="黑体"/>
          <w:sz w:val="24"/>
        </w:rPr>
        <w:t>元，午餐为</w:t>
      </w:r>
      <w:r>
        <w:rPr>
          <w:rFonts w:eastAsia="黑体" w:ascii="SimHei" w:hAnsi="SimHei"/>
          <w:sz w:val="24"/>
          <w:u w:val="single"/>
        </w:rPr>
        <w:t xml:space="preserve">    </w:t>
      </w:r>
      <w:r>
        <w:rPr>
          <w:rFonts w:ascii="SimHei" w:hAnsi="SimHei" w:eastAsia="黑体"/>
          <w:sz w:val="24"/>
        </w:rPr>
        <w:t>元，晚餐为</w:t>
      </w:r>
      <w:r>
        <w:rPr>
          <w:rFonts w:eastAsia="黑体" w:ascii="SimHei" w:hAnsi="SimHei"/>
          <w:sz w:val="24"/>
          <w:u w:val="single"/>
        </w:rPr>
        <w:t xml:space="preserve">     </w:t>
      </w:r>
      <w:r>
        <w:rPr>
          <w:rFonts w:ascii="SimHei" w:hAnsi="SimHei" w:eastAsia="黑体"/>
          <w:sz w:val="24"/>
        </w:rPr>
        <w:t>元。员工结束出差后可按标准在报销时申请出差餐费补贴；员工也可选择实报实销，但每日总餐费不可超过</w:t>
      </w:r>
      <w:r>
        <w:rPr>
          <w:rFonts w:eastAsia="黑体" w:ascii="SimHei" w:hAnsi="SimHei"/>
          <w:sz w:val="24"/>
          <w:u w:val="single"/>
        </w:rPr>
        <w:t xml:space="preserve">     </w:t>
      </w:r>
      <w:r>
        <w:rPr>
          <w:rFonts w:ascii="SimHei" w:hAnsi="SimHei" w:eastAsia="黑体"/>
          <w:sz w:val="24"/>
        </w:rPr>
        <w:t>元。</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w:t>
      </w:r>
      <w:r>
        <w:rPr>
          <w:rFonts w:ascii="SimHei" w:hAnsi="SimHei" w:eastAsia="黑体"/>
          <w:sz w:val="24"/>
        </w:rPr>
        <w:t>当日往返的出差，如于早上</w:t>
      </w:r>
      <w:r>
        <w:rPr>
          <w:rFonts w:ascii="SimHei" w:hAnsi="SimHei" w:eastAsia="黑体"/>
          <w:sz w:val="24"/>
        </w:rPr>
        <w:t>7</w:t>
      </w:r>
      <w:r>
        <w:rPr>
          <w:rFonts w:ascii="SimHei" w:hAnsi="SimHei" w:eastAsia="黑体"/>
          <w:sz w:val="24"/>
        </w:rPr>
        <w:t>：</w:t>
      </w:r>
      <w:r>
        <w:rPr>
          <w:rFonts w:ascii="SimHei" w:hAnsi="SimHei" w:eastAsia="黑体"/>
          <w:sz w:val="24"/>
        </w:rPr>
        <w:t>00</w:t>
      </w:r>
      <w:r>
        <w:rPr>
          <w:rFonts w:ascii="SimHei" w:hAnsi="SimHei" w:eastAsia="黑体"/>
          <w:sz w:val="24"/>
        </w:rPr>
        <w:t>前离家，可按标准申请早餐补贴；如于晚上</w:t>
      </w:r>
      <w:r>
        <w:rPr>
          <w:rFonts w:ascii="SimHei" w:hAnsi="SimHei" w:eastAsia="黑体"/>
          <w:sz w:val="24"/>
        </w:rPr>
        <w:t>7</w:t>
      </w:r>
      <w:r>
        <w:rPr>
          <w:rFonts w:ascii="SimHei" w:hAnsi="SimHei" w:eastAsia="黑体"/>
          <w:sz w:val="24"/>
        </w:rPr>
        <w:t>：</w:t>
      </w:r>
      <w:r>
        <w:rPr>
          <w:rFonts w:ascii="SimHei" w:hAnsi="SimHei" w:eastAsia="黑体"/>
          <w:sz w:val="24"/>
        </w:rPr>
        <w:t>00</w:t>
      </w:r>
      <w:r>
        <w:rPr>
          <w:rFonts w:ascii="SimHei" w:hAnsi="SimHei" w:eastAsia="黑体"/>
          <w:sz w:val="24"/>
        </w:rPr>
        <w:t>以后结束出差，可按标准申请晚餐补贴。</w:t>
      </w:r>
    </w:p>
    <w:p>
      <w:pPr>
        <w:pStyle w:val="Normal"/>
        <w:spacing w:lineRule="exact" w:line="500"/>
        <w:ind w:firstLine="480"/>
        <w:rPr>
          <w:sz w:val="24"/>
        </w:rPr>
      </w:pPr>
      <w:r>
        <w:rPr>
          <w:rFonts w:ascii="SimHei" w:hAnsi="SimHei" w:eastAsia="黑体"/>
          <w:sz w:val="24"/>
        </w:rPr>
        <w:t>（</w:t>
      </w:r>
      <w:r>
        <w:rPr>
          <w:rFonts w:ascii="SimHei" w:hAnsi="SimHei" w:eastAsia="黑体"/>
          <w:sz w:val="24"/>
        </w:rPr>
        <w:t>3</w:t>
      </w:r>
      <w:r>
        <w:rPr>
          <w:rFonts w:ascii="SimHei" w:hAnsi="SimHei" w:eastAsia="黑体"/>
          <w:sz w:val="24"/>
        </w:rPr>
        <w:t>）</w:t>
      </w:r>
      <w:r>
        <w:rPr>
          <w:rFonts w:ascii="SimHei" w:hAnsi="SimHei" w:eastAsia="黑体"/>
          <w:sz w:val="24"/>
        </w:rPr>
        <w:t>出差期间如安排宴请客户，凭发票按规定交际应酬费报销，此餐的餐费补贴将被取消。</w:t>
      </w:r>
    </w:p>
    <w:p>
      <w:pPr>
        <w:pStyle w:val="Normal"/>
        <w:spacing w:lineRule="exact" w:line="500"/>
        <w:ind w:firstLine="480"/>
        <w:rPr>
          <w:sz w:val="24"/>
        </w:rPr>
      </w:pPr>
      <w:r>
        <w:rPr>
          <w:rFonts w:ascii="SimHei" w:hAnsi="SimHei" w:eastAsia="黑体"/>
          <w:sz w:val="24"/>
        </w:rPr>
        <w:t>（</w:t>
      </w:r>
      <w:r>
        <w:rPr>
          <w:rFonts w:ascii="SimHei" w:hAnsi="SimHei" w:eastAsia="黑体"/>
          <w:sz w:val="24"/>
        </w:rPr>
        <w:t>4</w:t>
      </w:r>
      <w:r>
        <w:rPr>
          <w:rFonts w:ascii="SimHei" w:hAnsi="SimHei" w:eastAsia="黑体"/>
          <w:sz w:val="24"/>
        </w:rPr>
        <w:t>）</w:t>
      </w:r>
      <w:r>
        <w:rPr>
          <w:rFonts w:ascii="SimHei" w:hAnsi="SimHei" w:eastAsia="黑体"/>
          <w:sz w:val="24"/>
        </w:rPr>
        <w:t>酒店住宿含早餐或培训、会议等活动中提供餐饮的，则相应的餐费补贴被取消。</w:t>
      </w:r>
      <w:r>
        <w:rPr>
          <w:rFonts w:ascii="SimHei" w:hAnsi="SimHei" w:eastAsia="黑体"/>
          <w:sz w:val="24"/>
        </w:rPr>
        <w:br/>
      </w:r>
      <w:r>
        <w:rPr>
          <w:rFonts w:ascii="SimHei" w:hAnsi="SimHei" w:eastAsia="黑体"/>
          <w:sz w:val="24"/>
        </w:rPr>
        <w:t xml:space="preserve">4.9.7 </w:t>
      </w:r>
      <w:r>
        <w:rPr>
          <w:rFonts w:ascii="SimHei" w:hAnsi="SimHei" w:eastAsia="黑体"/>
          <w:sz w:val="24"/>
        </w:rPr>
        <w:t>出差补贴</w:t>
      </w:r>
      <w:r>
        <w:rPr>
          <w:rFonts w:ascii="SimHei" w:hAnsi="SimHei" w:eastAsia="黑体"/>
          <w:sz w:val="24"/>
        </w:rPr>
        <w:br/>
      </w:r>
      <w:r>
        <w:rPr>
          <w:rFonts w:ascii="SimHei" w:hAnsi="SimHei" w:eastAsia="黑体"/>
          <w:sz w:val="24"/>
        </w:rPr>
        <w:t xml:space="preserve">    </w:t>
      </w:r>
      <w:r>
        <w:rPr>
          <w:rFonts w:ascii="SimHei" w:hAnsi="SimHei" w:eastAsia="黑体"/>
          <w:sz w:val="24"/>
        </w:rPr>
        <w:t>（</w:t>
      </w:r>
      <w:r>
        <w:rPr>
          <w:rFonts w:ascii="SimHei" w:hAnsi="SimHei" w:eastAsia="黑体"/>
          <w:sz w:val="24"/>
        </w:rPr>
        <w:t>1</w:t>
      </w:r>
      <w:r>
        <w:rPr>
          <w:rFonts w:ascii="SimHei" w:hAnsi="SimHei" w:eastAsia="黑体"/>
          <w:sz w:val="24"/>
        </w:rPr>
        <w:t>）</w:t>
      </w:r>
      <w:r>
        <w:rPr>
          <w:rFonts w:ascii="SimHei" w:hAnsi="SimHei" w:eastAsia="黑体"/>
          <w:sz w:val="24"/>
        </w:rPr>
        <w:t>国内出差：省内或当日往返的出差每人每天补贴</w:t>
      </w:r>
      <w:r>
        <w:rPr>
          <w:rFonts w:eastAsia="黑体" w:ascii="SimHei" w:hAnsi="SimHei"/>
          <w:sz w:val="24"/>
          <w:u w:val="single"/>
        </w:rPr>
        <w:t xml:space="preserve">     </w:t>
      </w:r>
      <w:r>
        <w:rPr>
          <w:rFonts w:ascii="SimHei" w:hAnsi="SimHei" w:eastAsia="黑体"/>
          <w:sz w:val="24"/>
        </w:rPr>
        <w:t>元，其他情况的出差每人每天补贴</w:t>
      </w:r>
      <w:r>
        <w:rPr>
          <w:rFonts w:eastAsia="黑体" w:ascii="SimHei" w:hAnsi="SimHei"/>
          <w:sz w:val="24"/>
          <w:u w:val="single"/>
        </w:rPr>
        <w:t xml:space="preserve">    </w:t>
      </w:r>
      <w:r>
        <w:rPr>
          <w:rFonts w:ascii="SimHei" w:hAnsi="SimHei" w:eastAsia="黑体"/>
          <w:sz w:val="24"/>
        </w:rPr>
        <w:t>元。</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w:t>
      </w:r>
      <w:r>
        <w:rPr>
          <w:rFonts w:ascii="SimHei" w:hAnsi="SimHei" w:eastAsia="黑体"/>
          <w:sz w:val="24"/>
        </w:rPr>
        <w:t>国外出差：每人每天补贴</w:t>
      </w:r>
      <w:r>
        <w:rPr>
          <w:rFonts w:eastAsia="黑体" w:ascii="SimHei" w:hAnsi="SimHei"/>
          <w:sz w:val="24"/>
          <w:u w:val="single"/>
        </w:rPr>
        <w:t xml:space="preserve">     </w:t>
      </w:r>
      <w:r>
        <w:rPr>
          <w:rFonts w:ascii="SimHei" w:hAnsi="SimHei" w:eastAsia="黑体"/>
          <w:sz w:val="24"/>
        </w:rPr>
        <w:t xml:space="preserve">元。　</w:t>
      </w:r>
    </w:p>
    <w:p>
      <w:pPr>
        <w:pStyle w:val="Normal"/>
        <w:numPr>
          <w:ilvl w:val="2"/>
          <w:numId w:val="18"/>
        </w:numPr>
        <w:spacing w:lineRule="exact" w:line="500"/>
        <w:rPr>
          <w:sz w:val="24"/>
        </w:rPr>
      </w:pPr>
      <w:r>
        <w:rPr>
          <w:rFonts w:ascii="SimHei" w:hAnsi="SimHei" w:eastAsia="黑体"/>
          <w:sz w:val="24"/>
        </w:rPr>
        <w:t>出差程序：</w:t>
      </w:r>
    </w:p>
    <w:p>
      <w:pPr>
        <w:pStyle w:val="Normal"/>
        <w:numPr>
          <w:ilvl w:val="0"/>
          <w:numId w:val="12"/>
        </w:numPr>
        <w:spacing w:lineRule="exact" w:line="500"/>
        <w:ind w:start="1440" w:hanging="873"/>
        <w:rPr>
          <w:sz w:val="24"/>
        </w:rPr>
      </w:pPr>
      <w:r>
        <w:rPr>
          <w:rFonts w:ascii="SimHei" w:hAnsi="SimHei" w:eastAsia="黑体"/>
          <w:sz w:val="24"/>
        </w:rPr>
        <w:t>填写出差申请，主管或经理签署意见。</w:t>
      </w:r>
    </w:p>
    <w:p>
      <w:pPr>
        <w:pStyle w:val="Normal"/>
        <w:numPr>
          <w:ilvl w:val="0"/>
          <w:numId w:val="12"/>
        </w:numPr>
        <w:spacing w:lineRule="exact" w:line="500"/>
        <w:ind w:start="1440" w:hanging="873"/>
        <w:rPr>
          <w:sz w:val="24"/>
        </w:rPr>
      </w:pPr>
      <w:r>
        <w:rPr>
          <w:rFonts w:ascii="SimHei" w:hAnsi="SimHei" w:eastAsia="黑体"/>
          <w:sz w:val="24"/>
        </w:rPr>
        <w:t>人力资源部与主管领导共同确定出差的必要性，并签署同意意见。</w:t>
      </w:r>
    </w:p>
    <w:p>
      <w:pPr>
        <w:pStyle w:val="Normal"/>
        <w:numPr>
          <w:ilvl w:val="0"/>
          <w:numId w:val="12"/>
        </w:numPr>
        <w:spacing w:lineRule="exact" w:line="500"/>
        <w:ind w:start="1440" w:hanging="873"/>
        <w:rPr>
          <w:sz w:val="24"/>
        </w:rPr>
      </w:pPr>
      <w:r>
        <w:rPr>
          <w:rFonts w:ascii="SimHei" w:hAnsi="SimHei" w:eastAsia="黑体"/>
          <w:sz w:val="24"/>
        </w:rPr>
        <w:t>到财务部门办理借款手续。（具体条款参见财务说明）</w:t>
      </w:r>
    </w:p>
    <w:p>
      <w:pPr>
        <w:pStyle w:val="Normal"/>
        <w:numPr>
          <w:ilvl w:val="2"/>
          <w:numId w:val="18"/>
        </w:numPr>
        <w:spacing w:lineRule="exact" w:line="500"/>
        <w:rPr>
          <w:sz w:val="24"/>
        </w:rPr>
      </w:pPr>
      <w:r>
        <w:rPr>
          <w:rFonts w:ascii="SimHei" w:hAnsi="SimHei" w:eastAsia="黑体"/>
          <w:sz w:val="24"/>
        </w:rPr>
        <w:t>报销程序：</w:t>
      </w:r>
    </w:p>
    <w:p>
      <w:pPr>
        <w:pStyle w:val="Normal"/>
        <w:numPr>
          <w:ilvl w:val="0"/>
          <w:numId w:val="24"/>
        </w:numPr>
        <w:spacing w:lineRule="exact" w:line="500"/>
        <w:rPr>
          <w:sz w:val="24"/>
        </w:rPr>
      </w:pPr>
      <w:r>
        <w:rPr>
          <w:rFonts w:ascii="SimHei" w:hAnsi="SimHei" w:eastAsia="黑体"/>
          <w:sz w:val="24"/>
        </w:rPr>
        <w:t>出差返回后的半个月之内，到财务部门如实填报出差票据。</w:t>
      </w:r>
    </w:p>
    <w:p>
      <w:pPr>
        <w:pStyle w:val="Normal"/>
        <w:numPr>
          <w:ilvl w:val="0"/>
          <w:numId w:val="24"/>
        </w:numPr>
        <w:spacing w:lineRule="exact" w:line="500"/>
        <w:rPr/>
      </w:pPr>
      <w:r>
        <w:rPr>
          <w:rFonts w:ascii="SimHei" w:hAnsi="SimHei" w:eastAsia="黑体"/>
          <w:sz w:val="24"/>
        </w:rPr>
        <w:t>填写每日花费报告，并由主管或经理签署同意意见。</w:t>
      </w:r>
    </w:p>
    <w:p>
      <w:pPr>
        <w:pStyle w:val="Normal"/>
        <w:numPr>
          <w:ilvl w:val="0"/>
          <w:numId w:val="24"/>
        </w:numPr>
        <w:spacing w:lineRule="exact" w:line="500"/>
        <w:rPr/>
      </w:pPr>
      <w:r>
        <w:rPr>
          <w:rFonts w:ascii="SimHei" w:hAnsi="SimHei" w:eastAsia="黑体"/>
          <w:sz w:val="24"/>
        </w:rPr>
        <w:t>报销费用将在有效单据提交半个月后，由财务部门与出差人兑现。</w:t>
      </w:r>
    </w:p>
    <w:p>
      <w:pPr>
        <w:pStyle w:val="Normal"/>
        <w:numPr>
          <w:ilvl w:val="0"/>
          <w:numId w:val="24"/>
        </w:numPr>
        <w:spacing w:lineRule="exact" w:line="500"/>
        <w:rPr/>
      </w:pPr>
      <w:r>
        <w:rPr>
          <w:rFonts w:ascii="SimHei" w:hAnsi="SimHei" w:eastAsia="黑体"/>
          <w:sz w:val="24"/>
        </w:rPr>
        <w:t>具体细则参见公司有关财务制度中出差费用管理办法。</w:t>
      </w:r>
    </w:p>
    <w:p>
      <w:pPr>
        <w:pStyle w:val="Normal"/>
        <w:numPr>
          <w:ilvl w:val="2"/>
          <w:numId w:val="18"/>
        </w:numPr>
        <w:spacing w:lineRule="exact" w:line="500"/>
        <w:rPr>
          <w:sz w:val="24"/>
        </w:rPr>
      </w:pPr>
      <w:r>
        <w:rPr>
          <w:rFonts w:ascii="SimHei" w:hAnsi="SimHei" w:eastAsia="黑体"/>
          <w:sz w:val="24"/>
        </w:rPr>
        <w:t>报销范围：五小时以下的经济仓航空机票、机场税、交通费、住宿费（等级标准参见财务细则）、餐费（等级标准参见财务细则）、其他费用提前由主管或经理同意；</w:t>
      </w:r>
    </w:p>
    <w:p>
      <w:pPr>
        <w:pStyle w:val="Normal"/>
        <w:numPr>
          <w:ilvl w:val="2"/>
          <w:numId w:val="18"/>
        </w:numPr>
        <w:spacing w:lineRule="exact" w:line="500"/>
        <w:rPr>
          <w:sz w:val="24"/>
        </w:rPr>
      </w:pPr>
      <w:r>
        <w:rPr>
          <w:rFonts w:ascii="SimHei" w:hAnsi="SimHei" w:eastAsia="黑体"/>
          <w:sz w:val="24"/>
        </w:rPr>
        <w:t>不予报销范围：诸如酒吧或其他旅馆的房间服务费、娱乐费、其他商业花费、出差时间在五个工作日以下的洗衣费、未经批准的消费项目。</w:t>
      </w:r>
    </w:p>
    <w:p>
      <w:pPr>
        <w:pStyle w:val="Normal"/>
        <w:spacing w:lineRule="exact" w:line="500"/>
        <w:rPr>
          <w:sz w:val="24"/>
        </w:rPr>
      </w:pPr>
      <w:r>
        <w:rPr>
          <w:rFonts w:ascii="SimHei" w:hAnsi="SimHei" w:eastAsia="黑体"/>
          <w:sz w:val="24"/>
        </w:rPr>
      </w:r>
    </w:p>
    <w:p>
      <w:pPr>
        <w:pStyle w:val="Heading2"/>
        <w:rPr/>
      </w:pPr>
      <w:bookmarkStart w:id="25" w:name="__RefHeading___Toc427859428"/>
      <w:bookmarkEnd w:id="25"/>
      <w:r>
        <w:rPr>
          <w:rFonts w:ascii="SimHei" w:hAnsi="SimHei" w:eastAsia="黑体"/>
        </w:rPr>
        <w:t xml:space="preserve">4.10 </w:t>
      </w:r>
      <w:r>
        <w:rPr>
          <w:rFonts w:ascii="SimHei" w:hAnsi="SimHei" w:eastAsia="黑体"/>
        </w:rPr>
        <w:t>档案管理</w:t>
      </w:r>
    </w:p>
    <w:p>
      <w:pPr>
        <w:pStyle w:val="Normal"/>
        <w:spacing w:lineRule="exact" w:line="500"/>
        <w:ind w:firstLine="480"/>
        <w:rPr/>
      </w:pPr>
      <w:r>
        <w:rPr>
          <w:rFonts w:ascii="SimHei" w:hAnsi="SimHei" w:eastAsia="黑体"/>
          <w:sz w:val="24"/>
        </w:rPr>
        <w:t>公司为了保证公司的文档管理，并加强知识管理，特别规定，所有部门的重要文档均需保留。（</w:t>
      </w:r>
      <w:r>
        <w:rPr>
          <w:rFonts w:ascii="SimHei" w:hAnsi="SimHei" w:eastAsia="黑体"/>
          <w:b/>
          <w:i/>
          <w:sz w:val="24"/>
        </w:rPr>
        <w:t>提示：便于知识分享：包括案例库、人才库、专利库等的储备与建设等）</w:t>
      </w:r>
    </w:p>
    <w:p>
      <w:pPr>
        <w:pStyle w:val="Normal"/>
        <w:spacing w:lineRule="exact" w:line="500"/>
        <w:rPr>
          <w:sz w:val="24"/>
        </w:rPr>
      </w:pPr>
      <w:r>
        <w:rPr>
          <w:rFonts w:ascii="SimHei" w:hAnsi="SimHei" w:eastAsia="黑体"/>
          <w:sz w:val="24"/>
        </w:rPr>
        <w:t xml:space="preserve">4.10.1 </w:t>
      </w:r>
      <w:r>
        <w:rPr>
          <w:rFonts w:ascii="SimHei" w:hAnsi="SimHei" w:eastAsia="黑体"/>
          <w:sz w:val="24"/>
        </w:rPr>
        <w:t>公司各个部门在制作重要文档时，应保存软、硬备份，并归档保存。</w:t>
      </w:r>
    </w:p>
    <w:p>
      <w:pPr>
        <w:pStyle w:val="Normal"/>
        <w:spacing w:lineRule="exact" w:line="500"/>
        <w:rPr>
          <w:sz w:val="24"/>
        </w:rPr>
      </w:pPr>
      <w:r>
        <w:rPr>
          <w:rFonts w:ascii="SimHei" w:hAnsi="SimHei" w:eastAsia="黑体"/>
          <w:sz w:val="24"/>
        </w:rPr>
        <w:t xml:space="preserve">4.10.2 </w:t>
      </w:r>
      <w:r>
        <w:rPr>
          <w:rFonts w:ascii="SimHei" w:hAnsi="SimHei" w:eastAsia="黑体"/>
          <w:sz w:val="24"/>
        </w:rPr>
        <w:t>保留文档以软件形式，定期送交人事行政部保存，包括文件、视频等形式。</w:t>
      </w:r>
    </w:p>
    <w:p>
      <w:pPr>
        <w:pStyle w:val="Normal"/>
        <w:spacing w:lineRule="exact" w:line="500"/>
        <w:rPr/>
      </w:pPr>
      <w:r>
        <w:rPr>
          <w:rFonts w:ascii="SimHei" w:hAnsi="SimHei" w:eastAsia="黑体"/>
          <w:sz w:val="24"/>
        </w:rPr>
        <w:t xml:space="preserve">4.10.3 </w:t>
      </w:r>
      <w:r>
        <w:rPr>
          <w:rFonts w:ascii="SimHei" w:hAnsi="SimHei" w:eastAsia="黑体"/>
          <w:sz w:val="24"/>
        </w:rPr>
        <w:t>保留文档送交人事行政部之前，部门内部应按照公司统一编号进行归整，标明文档时间、文档内容、文档对象、文档发布人、文档接受人以及文档目的。</w:t>
      </w:r>
    </w:p>
    <w:p>
      <w:pPr>
        <w:pStyle w:val="Normal"/>
        <w:numPr>
          <w:ilvl w:val="2"/>
          <w:numId w:val="14"/>
        </w:numPr>
        <w:spacing w:lineRule="exact" w:line="500"/>
        <w:rPr>
          <w:sz w:val="24"/>
        </w:rPr>
      </w:pPr>
      <w:r>
        <w:rPr>
          <w:rFonts w:ascii="SimHei" w:hAnsi="SimHei" w:eastAsia="黑体"/>
          <w:sz w:val="24"/>
        </w:rPr>
        <w:t>人力资源部定期将公司所有文档软件制作成光盘保存。</w:t>
      </w:r>
    </w:p>
    <w:p>
      <w:pPr>
        <w:pStyle w:val="Normal"/>
        <w:numPr>
          <w:ilvl w:val="2"/>
          <w:numId w:val="14"/>
        </w:numPr>
        <w:spacing w:lineRule="exact" w:line="500"/>
        <w:rPr>
          <w:sz w:val="24"/>
        </w:rPr>
      </w:pPr>
      <w:r>
        <w:rPr>
          <w:rFonts w:ascii="SimHei" w:hAnsi="SimHei" w:eastAsia="黑体"/>
          <w:sz w:val="24"/>
        </w:rPr>
        <w:t>公司资料、文件分为一般、秘密、机密、绝密四个等级。（根据需求而定）</w:t>
      </w:r>
    </w:p>
    <w:p>
      <w:pPr>
        <w:pStyle w:val="Normal"/>
        <w:numPr>
          <w:ilvl w:val="2"/>
          <w:numId w:val="14"/>
        </w:numPr>
        <w:spacing w:lineRule="exact" w:line="500"/>
        <w:rPr/>
      </w:pPr>
      <w:r>
        <w:rPr>
          <w:rFonts w:ascii="SimHei" w:hAnsi="SimHei" w:eastAsia="黑体"/>
          <w:sz w:val="24"/>
        </w:rPr>
        <w:t>员工因工作需要借阅一般资料、文件，应先在管理部进行登记；如需借阅保密级资料文件，应由公司领导签字认可，管理部门登记后方可借阅。</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4"/>
        </w:numPr>
        <w:snapToGrid w:val="true"/>
        <w:spacing w:lineRule="auto" w:line="415" w:before="260" w:after="260"/>
        <w:jc w:val="both"/>
        <w:rPr/>
      </w:pPr>
      <w:bookmarkStart w:id="26" w:name="__RefHeading___Toc427859429"/>
      <w:bookmarkEnd w:id="26"/>
      <w:r>
        <w:rPr>
          <w:rFonts w:ascii="SimHei" w:hAnsi="SimHei" w:eastAsia="黑体"/>
        </w:rPr>
        <w:t>保密制度</w:t>
      </w:r>
    </w:p>
    <w:p>
      <w:pPr>
        <w:pStyle w:val="Normal"/>
        <w:numPr>
          <w:ilvl w:val="2"/>
          <w:numId w:val="26"/>
        </w:numPr>
        <w:spacing w:lineRule="exact" w:line="500"/>
        <w:rPr>
          <w:sz w:val="24"/>
        </w:rPr>
      </w:pPr>
      <w:r>
        <w:rPr>
          <w:rFonts w:ascii="SimHei" w:hAnsi="SimHei" w:eastAsia="黑体"/>
          <w:sz w:val="24"/>
        </w:rPr>
        <w:t>公司一切未经公开披露的业务信息、财务资料、人事信息、招投标资料、合同文件、客户资料、调研和统计信息、技术文件（含设计方案等）、企划营销方案、管理文件、会议内容等，均属企业秘密，职员有保守该秘密的义务，不得擅自复印，未经特许，不得带出公司。当不确定某些具体内容是否为企业秘密时，应由公司鉴定其性质。</w:t>
      </w:r>
    </w:p>
    <w:p>
      <w:pPr>
        <w:pStyle w:val="Normal"/>
        <w:numPr>
          <w:ilvl w:val="2"/>
          <w:numId w:val="26"/>
        </w:numPr>
        <w:spacing w:lineRule="exact" w:line="500"/>
        <w:rPr>
          <w:sz w:val="24"/>
        </w:rPr>
      </w:pPr>
      <w:r>
        <w:rPr>
          <w:rFonts w:ascii="SimHei" w:hAnsi="SimHei" w:eastAsia="黑体"/>
          <w:sz w:val="24"/>
        </w:rPr>
        <w:t>机密文件和资料无需保留时，必须用碎纸机粉碎销毁。</w:t>
      </w:r>
    </w:p>
    <w:p>
      <w:pPr>
        <w:pStyle w:val="Normal"/>
        <w:numPr>
          <w:ilvl w:val="2"/>
          <w:numId w:val="26"/>
        </w:numPr>
        <w:spacing w:lineRule="exact" w:line="500"/>
        <w:rPr>
          <w:sz w:val="24"/>
        </w:rPr>
      </w:pPr>
      <w:r>
        <w:rPr>
          <w:rFonts w:ascii="SimHei" w:hAnsi="SimHei" w:eastAsia="黑体"/>
          <w:sz w:val="24"/>
        </w:rPr>
        <w:t>员工未经公司授权或批准，不准对外提供标有密级的公司文件以及其它未经公开的经营状况、业务数据等资料、信息。</w:t>
      </w:r>
    </w:p>
    <w:p>
      <w:pPr>
        <w:pStyle w:val="Normal"/>
        <w:numPr>
          <w:ilvl w:val="2"/>
          <w:numId w:val="26"/>
        </w:numPr>
        <w:spacing w:lineRule="exact" w:line="500"/>
        <w:rPr>
          <w:sz w:val="24"/>
        </w:rPr>
      </w:pPr>
      <w:r>
        <w:rPr>
          <w:rFonts w:ascii="SimHei" w:hAnsi="SimHei" w:eastAsia="黑体"/>
          <w:sz w:val="24"/>
        </w:rPr>
        <w:t>每位员工应对自己所使用的计算机的信息安全负责。</w:t>
      </w:r>
    </w:p>
    <w:p>
      <w:pPr>
        <w:pStyle w:val="Normal"/>
        <w:numPr>
          <w:ilvl w:val="2"/>
          <w:numId w:val="26"/>
        </w:numPr>
        <w:spacing w:lineRule="exact" w:line="500"/>
        <w:rPr>
          <w:sz w:val="24"/>
        </w:rPr>
      </w:pPr>
      <w:r>
        <w:rPr>
          <w:rFonts w:ascii="SimHei" w:hAnsi="SimHei" w:eastAsia="黑体"/>
          <w:sz w:val="24"/>
        </w:rPr>
        <w:t>职员薪酬属于个人隐私，任何职员不得公开或私下询问、议论。掌握此信息的职员，不得以任何方式泄露。</w:t>
      </w:r>
    </w:p>
    <w:p>
      <w:pPr>
        <w:pStyle w:val="Normal"/>
        <w:numPr>
          <w:ilvl w:val="2"/>
          <w:numId w:val="26"/>
        </w:numPr>
        <w:spacing w:lineRule="exact" w:line="500"/>
        <w:rPr>
          <w:sz w:val="24"/>
        </w:rPr>
      </w:pPr>
      <w:r>
        <w:rPr>
          <w:rFonts w:ascii="SimHei" w:hAnsi="SimHei" w:eastAsia="黑体"/>
          <w:sz w:val="24"/>
        </w:rPr>
        <w:t>职员接受外部邀请进行演讲、交流或授课，应事先征得上司批准，并就可能涉及的有关公司业务的重要内容征求上司意见。</w:t>
      </w:r>
    </w:p>
    <w:p>
      <w:pPr>
        <w:pStyle w:val="Normal"/>
        <w:numPr>
          <w:ilvl w:val="2"/>
          <w:numId w:val="26"/>
        </w:numPr>
        <w:spacing w:lineRule="exact" w:line="500"/>
        <w:rPr>
          <w:sz w:val="24"/>
        </w:rPr>
      </w:pPr>
      <w:r>
        <w:rPr>
          <w:rFonts w:ascii="SimHei" w:hAnsi="SimHei" w:eastAsia="黑体"/>
          <w:sz w:val="24"/>
        </w:rPr>
        <w:t>职员应对各种工作密码保密，不对外提供和泄露。严禁盗用他人密码。</w:t>
      </w:r>
    </w:p>
    <w:p>
      <w:pPr>
        <w:pStyle w:val="Normal"/>
        <w:spacing w:lineRule="exact" w:line="500"/>
        <w:rPr>
          <w:sz w:val="24"/>
        </w:rPr>
      </w:pPr>
      <w:r>
        <w:rPr>
          <w:rFonts w:ascii="SimHei" w:hAnsi="SimHei" w:eastAsia="黑体"/>
          <w:sz w:val="24"/>
        </w:rPr>
      </w:r>
    </w:p>
    <w:p>
      <w:pPr>
        <w:pStyle w:val="Heading2"/>
        <w:rPr/>
      </w:pPr>
      <w:bookmarkStart w:id="27" w:name="__RefHeading___Toc427859430"/>
      <w:bookmarkEnd w:id="27"/>
      <w:r>
        <w:rPr>
          <w:rFonts w:ascii="SimHei" w:hAnsi="SimHei" w:eastAsia="黑体"/>
        </w:rPr>
        <w:t xml:space="preserve">4.12 </w:t>
      </w:r>
      <w:r>
        <w:rPr>
          <w:rFonts w:ascii="SimHei" w:hAnsi="SimHei" w:eastAsia="黑体"/>
        </w:rPr>
        <w:t>奖励制度</w:t>
      </w:r>
    </w:p>
    <w:p>
      <w:pPr>
        <w:pStyle w:val="Normal"/>
        <w:spacing w:lineRule="exact" w:line="500"/>
        <w:rPr/>
      </w:pPr>
      <w:r>
        <w:rPr>
          <w:rFonts w:ascii="SimHei" w:hAnsi="SimHei" w:eastAsia="黑体"/>
          <w:sz w:val="24"/>
        </w:rPr>
        <w:t xml:space="preserve">4.12.1 </w:t>
      </w:r>
      <w:r>
        <w:rPr>
          <w:rFonts w:ascii="SimHei" w:hAnsi="SimHei" w:eastAsia="黑体"/>
          <w:sz w:val="24"/>
        </w:rPr>
        <w:t>有下列情况，公司将予以奖励：</w:t>
      </w:r>
      <w:r>
        <w:rPr>
          <w:rFonts w:eastAsia="黑体" w:ascii="SimHei" w:hAnsi="SimHei"/>
          <w:sz w:val="24"/>
        </w:rPr>
        <w:t xml:space="preserve"> </w:t>
      </w:r>
    </w:p>
    <w:p>
      <w:pPr>
        <w:pStyle w:val="Normal"/>
        <w:numPr>
          <w:ilvl w:val="0"/>
          <w:numId w:val="15"/>
        </w:numPr>
        <w:spacing w:lineRule="exact" w:line="500"/>
        <w:rPr>
          <w:sz w:val="24"/>
        </w:rPr>
      </w:pPr>
      <w:r>
        <w:rPr>
          <w:rFonts w:ascii="SimHei" w:hAnsi="SimHei" w:eastAsia="黑体"/>
          <w:sz w:val="24"/>
        </w:rPr>
        <w:t>为公司创造显著经济效益；</w:t>
      </w:r>
    </w:p>
    <w:p>
      <w:pPr>
        <w:pStyle w:val="Normal"/>
        <w:numPr>
          <w:ilvl w:val="0"/>
          <w:numId w:val="15"/>
        </w:numPr>
        <w:spacing w:lineRule="exact" w:line="500"/>
        <w:rPr>
          <w:sz w:val="24"/>
        </w:rPr>
      </w:pPr>
      <w:r>
        <w:rPr>
          <w:rFonts w:ascii="SimHei" w:hAnsi="SimHei" w:eastAsia="黑体"/>
          <w:sz w:val="24"/>
        </w:rPr>
        <w:t>为公司挽回重大经济损失；</w:t>
      </w:r>
    </w:p>
    <w:p>
      <w:pPr>
        <w:pStyle w:val="Normal"/>
        <w:numPr>
          <w:ilvl w:val="0"/>
          <w:numId w:val="15"/>
        </w:numPr>
        <w:spacing w:lineRule="exact" w:line="500"/>
        <w:rPr>
          <w:sz w:val="24"/>
        </w:rPr>
      </w:pPr>
      <w:r>
        <w:rPr>
          <w:rFonts w:ascii="SimHei" w:hAnsi="SimHei" w:eastAsia="黑体"/>
          <w:sz w:val="24"/>
        </w:rPr>
        <w:t>为公司取得重大社会荣誉；</w:t>
      </w:r>
    </w:p>
    <w:p>
      <w:pPr>
        <w:pStyle w:val="Normal"/>
        <w:numPr>
          <w:ilvl w:val="0"/>
          <w:numId w:val="15"/>
        </w:numPr>
        <w:spacing w:lineRule="exact" w:line="500"/>
        <w:rPr>
          <w:sz w:val="24"/>
        </w:rPr>
      </w:pPr>
      <w:r>
        <w:rPr>
          <w:rFonts w:ascii="SimHei" w:hAnsi="SimHei" w:eastAsia="黑体"/>
          <w:sz w:val="24"/>
        </w:rPr>
        <w:t>改进管理成效显著；</w:t>
      </w:r>
    </w:p>
    <w:p>
      <w:pPr>
        <w:pStyle w:val="Normal"/>
        <w:numPr>
          <w:ilvl w:val="0"/>
          <w:numId w:val="15"/>
        </w:numPr>
        <w:spacing w:lineRule="exact" w:line="500"/>
        <w:rPr/>
      </w:pPr>
      <w:r>
        <w:rPr>
          <w:rFonts w:ascii="SimHei" w:hAnsi="SimHei" w:eastAsia="黑体"/>
          <w:sz w:val="24"/>
        </w:rPr>
        <w:t>培养和举荐人才</w:t>
      </w:r>
      <w:r>
        <w:rPr>
          <w:rFonts w:ascii="SimHei" w:hAnsi="SimHei" w:eastAsia="黑体"/>
          <w:sz w:val="24"/>
        </w:rPr>
        <w:t>；</w:t>
      </w:r>
    </w:p>
    <w:p>
      <w:pPr>
        <w:pStyle w:val="Normal"/>
        <w:spacing w:lineRule="exact" w:line="500"/>
        <w:rPr>
          <w:sz w:val="24"/>
        </w:rPr>
      </w:pPr>
      <w:r>
        <w:rPr>
          <w:rFonts w:cs="宋体;SimSun" w:ascii="SimHei" w:hAnsi="SimHei" w:eastAsia="黑体"/>
          <w:sz w:val="24"/>
        </w:rPr>
        <w:t>……</w:t>
      </w:r>
    </w:p>
    <w:p>
      <w:pPr>
        <w:pStyle w:val="Normal"/>
        <w:numPr>
          <w:ilvl w:val="2"/>
          <w:numId w:val="3"/>
        </w:numPr>
        <w:spacing w:lineRule="exact" w:line="500"/>
        <w:rPr>
          <w:sz w:val="24"/>
        </w:rPr>
      </w:pPr>
      <w:r>
        <w:rPr>
          <w:rFonts w:ascii="SimHei" w:hAnsi="SimHei" w:eastAsia="黑体"/>
          <w:sz w:val="24"/>
        </w:rPr>
        <w:t>奖励分为年度特别奖和不定期即时奖励，年度特别奖须由所在部门推荐，人力资源部审核</w:t>
      </w:r>
      <w:r>
        <w:rPr>
          <w:rFonts w:ascii="SimHei" w:hAnsi="SimHei" w:eastAsia="黑体"/>
          <w:sz w:val="24"/>
        </w:rPr>
        <w:t>，</w:t>
      </w:r>
      <w:r>
        <w:rPr>
          <w:rFonts w:ascii="SimHei" w:hAnsi="SimHei" w:eastAsia="黑体"/>
          <w:sz w:val="24"/>
        </w:rPr>
        <w:t>总经理批准，奖励方式为授予荣誉称号、颁发奖状和奖金。同时公司规定管理人员可对职员的业绩表现、工作态度、敬业精神、管理创新等给予即时奖励。</w:t>
      </w:r>
    </w:p>
    <w:p>
      <w:pPr>
        <w:pStyle w:val="Normal"/>
        <w:numPr>
          <w:ilvl w:val="2"/>
          <w:numId w:val="3"/>
        </w:numPr>
        <w:spacing w:lineRule="exact" w:line="500"/>
        <w:rPr/>
      </w:pPr>
      <w:r>
        <w:rPr>
          <w:rFonts w:ascii="SimHei" w:hAnsi="SimHei" w:eastAsia="黑体"/>
          <w:sz w:val="24"/>
        </w:rPr>
        <w:t>职员在公司服务满十周年，将获得由</w:t>
      </w:r>
      <w:r>
        <w:rPr>
          <w:rFonts w:ascii="SimHei" w:hAnsi="SimHei" w:eastAsia="黑体"/>
          <w:sz w:val="24"/>
        </w:rPr>
        <w:t>公司</w:t>
      </w:r>
      <w:r>
        <w:rPr>
          <w:rFonts w:ascii="SimHei" w:hAnsi="SimHei" w:eastAsia="黑体"/>
          <w:sz w:val="24"/>
        </w:rPr>
        <w:t>领导签发的纪念金牌。</w:t>
      </w:r>
    </w:p>
    <w:p>
      <w:pPr>
        <w:pStyle w:val="Normal"/>
        <w:spacing w:lineRule="exact" w:line="500"/>
        <w:rPr>
          <w:sz w:val="24"/>
        </w:rPr>
      </w:pPr>
      <w:r>
        <w:rPr>
          <w:rFonts w:ascii="SimHei" w:hAnsi="SimHei" w:eastAsia="黑体"/>
          <w:sz w:val="24"/>
        </w:rPr>
      </w:r>
    </w:p>
    <w:p>
      <w:pPr>
        <w:pStyle w:val="Heading2"/>
        <w:rPr/>
      </w:pPr>
      <w:bookmarkStart w:id="28" w:name="__RefHeading___Toc427859431"/>
      <w:bookmarkEnd w:id="28"/>
      <w:r>
        <w:rPr>
          <w:rFonts w:ascii="SimHei" w:hAnsi="SimHei" w:eastAsia="黑体"/>
        </w:rPr>
        <w:t xml:space="preserve">4.13 </w:t>
      </w:r>
      <w:r>
        <w:rPr>
          <w:rFonts w:ascii="SimHei" w:hAnsi="SimHei" w:eastAsia="黑体"/>
        </w:rPr>
        <w:t>处分制度</w:t>
      </w:r>
    </w:p>
    <w:p>
      <w:pPr>
        <w:pStyle w:val="Normal"/>
        <w:spacing w:lineRule="exact" w:line="500"/>
        <w:rPr/>
      </w:pPr>
      <w:r>
        <w:rPr>
          <w:rFonts w:ascii="SimHei" w:hAnsi="SimHei" w:eastAsia="黑体"/>
          <w:sz w:val="24"/>
        </w:rPr>
        <w:t xml:space="preserve">4.13.1 </w:t>
      </w:r>
      <w:r>
        <w:rPr>
          <w:rFonts w:ascii="SimHei" w:hAnsi="SimHei" w:eastAsia="黑体"/>
          <w:sz w:val="24"/>
        </w:rPr>
        <w:t>有以下过失行为之一者，公司将视情节轻重、后果大小、认识态度等的不同，给予不同的处分或经济处罚。情节触犯国家有关法律、法规的，交由国家有关机关处罚。</w:t>
      </w:r>
    </w:p>
    <w:p>
      <w:pPr>
        <w:pStyle w:val="Normal"/>
        <w:numPr>
          <w:ilvl w:val="0"/>
          <w:numId w:val="5"/>
        </w:numPr>
        <w:spacing w:lineRule="exact" w:line="500"/>
        <w:rPr>
          <w:sz w:val="24"/>
        </w:rPr>
      </w:pPr>
      <w:r>
        <w:rPr>
          <w:rFonts w:ascii="SimHei" w:hAnsi="SimHei" w:eastAsia="黑体"/>
          <w:sz w:val="24"/>
        </w:rPr>
        <w:t>玩忽职守造成事故，使公司蒙受较大经济、名誉损失；</w:t>
      </w:r>
    </w:p>
    <w:p>
      <w:pPr>
        <w:pStyle w:val="Normal"/>
        <w:numPr>
          <w:ilvl w:val="0"/>
          <w:numId w:val="5"/>
        </w:numPr>
        <w:spacing w:lineRule="exact" w:line="500"/>
        <w:rPr>
          <w:sz w:val="24"/>
        </w:rPr>
      </w:pPr>
      <w:r>
        <w:rPr>
          <w:rFonts w:ascii="SimHei" w:hAnsi="SimHei" w:eastAsia="黑体"/>
          <w:sz w:val="24"/>
        </w:rPr>
        <w:t>盗窃行为，滥用或蓄意破坏公司财产；</w:t>
      </w:r>
    </w:p>
    <w:p>
      <w:pPr>
        <w:pStyle w:val="Normal"/>
        <w:numPr>
          <w:ilvl w:val="0"/>
          <w:numId w:val="5"/>
        </w:numPr>
        <w:spacing w:lineRule="exact" w:line="500"/>
        <w:rPr>
          <w:sz w:val="24"/>
        </w:rPr>
      </w:pPr>
      <w:r>
        <w:rPr>
          <w:rFonts w:ascii="SimHei" w:hAnsi="SimHei" w:eastAsia="黑体"/>
          <w:sz w:val="24"/>
        </w:rPr>
        <w:t>违反公司规定屡教不改，或违法乱纪受刑事处罚；</w:t>
      </w:r>
    </w:p>
    <w:p>
      <w:pPr>
        <w:pStyle w:val="Normal"/>
        <w:numPr>
          <w:ilvl w:val="0"/>
          <w:numId w:val="5"/>
        </w:numPr>
        <w:spacing w:lineRule="exact" w:line="500"/>
        <w:rPr>
          <w:sz w:val="24"/>
        </w:rPr>
      </w:pPr>
      <w:r>
        <w:rPr>
          <w:rFonts w:ascii="SimHei" w:hAnsi="SimHei" w:eastAsia="黑体"/>
          <w:sz w:val="24"/>
        </w:rPr>
        <w:t>涂改帐目、制造假帐欺骗公司；</w:t>
      </w:r>
    </w:p>
    <w:p>
      <w:pPr>
        <w:pStyle w:val="Normal"/>
        <w:numPr>
          <w:ilvl w:val="0"/>
          <w:numId w:val="5"/>
        </w:numPr>
        <w:spacing w:lineRule="exact" w:line="500"/>
        <w:rPr>
          <w:sz w:val="24"/>
        </w:rPr>
      </w:pPr>
      <w:r>
        <w:rPr>
          <w:rFonts w:ascii="SimHei" w:hAnsi="SimHei" w:eastAsia="黑体"/>
          <w:sz w:val="24"/>
        </w:rPr>
        <w:t>利用工作之便，收受他人贿赂，造成恶劣影响或侵害公司利益；</w:t>
      </w:r>
    </w:p>
    <w:p>
      <w:pPr>
        <w:pStyle w:val="Normal"/>
        <w:numPr>
          <w:ilvl w:val="0"/>
          <w:numId w:val="5"/>
        </w:numPr>
        <w:spacing w:lineRule="exact" w:line="500"/>
        <w:rPr>
          <w:sz w:val="24"/>
        </w:rPr>
      </w:pPr>
      <w:r>
        <w:rPr>
          <w:rFonts w:ascii="SimHei" w:hAnsi="SimHei" w:eastAsia="黑体"/>
          <w:sz w:val="24"/>
        </w:rPr>
        <w:t>蓄意煽动员工闹事或怠工；</w:t>
      </w:r>
    </w:p>
    <w:p>
      <w:pPr>
        <w:pStyle w:val="Normal"/>
        <w:numPr>
          <w:ilvl w:val="0"/>
          <w:numId w:val="5"/>
        </w:numPr>
        <w:spacing w:lineRule="exact" w:line="500"/>
        <w:rPr>
          <w:sz w:val="24"/>
        </w:rPr>
      </w:pPr>
      <w:r>
        <w:rPr>
          <w:rFonts w:ascii="SimHei" w:hAnsi="SimHei" w:eastAsia="黑体"/>
          <w:sz w:val="24"/>
        </w:rPr>
        <w:t>在公司内从事破坏活动、窥探公司业务秘密或泄露任何不利于公司的机密；</w:t>
      </w:r>
    </w:p>
    <w:p>
      <w:pPr>
        <w:pStyle w:val="Normal"/>
        <w:numPr>
          <w:ilvl w:val="0"/>
          <w:numId w:val="5"/>
        </w:numPr>
        <w:spacing w:lineRule="exact" w:line="500"/>
        <w:rPr>
          <w:sz w:val="24"/>
        </w:rPr>
      </w:pPr>
      <w:r>
        <w:rPr>
          <w:rFonts w:ascii="SimHei" w:hAnsi="SimHei" w:eastAsia="黑体"/>
          <w:sz w:val="24"/>
        </w:rPr>
        <w:t>违反、对抗上级主管指令；</w:t>
      </w:r>
    </w:p>
    <w:p>
      <w:pPr>
        <w:pStyle w:val="Normal"/>
        <w:numPr>
          <w:ilvl w:val="0"/>
          <w:numId w:val="5"/>
        </w:numPr>
        <w:spacing w:lineRule="exact" w:line="500"/>
        <w:rPr>
          <w:sz w:val="24"/>
        </w:rPr>
      </w:pPr>
      <w:r>
        <w:rPr>
          <w:rFonts w:ascii="SimHei" w:hAnsi="SimHei" w:eastAsia="黑体"/>
          <w:sz w:val="24"/>
        </w:rPr>
        <w:t>工作时间内经常处理与工作无关的私人事情，且屡教不改；</w:t>
      </w:r>
    </w:p>
    <w:p>
      <w:pPr>
        <w:pStyle w:val="Normal"/>
        <w:numPr>
          <w:ilvl w:val="0"/>
          <w:numId w:val="5"/>
        </w:numPr>
        <w:spacing w:lineRule="exact" w:line="500"/>
        <w:rPr>
          <w:sz w:val="24"/>
        </w:rPr>
      </w:pPr>
      <w:r>
        <w:rPr>
          <w:rFonts w:ascii="SimHei" w:hAnsi="SimHei" w:eastAsia="黑体"/>
          <w:sz w:val="24"/>
        </w:rPr>
        <w:t>故意隐瞒、修改个人资料；</w:t>
      </w:r>
    </w:p>
    <w:p>
      <w:pPr>
        <w:pStyle w:val="Normal"/>
        <w:numPr>
          <w:ilvl w:val="0"/>
          <w:numId w:val="5"/>
        </w:numPr>
        <w:spacing w:lineRule="exact" w:line="500"/>
        <w:rPr>
          <w:sz w:val="24"/>
        </w:rPr>
      </w:pPr>
      <w:r>
        <w:rPr>
          <w:rFonts w:ascii="SimHei" w:hAnsi="SimHei" w:eastAsia="黑体"/>
          <w:sz w:val="24"/>
        </w:rPr>
        <w:t>工作疏忽或失职，通过网络或邮件泄露公司重要机密；</w:t>
      </w:r>
    </w:p>
    <w:p>
      <w:pPr>
        <w:pStyle w:val="Normal"/>
        <w:numPr>
          <w:ilvl w:val="0"/>
          <w:numId w:val="5"/>
        </w:numPr>
        <w:spacing w:lineRule="exact" w:line="500"/>
        <w:rPr>
          <w:sz w:val="24"/>
        </w:rPr>
      </w:pPr>
      <w:r>
        <w:rPr>
          <w:rFonts w:ascii="SimHei" w:hAnsi="SimHei" w:eastAsia="黑体"/>
          <w:sz w:val="24"/>
        </w:rPr>
        <w:t>使用公司网络传播淫秽、反动、反政府或对公司有攻击性的言论、邮件、文件、图片，造成恶劣影响；</w:t>
      </w:r>
    </w:p>
    <w:p>
      <w:pPr>
        <w:pStyle w:val="Normal"/>
        <w:numPr>
          <w:ilvl w:val="0"/>
          <w:numId w:val="5"/>
        </w:numPr>
        <w:spacing w:lineRule="exact" w:line="500"/>
        <w:rPr>
          <w:sz w:val="24"/>
        </w:rPr>
      </w:pPr>
      <w:r>
        <w:rPr>
          <w:rFonts w:ascii="SimHei" w:hAnsi="SimHei" w:eastAsia="黑体"/>
          <w:sz w:val="24"/>
        </w:rPr>
        <w:t>恶意攻击公司网络，造成网络瘫痪；</w:t>
      </w:r>
    </w:p>
    <w:p>
      <w:pPr>
        <w:pStyle w:val="Normal"/>
        <w:numPr>
          <w:ilvl w:val="0"/>
          <w:numId w:val="5"/>
        </w:numPr>
        <w:spacing w:lineRule="exact" w:line="500"/>
        <w:rPr>
          <w:sz w:val="24"/>
        </w:rPr>
      </w:pPr>
      <w:r>
        <w:rPr>
          <w:rFonts w:ascii="SimHei" w:hAnsi="SimHei" w:eastAsia="黑体"/>
          <w:sz w:val="24"/>
        </w:rPr>
        <w:t>擅自进入他人信箱，窃取他人机密资料或侵犯他人隐私，造成严重后果；</w:t>
      </w:r>
    </w:p>
    <w:p>
      <w:pPr>
        <w:pStyle w:val="Normal"/>
        <w:numPr>
          <w:ilvl w:val="0"/>
          <w:numId w:val="5"/>
        </w:numPr>
        <w:spacing w:lineRule="exact" w:line="500"/>
        <w:rPr>
          <w:sz w:val="24"/>
        </w:rPr>
      </w:pPr>
      <w:r>
        <w:rPr>
          <w:rFonts w:ascii="SimHei" w:hAnsi="SimHei" w:eastAsia="黑体"/>
          <w:sz w:val="24"/>
        </w:rPr>
        <w:t>未经允许，擅自安装计算机系统服务器软件，网络监控软件或网络硬件设施，造成公司网络无法正常运作；</w:t>
      </w:r>
    </w:p>
    <w:p>
      <w:pPr>
        <w:pStyle w:val="Normal"/>
        <w:numPr>
          <w:ilvl w:val="0"/>
          <w:numId w:val="5"/>
        </w:numPr>
        <w:spacing w:lineRule="exact" w:line="500"/>
        <w:rPr>
          <w:sz w:val="24"/>
        </w:rPr>
      </w:pPr>
      <w:r>
        <w:rPr>
          <w:rFonts w:ascii="SimHei" w:hAnsi="SimHei" w:eastAsia="黑体"/>
          <w:sz w:val="24"/>
        </w:rPr>
        <w:t>不经检查或擅自卸载防病毒程序而造成病毒传播，工作用机系统瘫痪或他人用机系统瘫痪；</w:t>
      </w:r>
    </w:p>
    <w:p>
      <w:pPr>
        <w:pStyle w:val="Normal"/>
        <w:numPr>
          <w:ilvl w:val="0"/>
          <w:numId w:val="5"/>
        </w:numPr>
        <w:spacing w:lineRule="exact" w:line="500"/>
        <w:rPr>
          <w:sz w:val="24"/>
        </w:rPr>
      </w:pPr>
      <w:r>
        <w:rPr>
          <w:rFonts w:ascii="SimHei" w:hAnsi="SimHei" w:eastAsia="黑体"/>
          <w:sz w:val="24"/>
        </w:rPr>
        <w:t>无故迟到、早退、缺勤、旷工；</w:t>
      </w:r>
    </w:p>
    <w:p>
      <w:pPr>
        <w:pStyle w:val="Normal"/>
        <w:numPr>
          <w:ilvl w:val="0"/>
          <w:numId w:val="5"/>
        </w:numPr>
        <w:spacing w:lineRule="exact" w:line="500"/>
        <w:rPr>
          <w:sz w:val="24"/>
        </w:rPr>
      </w:pPr>
      <w:r>
        <w:rPr>
          <w:rFonts w:ascii="SimHei" w:hAnsi="SimHei" w:eastAsia="黑体"/>
          <w:sz w:val="24"/>
        </w:rPr>
        <w:t>工作时间着装不整，行为不检、有对他人不礼貌的言辞或行为（如侮辱同事、性骚扰等）；</w:t>
      </w:r>
    </w:p>
    <w:p>
      <w:pPr>
        <w:pStyle w:val="Normal"/>
        <w:numPr>
          <w:ilvl w:val="0"/>
          <w:numId w:val="5"/>
        </w:numPr>
        <w:spacing w:lineRule="exact" w:line="500"/>
        <w:rPr>
          <w:sz w:val="24"/>
        </w:rPr>
      </w:pPr>
      <w:r>
        <w:rPr>
          <w:rFonts w:ascii="SimHei" w:hAnsi="SimHei" w:eastAsia="黑体"/>
          <w:sz w:val="24"/>
        </w:rPr>
        <w:t>破坏办公区环境，经常在办公区内高声喧哗；</w:t>
      </w:r>
    </w:p>
    <w:p>
      <w:pPr>
        <w:pStyle w:val="Normal"/>
        <w:numPr>
          <w:ilvl w:val="0"/>
          <w:numId w:val="5"/>
        </w:numPr>
        <w:spacing w:lineRule="exact" w:line="500"/>
        <w:rPr>
          <w:sz w:val="24"/>
        </w:rPr>
      </w:pPr>
      <w:r>
        <w:rPr>
          <w:rFonts w:ascii="SimHei" w:hAnsi="SimHei" w:eastAsia="黑体"/>
          <w:sz w:val="24"/>
        </w:rPr>
        <w:t>安装盗版软件，造成工作用机系统瘫痪；</w:t>
      </w:r>
    </w:p>
    <w:p>
      <w:pPr>
        <w:pStyle w:val="Normal"/>
        <w:numPr>
          <w:ilvl w:val="0"/>
          <w:numId w:val="5"/>
        </w:numPr>
        <w:spacing w:lineRule="exact" w:line="500"/>
        <w:rPr>
          <w:sz w:val="24"/>
        </w:rPr>
      </w:pPr>
      <w:r>
        <w:rPr>
          <w:rFonts w:ascii="SimHei" w:hAnsi="SimHei" w:eastAsia="黑体"/>
          <w:sz w:val="24"/>
        </w:rPr>
        <w:t>擅自安装硬件设备造成计算机死机。</w:t>
      </w:r>
    </w:p>
    <w:p>
      <w:pPr>
        <w:pStyle w:val="Normal"/>
        <w:spacing w:lineRule="exact" w:line="500"/>
        <w:rPr/>
      </w:pPr>
      <w:r>
        <w:rPr>
          <w:rFonts w:ascii="SimHei" w:hAnsi="SimHei" w:eastAsia="黑体"/>
          <w:sz w:val="24"/>
        </w:rPr>
        <w:t xml:space="preserve">4.13.2 </w:t>
      </w:r>
      <w:r>
        <w:rPr>
          <w:rFonts w:ascii="SimHei" w:hAnsi="SimHei" w:eastAsia="黑体"/>
          <w:sz w:val="24"/>
        </w:rPr>
        <w:t>对以上过失行为处分办法如下：</w:t>
      </w:r>
    </w:p>
    <w:p>
      <w:pPr>
        <w:pStyle w:val="Normal"/>
        <w:numPr>
          <w:ilvl w:val="0"/>
          <w:numId w:val="29"/>
        </w:numPr>
        <w:spacing w:lineRule="exact" w:line="500"/>
        <w:rPr>
          <w:sz w:val="24"/>
        </w:rPr>
      </w:pPr>
      <w:r>
        <w:rPr>
          <w:rFonts w:ascii="SimHei" w:hAnsi="SimHei" w:eastAsia="黑体"/>
          <w:sz w:val="24"/>
        </w:rPr>
        <w:t>辞退（触犯国家有关法律法规者交司法机关处理）</w:t>
      </w:r>
    </w:p>
    <w:p>
      <w:pPr>
        <w:pStyle w:val="Normal"/>
        <w:numPr>
          <w:ilvl w:val="0"/>
          <w:numId w:val="29"/>
        </w:numPr>
        <w:spacing w:lineRule="exact" w:line="500"/>
        <w:rPr>
          <w:sz w:val="24"/>
        </w:rPr>
      </w:pPr>
      <w:r>
        <w:rPr>
          <w:rFonts w:ascii="SimHei" w:hAnsi="SimHei" w:eastAsia="黑体"/>
          <w:sz w:val="24"/>
        </w:rPr>
        <w:t>书面警告、降职、降级</w:t>
      </w:r>
    </w:p>
    <w:p>
      <w:pPr>
        <w:pStyle w:val="Normal"/>
        <w:numPr>
          <w:ilvl w:val="0"/>
          <w:numId w:val="29"/>
        </w:numPr>
        <w:spacing w:lineRule="exact" w:line="500"/>
        <w:rPr>
          <w:sz w:val="24"/>
        </w:rPr>
      </w:pPr>
      <w:r>
        <w:rPr>
          <w:rFonts w:ascii="SimHei" w:hAnsi="SimHei" w:eastAsia="黑体"/>
          <w:sz w:val="24"/>
        </w:rPr>
        <w:t>口头警告、通报批评</w:t>
      </w:r>
    </w:p>
    <w:p>
      <w:pPr>
        <w:pStyle w:val="Normal"/>
        <w:spacing w:lineRule="exact" w:line="500"/>
        <w:rPr/>
      </w:pPr>
      <w:r>
        <w:rPr>
          <w:rFonts w:ascii="SimHei" w:hAnsi="SimHei" w:eastAsia="黑体"/>
          <w:sz w:val="24"/>
        </w:rPr>
        <w:t xml:space="preserve">4.13.3 </w:t>
      </w:r>
      <w:r>
        <w:rPr>
          <w:rFonts w:ascii="SimHei" w:hAnsi="SimHei" w:eastAsia="黑体"/>
          <w:sz w:val="24"/>
        </w:rPr>
        <w:t>公司在处理员工违纪行为时，本着实事求是的原则，遵照公司其它行政管理规定，进行彻底深入调查，并保留每位员工的处理结果。</w:t>
      </w:r>
    </w:p>
    <w:p>
      <w:pPr>
        <w:pStyle w:val="Normal"/>
        <w:spacing w:lineRule="exact" w:line="500"/>
        <w:rPr>
          <w:sz w:val="24"/>
        </w:rPr>
      </w:pPr>
      <w:r>
        <w:rPr>
          <w:rFonts w:ascii="SimHei" w:hAnsi="SimHei" w:eastAsia="黑体"/>
          <w:sz w:val="24"/>
        </w:rPr>
      </w:r>
    </w:p>
    <w:p>
      <w:pPr>
        <w:pStyle w:val="Heading2"/>
        <w:rPr/>
      </w:pPr>
      <w:bookmarkStart w:id="29" w:name="__RefHeading___Toc427859432"/>
      <w:bookmarkEnd w:id="29"/>
      <w:r>
        <w:rPr>
          <w:rFonts w:ascii="SimHei" w:hAnsi="SimHei" w:eastAsia="黑体"/>
        </w:rPr>
        <w:t xml:space="preserve">4.14 </w:t>
      </w:r>
      <w:r>
        <w:rPr>
          <w:rFonts w:ascii="SimHei" w:hAnsi="SimHei" w:eastAsia="黑体"/>
        </w:rPr>
        <w:t>其它（相关人事及行政管理制度）</w:t>
      </w:r>
    </w:p>
    <w:p>
      <w:pPr>
        <w:pStyle w:val="Normal"/>
        <w:spacing w:lineRule="exact" w:line="500"/>
        <w:ind w:firstLine="422"/>
        <w:rPr/>
      </w:pPr>
      <w:r>
        <w:rPr>
          <w:rFonts w:ascii="SimHei" w:hAnsi="SimHei" w:eastAsia="黑体"/>
          <w:b/>
          <w:szCs w:val="21"/>
        </w:rPr>
        <w:t>该部分为部分补充性的人事管理制度，具体可根据企业的实际需求突出所需内容，相关内容请参照详细文件，如办公管理规定、公司财务制度等。</w:t>
      </w:r>
    </w:p>
    <w:p>
      <w:pPr>
        <w:pStyle w:val="Normal"/>
        <w:spacing w:lineRule="exact" w:line="500"/>
        <w:rPr>
          <w:sz w:val="24"/>
        </w:rPr>
      </w:pPr>
      <w:r>
        <w:rPr>
          <w:rFonts w:ascii="SimHei" w:hAnsi="SimHei" w:eastAsia="黑体"/>
          <w:sz w:val="24"/>
        </w:rPr>
        <w:t xml:space="preserve">4.14.1 </w:t>
      </w:r>
      <w:r>
        <w:rPr>
          <w:rFonts w:ascii="SimHei" w:hAnsi="SimHei" w:eastAsia="黑体"/>
          <w:sz w:val="24"/>
        </w:rPr>
        <w:t>接待制度</w:t>
      </w:r>
    </w:p>
    <w:p>
      <w:pPr>
        <w:pStyle w:val="Normal"/>
        <w:spacing w:lineRule="exact" w:line="500"/>
        <w:ind w:firstLine="480"/>
        <w:rPr>
          <w:sz w:val="24"/>
        </w:rPr>
      </w:pPr>
      <w:r>
        <w:rPr>
          <w:rFonts w:ascii="SimHei" w:hAnsi="SimHei" w:eastAsia="黑体"/>
          <w:sz w:val="24"/>
        </w:rPr>
        <w:t>为保障公司机密安全，原则上公司以外的任何人员均不得进入公司办公区域。所有来访客人，均由前台秘书代为接待，请在前台座椅或前台接待室中等待。前台秘书电话通知被访者到前台接待，并由前台秘书做登记内容。如果特殊原因，来访客人需要进入办公区域，必须由被访者带领进入公司，并由被访者保证送出公司。总监以上的客人，由前台秘书电话通知总监秘书出来接待，将客人带领至总监办公室。</w:t>
      </w:r>
    </w:p>
    <w:p>
      <w:pPr>
        <w:pStyle w:val="Normal"/>
        <w:spacing w:lineRule="exact" w:line="500"/>
        <w:rPr/>
      </w:pPr>
      <w:r>
        <w:rPr>
          <w:rFonts w:ascii="SimHei" w:hAnsi="SimHei" w:eastAsia="黑体"/>
          <w:sz w:val="24"/>
        </w:rPr>
        <w:t xml:space="preserve">4.14.2 </w:t>
      </w:r>
      <w:r>
        <w:rPr>
          <w:rFonts w:ascii="SimHei" w:hAnsi="SimHei" w:eastAsia="黑体"/>
          <w:sz w:val="24"/>
        </w:rPr>
        <w:t>会议室使用制度</w:t>
      </w:r>
      <w:r>
        <w:rPr>
          <w:rFonts w:eastAsia="黑体" w:ascii="SimHei" w:hAnsi="SimHei"/>
          <w:sz w:val="24"/>
        </w:rPr>
        <w:t xml:space="preserve"> </w:t>
      </w:r>
    </w:p>
    <w:p>
      <w:pPr>
        <w:pStyle w:val="Normal"/>
        <w:spacing w:lineRule="exact" w:line="500"/>
        <w:ind w:firstLine="480"/>
        <w:rPr/>
      </w:pPr>
      <w:r>
        <w:rPr>
          <w:rFonts w:ascii="SimHei" w:hAnsi="SimHei" w:eastAsia="黑体"/>
          <w:sz w:val="24"/>
        </w:rPr>
        <w:t>会议室的使用由人力资源部指定的前台秘书统一安排，如果需要使用会议室，请提前与前台秘书预定。如果使用发生碰撞，由前台秘书根据会议时间的缓急做统一安排。如需要在会议期间使用新的办公用品、饮料等，请提前向人力资源部门提出申请，人力资源部在认为合理的情况下，将在会议前做好准备。</w:t>
      </w:r>
    </w:p>
    <w:p>
      <w:pPr>
        <w:pStyle w:val="Normal"/>
        <w:spacing w:lineRule="exact" w:line="500"/>
        <w:rPr/>
      </w:pPr>
      <w:r>
        <w:rPr>
          <w:rFonts w:ascii="SimHei" w:hAnsi="SimHei" w:eastAsia="黑体"/>
          <w:sz w:val="24"/>
        </w:rPr>
        <w:t xml:space="preserve">4.14.3 </w:t>
      </w:r>
      <w:r>
        <w:rPr>
          <w:rFonts w:ascii="SimHei" w:hAnsi="SimHei" w:eastAsia="黑体"/>
          <w:sz w:val="24"/>
        </w:rPr>
        <w:t>胸卡制度（略）</w:t>
      </w:r>
      <w:r>
        <w:rPr>
          <w:rFonts w:eastAsia="黑体" w:ascii="SimHei" w:hAnsi="SimHei"/>
          <w:sz w:val="24"/>
        </w:rPr>
        <w:t xml:space="preserve"> </w:t>
      </w:r>
    </w:p>
    <w:p>
      <w:pPr>
        <w:pStyle w:val="Normal"/>
        <w:spacing w:lineRule="exact" w:line="500"/>
        <w:rPr>
          <w:sz w:val="24"/>
        </w:rPr>
      </w:pPr>
      <w:r>
        <w:rPr>
          <w:rFonts w:ascii="SimHei" w:hAnsi="SimHei" w:eastAsia="黑体"/>
          <w:sz w:val="24"/>
        </w:rPr>
        <w:t xml:space="preserve">4.14.4 </w:t>
      </w:r>
      <w:r>
        <w:rPr>
          <w:rFonts w:ascii="SimHei" w:hAnsi="SimHei" w:eastAsia="黑体"/>
          <w:sz w:val="24"/>
        </w:rPr>
        <w:t>办公用品管理制度（略）</w:t>
      </w:r>
      <w:r>
        <w:rPr>
          <w:rFonts w:eastAsia="黑体" w:ascii="SimHei" w:hAnsi="SimHei"/>
          <w:sz w:val="24"/>
        </w:rPr>
        <w:t xml:space="preserve"> </w:t>
      </w:r>
    </w:p>
    <w:p>
      <w:pPr>
        <w:pStyle w:val="Normal"/>
        <w:spacing w:lineRule="exact" w:line="500"/>
        <w:rPr>
          <w:sz w:val="24"/>
        </w:rPr>
      </w:pPr>
      <w:r>
        <w:rPr>
          <w:rFonts w:ascii="SimHei" w:hAnsi="SimHei" w:eastAsia="黑体"/>
          <w:sz w:val="24"/>
        </w:rPr>
        <w:t xml:space="preserve">4.14.5 </w:t>
      </w:r>
      <w:r>
        <w:rPr>
          <w:rFonts w:ascii="SimHei" w:hAnsi="SimHei" w:eastAsia="黑体"/>
          <w:sz w:val="24"/>
        </w:rPr>
        <w:t>员工报销制度（略）</w:t>
      </w:r>
    </w:p>
    <w:p>
      <w:pPr>
        <w:pStyle w:val="Normal"/>
        <w:spacing w:lineRule="exact" w:line="500"/>
        <w:rPr>
          <w:sz w:val="24"/>
        </w:rPr>
      </w:pPr>
      <w:r>
        <w:rPr>
          <w:rFonts w:ascii="SimHei" w:hAnsi="SimHei" w:eastAsia="黑体"/>
          <w:sz w:val="24"/>
        </w:rPr>
        <w:t xml:space="preserve">4.14.6 </w:t>
      </w:r>
      <w:r>
        <w:rPr>
          <w:rFonts w:ascii="SimHei" w:hAnsi="SimHei" w:eastAsia="黑体"/>
          <w:sz w:val="24"/>
        </w:rPr>
        <w:t>固定资产的使用（略）</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）个人计算机的使用</w:t>
      </w:r>
      <w:r>
        <w:rPr>
          <w:rFonts w:eastAsia="黑体" w:ascii="SimHei" w:hAnsi="SimHei"/>
          <w:sz w:val="24"/>
        </w:rPr>
        <w:t xml:space="preserve">  </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）投影仪的使用</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）打印机的使用</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）传真机的使用</w:t>
      </w:r>
    </w:p>
    <w:p>
      <w:pPr>
        <w:pStyle w:val="Normal"/>
        <w:spacing w:lineRule="exact" w:line="500"/>
        <w:ind w:firstLine="600"/>
        <w:rPr>
          <w:sz w:val="24"/>
        </w:rPr>
      </w:pPr>
      <w:r>
        <w:rPr>
          <w:rFonts w:ascii="SimHei" w:hAnsi="SimHei" w:eastAsia="黑体"/>
          <w:sz w:val="24"/>
        </w:rPr>
        <w:t>（</w:t>
      </w:r>
      <w:r>
        <w:rPr>
          <w:rFonts w:ascii="SimHei" w:hAnsi="SimHei" w:eastAsia="黑体"/>
          <w:sz w:val="24"/>
        </w:rPr>
        <w:t>5</w:t>
      </w:r>
      <w:r>
        <w:rPr>
          <w:rFonts w:ascii="SimHei" w:hAnsi="SimHei" w:eastAsia="黑体"/>
          <w:sz w:val="24"/>
        </w:rPr>
        <w:t>）复印机的使用</w:t>
      </w:r>
    </w:p>
    <w:p>
      <w:pPr>
        <w:pStyle w:val="Normal"/>
        <w:spacing w:lineRule="exact" w:line="500"/>
        <w:ind w:firstLine="600"/>
        <w:rPr>
          <w:sz w:val="24"/>
        </w:rPr>
      </w:pPr>
      <w:r>
        <w:rPr>
          <w:rFonts w:ascii="SimHei" w:hAnsi="SimHei" w:eastAsia="黑体"/>
          <w:sz w:val="24"/>
        </w:rPr>
        <w:t>（</w:t>
      </w:r>
      <w:r>
        <w:rPr>
          <w:rFonts w:ascii="SimHei" w:hAnsi="SimHei" w:eastAsia="黑体"/>
          <w:sz w:val="24"/>
        </w:rPr>
        <w:t>6</w:t>
      </w:r>
      <w:r>
        <w:rPr>
          <w:rFonts w:ascii="SimHei" w:hAnsi="SimHei" w:eastAsia="黑体"/>
          <w:sz w:val="24"/>
        </w:rPr>
        <w:t>）冰箱的使用</w:t>
      </w:r>
    </w:p>
    <w:p>
      <w:pPr>
        <w:pStyle w:val="Normal"/>
        <w:spacing w:lineRule="exact" w:line="500"/>
        <w:ind w:firstLine="600"/>
        <w:rPr>
          <w:sz w:val="24"/>
        </w:rPr>
      </w:pPr>
      <w:r>
        <w:rPr>
          <w:rFonts w:ascii="SimHei" w:hAnsi="SimHei" w:eastAsia="黑体"/>
          <w:sz w:val="24"/>
        </w:rPr>
        <w:t>（</w:t>
      </w:r>
      <w:r>
        <w:rPr>
          <w:rFonts w:ascii="SimHei" w:hAnsi="SimHei" w:eastAsia="黑体"/>
          <w:sz w:val="24"/>
        </w:rPr>
        <w:t>7</w:t>
      </w:r>
      <w:r>
        <w:rPr>
          <w:rFonts w:ascii="SimHei" w:hAnsi="SimHei" w:eastAsia="黑体"/>
          <w:sz w:val="24"/>
        </w:rPr>
        <w:t>）微波炉的使用</w:t>
      </w:r>
    </w:p>
    <w:p>
      <w:pPr>
        <w:pStyle w:val="Normal"/>
        <w:spacing w:lineRule="exact" w:line="500"/>
        <w:ind w:firstLine="600"/>
        <w:rPr>
          <w:sz w:val="24"/>
        </w:rPr>
      </w:pPr>
      <w:r>
        <w:rPr>
          <w:rFonts w:cs="宋体;SimSun" w:ascii="SimHei" w:hAnsi="SimHei" w:eastAsia="黑体"/>
          <w:sz w:val="24"/>
        </w:rPr>
        <w:t>……</w:t>
      </w:r>
    </w:p>
    <w:p>
      <w:pPr>
        <w:pStyle w:val="Normal"/>
        <w:spacing w:lineRule="exact" w:line="500"/>
        <w:rPr>
          <w:sz w:val="24"/>
        </w:rPr>
      </w:pPr>
      <w:r>
        <w:rPr>
          <w:rFonts w:ascii="SimHei" w:hAnsi="SimHei" w:eastAsia="黑体"/>
          <w:sz w:val="24"/>
        </w:rPr>
        <w:t xml:space="preserve">4.14.7 </w:t>
      </w:r>
      <w:r>
        <w:rPr>
          <w:rFonts w:ascii="SimHei" w:hAnsi="SimHei" w:eastAsia="黑体"/>
          <w:sz w:val="24"/>
        </w:rPr>
        <w:t>车辆及司机的管理（略）</w:t>
      </w:r>
    </w:p>
    <w:p>
      <w:pPr>
        <w:pStyle w:val="Normal"/>
        <w:spacing w:lineRule="exact" w:line="500"/>
        <w:rPr>
          <w:sz w:val="24"/>
        </w:rPr>
      </w:pPr>
      <w:r>
        <w:rPr>
          <w:rFonts w:ascii="SimHei" w:hAnsi="SimHei" w:eastAsia="黑体"/>
          <w:sz w:val="24"/>
        </w:rPr>
        <w:t xml:space="preserve">4.14.8 </w:t>
      </w:r>
      <w:r>
        <w:rPr>
          <w:rFonts w:ascii="SimHei" w:hAnsi="SimHei" w:eastAsia="黑体"/>
          <w:sz w:val="24"/>
        </w:rPr>
        <w:t>非固定资产的管理（略）</w:t>
      </w:r>
    </w:p>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）办公用品的领用、购买管理</w:t>
      </w:r>
    </w:p>
    <w:p>
      <w:pPr>
        <w:pStyle w:val="Normal"/>
        <w:spacing w:lineRule="exact" w:line="500"/>
        <w:ind w:firstLine="480"/>
        <w:rPr/>
      </w:pPr>
      <w:r>
        <w:rPr>
          <w:rFonts w:ascii="SimHei" w:hAnsi="SimHei" w:eastAsia="黑体"/>
          <w:sz w:val="24"/>
        </w:rPr>
        <w:t>（</w:t>
      </w:r>
      <w:r>
        <w:rPr>
          <w:rFonts w:ascii="SimHei" w:hAnsi="SimHei" w:eastAsia="黑体"/>
          <w:sz w:val="24"/>
        </w:rPr>
        <w:t>2</w:t>
      </w:r>
      <w:r>
        <w:rPr>
          <w:rFonts w:ascii="SimHei" w:hAnsi="SimHei" w:eastAsia="黑体"/>
          <w:sz w:val="24"/>
        </w:rPr>
        <w:t>）信件发放管理</w:t>
      </w:r>
    </w:p>
    <w:p>
      <w:pPr>
        <w:pStyle w:val="Normal"/>
        <w:spacing w:lineRule="exact" w:line="500"/>
        <w:rPr/>
      </w:pPr>
      <w:r>
        <w:rPr>
          <w:rFonts w:eastAsia="黑体" w:ascii="SimHei" w:hAnsi="SimHei"/>
          <w:sz w:val="24"/>
        </w:rPr>
        <w:t xml:space="preserve">    </w:t>
      </w:r>
      <w:r>
        <w:rPr>
          <w:rFonts w:ascii="SimHei" w:hAnsi="SimHei" w:eastAsia="黑体"/>
          <w:sz w:val="24"/>
        </w:rPr>
        <w:t>（</w:t>
      </w:r>
      <w:r>
        <w:rPr>
          <w:rFonts w:ascii="SimHei" w:hAnsi="SimHei" w:eastAsia="黑体"/>
          <w:sz w:val="24"/>
        </w:rPr>
        <w:t>3</w:t>
      </w:r>
      <w:r>
        <w:rPr>
          <w:rFonts w:ascii="SimHei" w:hAnsi="SimHei" w:eastAsia="黑体"/>
          <w:sz w:val="24"/>
        </w:rPr>
        <w:t>）电话的使用</w:t>
      </w:r>
    </w:p>
    <w:p>
      <w:pPr>
        <w:pStyle w:val="Normal"/>
        <w:spacing w:lineRule="exact" w:line="500"/>
        <w:ind w:firstLine="480"/>
        <w:rPr>
          <w:sz w:val="24"/>
        </w:rPr>
      </w:pPr>
      <w:r>
        <w:rPr>
          <w:rFonts w:ascii="SimHei" w:hAnsi="SimHei" w:eastAsia="黑体"/>
          <w:sz w:val="24"/>
        </w:rPr>
        <w:t>（</w:t>
      </w:r>
      <w:r>
        <w:rPr>
          <w:rFonts w:ascii="SimHei" w:hAnsi="SimHei" w:eastAsia="黑体"/>
          <w:sz w:val="24"/>
        </w:rPr>
        <w:t>4</w:t>
      </w:r>
      <w:r>
        <w:rPr>
          <w:rFonts w:ascii="SimHei" w:hAnsi="SimHei" w:eastAsia="黑体"/>
          <w:sz w:val="24"/>
        </w:rPr>
        <w:t>）移动电话的使用（包括通讯费用报销制度）</w:t>
      </w:r>
    </w:p>
    <w:p>
      <w:pPr>
        <w:pStyle w:val="Normal"/>
        <w:spacing w:lineRule="exact" w:line="500"/>
        <w:ind w:firstLine="480"/>
        <w:rPr/>
      </w:pPr>
      <w:r>
        <w:rPr>
          <w:rFonts w:ascii="SimHei" w:hAnsi="SimHei" w:eastAsia="黑体"/>
          <w:sz w:val="24"/>
        </w:rPr>
        <w:t>（</w:t>
      </w:r>
      <w:r>
        <w:rPr>
          <w:rFonts w:ascii="SimHei" w:hAnsi="SimHei" w:eastAsia="黑体"/>
          <w:sz w:val="24"/>
        </w:rPr>
        <w:t>5</w:t>
      </w:r>
      <w:r>
        <w:rPr>
          <w:rFonts w:ascii="SimHei" w:hAnsi="SimHei" w:eastAsia="黑体"/>
          <w:sz w:val="24"/>
        </w:rPr>
        <w:t>）电子邮件的使用</w:t>
      </w:r>
    </w:p>
    <w:p>
      <w:pPr>
        <w:pStyle w:val="Normal"/>
        <w:spacing w:lineRule="exact" w:line="500"/>
        <w:ind w:firstLine="480"/>
        <w:rPr/>
      </w:pPr>
      <w:r>
        <w:rPr>
          <w:rFonts w:ascii="SimHei" w:hAnsi="SimHei" w:eastAsia="黑体"/>
          <w:sz w:val="24"/>
        </w:rPr>
        <w:t>（</w:t>
      </w:r>
      <w:r>
        <w:rPr>
          <w:rFonts w:ascii="SimHei" w:hAnsi="SimHei" w:eastAsia="黑体"/>
          <w:sz w:val="24"/>
        </w:rPr>
        <w:t>6</w:t>
      </w:r>
      <w:r>
        <w:rPr>
          <w:rFonts w:ascii="SimHei" w:hAnsi="SimHei" w:eastAsia="黑体"/>
          <w:sz w:val="24"/>
        </w:rPr>
        <w:t>）名片的印制</w:t>
      </w:r>
    </w:p>
    <w:p>
      <w:pPr>
        <w:pStyle w:val="Normal"/>
        <w:spacing w:lineRule="exact" w:line="500"/>
        <w:ind w:firstLine="480"/>
        <w:rPr>
          <w:sz w:val="24"/>
        </w:rPr>
      </w:pPr>
      <w:r>
        <w:rPr>
          <w:rFonts w:ascii="SimHei" w:hAnsi="SimHei" w:eastAsia="黑体"/>
          <w:sz w:val="24"/>
        </w:rPr>
        <w:t>（</w:t>
      </w:r>
      <w:r>
        <w:rPr>
          <w:rFonts w:ascii="SimHei" w:hAnsi="SimHei" w:eastAsia="黑体"/>
          <w:sz w:val="24"/>
        </w:rPr>
        <w:t>7</w:t>
      </w:r>
      <w:r>
        <w:rPr>
          <w:rFonts w:ascii="SimHei" w:hAnsi="SimHei" w:eastAsia="黑体"/>
          <w:sz w:val="24"/>
        </w:rPr>
        <w:t>）公章的管理</w:t>
      </w:r>
    </w:p>
    <w:p>
      <w:pPr>
        <w:pStyle w:val="Normal"/>
        <w:spacing w:lineRule="exact" w:line="500"/>
        <w:ind w:firstLine="480"/>
        <w:rPr/>
      </w:pPr>
      <w:r>
        <w:rPr>
          <w:rFonts w:ascii="SimHei" w:hAnsi="SimHei" w:eastAsia="黑体"/>
          <w:sz w:val="24"/>
        </w:rPr>
        <w:t>（</w:t>
      </w:r>
      <w:r>
        <w:rPr>
          <w:rFonts w:ascii="SimHei" w:hAnsi="SimHei" w:eastAsia="黑体"/>
          <w:sz w:val="24"/>
        </w:rPr>
        <w:t>8</w:t>
      </w:r>
      <w:r>
        <w:rPr>
          <w:rFonts w:ascii="SimHei" w:hAnsi="SimHei" w:eastAsia="黑体"/>
          <w:sz w:val="24"/>
        </w:rPr>
        <w:t>）办公钥匙的管理</w:t>
      </w:r>
    </w:p>
    <w:p>
      <w:pPr>
        <w:pStyle w:val="Normal"/>
        <w:spacing w:lineRule="exact" w:line="500"/>
        <w:rPr>
          <w:sz w:val="24"/>
        </w:rPr>
      </w:pPr>
      <w:r>
        <w:rPr>
          <w:rFonts w:ascii="SimHei" w:hAnsi="SimHei" w:eastAsia="黑体"/>
          <w:sz w:val="24"/>
        </w:rPr>
        <w:t xml:space="preserve">4.14.9 </w:t>
      </w:r>
      <w:r>
        <w:rPr>
          <w:rFonts w:ascii="SimHei" w:hAnsi="SimHei" w:eastAsia="黑体"/>
          <w:sz w:val="24"/>
        </w:rPr>
        <w:t>图书借阅制度（略）</w:t>
      </w:r>
    </w:p>
    <w:p>
      <w:pPr>
        <w:pStyle w:val="Normal"/>
        <w:spacing w:lineRule="exact" w:line="500"/>
        <w:rPr>
          <w:sz w:val="24"/>
        </w:rPr>
      </w:pPr>
      <w:r>
        <w:rPr>
          <w:rFonts w:ascii="SimHei" w:hAnsi="SimHei" w:eastAsia="黑体"/>
          <w:sz w:val="24"/>
        </w:rPr>
        <w:t xml:space="preserve">4.14.10 </w:t>
      </w:r>
      <w:r>
        <w:rPr>
          <w:rFonts w:ascii="SimHei" w:hAnsi="SimHei" w:eastAsia="黑体"/>
          <w:sz w:val="24"/>
        </w:rPr>
        <w:t>上网规定（略）</w:t>
      </w:r>
    </w:p>
    <w:p>
      <w:pPr>
        <w:pStyle w:val="Normal"/>
        <w:spacing w:lineRule="exact" w:line="500"/>
        <w:rPr>
          <w:sz w:val="24"/>
        </w:rPr>
      </w:pPr>
      <w:r>
        <w:rPr>
          <w:rFonts w:ascii="SimHei" w:hAnsi="SimHei" w:eastAsia="黑体"/>
          <w:sz w:val="24"/>
        </w:rPr>
        <w:t xml:space="preserve">4.14.11 </w:t>
      </w:r>
      <w:r>
        <w:rPr>
          <w:rFonts w:ascii="SimHei" w:hAnsi="SimHei" w:eastAsia="黑体"/>
          <w:sz w:val="24"/>
        </w:rPr>
        <w:t>信息系统管理制度（略）</w:t>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Heading1"/>
        <w:rPr/>
      </w:pPr>
      <w:bookmarkStart w:id="30" w:name="__RefHeading___Toc427859433"/>
      <w:bookmarkEnd w:id="30"/>
      <w:r>
        <w:rPr>
          <w:rFonts w:ascii="SimHei" w:hAnsi="SimHei" w:eastAsia="黑体"/>
        </w:rPr>
        <w:t>第五章</w:t>
      </w:r>
      <w:r>
        <w:rPr>
          <w:rFonts w:eastAsia="黑体" w:ascii="SimHei" w:hAnsi="SimHei"/>
        </w:rPr>
        <w:t xml:space="preserve"> </w:t>
      </w:r>
      <w:r>
        <w:rPr>
          <w:rFonts w:ascii="SimHei" w:hAnsi="SimHei" w:eastAsia="黑体"/>
        </w:rPr>
        <w:t>薪酬及福利</w:t>
      </w:r>
    </w:p>
    <w:p>
      <w:pPr>
        <w:pStyle w:val="Normal"/>
        <w:tabs>
          <w:tab w:val="clear" w:pos="420"/>
          <w:tab w:val="left" w:pos="1080" w:leader="none"/>
        </w:tabs>
        <w:rPr>
          <w:rFonts w:ascii="宋体;SimSun" w:hAnsi="宋体;SimSun" w:cs="宋体;SimSun"/>
          <w:b/>
          <w:b/>
          <w:szCs w:val="21"/>
        </w:rPr>
      </w:pPr>
      <w:r>
        <w:rPr>
          <w:rFonts w:ascii="SimHei" w:hAnsi="SimHei" w:cs="宋体;SimSun" w:eastAsia="黑体"/>
          <w:b/>
          <w:szCs w:val="21"/>
        </w:rPr>
        <w:t>注：员工的工资、津贴及奖金属保密范围。</w:t>
      </w:r>
    </w:p>
    <w:p>
      <w:pPr>
        <w:pStyle w:val="Heading2"/>
        <w:rPr>
          <w:rFonts w:ascii="宋体;SimSun" w:hAnsi="宋体;SimSun" w:cs="宋体;SimSun"/>
          <w:b w:val="false"/>
          <w:b w:val="false"/>
          <w:szCs w:val="21"/>
        </w:rPr>
      </w:pPr>
      <w:r>
        <w:rPr>
          <w:rFonts w:cs="宋体;SimSun" w:ascii="SimHei" w:hAnsi="SimHei" w:eastAsia="黑体"/>
          <w:b w:val="false"/>
          <w:szCs w:val="21"/>
        </w:rPr>
      </w:r>
    </w:p>
    <w:p>
      <w:pPr>
        <w:pStyle w:val="Heading2"/>
        <w:rPr/>
      </w:pPr>
      <w:bookmarkStart w:id="31" w:name="__RefHeading___Toc427859434"/>
      <w:r>
        <w:rPr>
          <w:rFonts w:ascii="SimHei" w:hAnsi="SimHei" w:eastAsia="黑体"/>
        </w:rPr>
        <w:t xml:space="preserve">5.1 </w:t>
      </w:r>
      <w:r>
        <w:rPr>
          <w:rFonts w:ascii="SimHei" w:hAnsi="SimHei" w:eastAsia="黑体"/>
        </w:rPr>
        <w:t>发薪日期</w:t>
      </w:r>
      <w:bookmarkEnd w:id="31"/>
      <w:r>
        <w:rPr>
          <w:rFonts w:eastAsia="黑体" w:ascii="SimHei" w:hAnsi="SimHei"/>
        </w:rPr>
        <w:t xml:space="preserve"> </w:t>
      </w:r>
    </w:p>
    <w:p>
      <w:pPr>
        <w:pStyle w:val="Normal"/>
        <w:spacing w:lineRule="exact" w:line="500"/>
        <w:ind w:firstLine="480"/>
        <w:rPr/>
      </w:pPr>
      <w:r>
        <w:rPr>
          <w:rFonts w:ascii="SimHei" w:hAnsi="SimHei" w:eastAsia="黑体"/>
          <w:sz w:val="24"/>
        </w:rPr>
        <w:t>公司按职员的实际工作天数支付薪金，付薪日期为每月的</w:t>
      </w:r>
      <w:r>
        <w:rPr>
          <w:rFonts w:eastAsia="黑体" w:ascii="SimHei" w:hAnsi="SimHei"/>
          <w:sz w:val="24"/>
          <w:u w:val="single"/>
        </w:rPr>
        <w:t xml:space="preserve">    </w:t>
      </w:r>
      <w:r>
        <w:rPr>
          <w:rFonts w:ascii="SimHei" w:hAnsi="SimHei" w:eastAsia="黑体"/>
          <w:sz w:val="24"/>
        </w:rPr>
        <w:t>日，支付的是职员上月</w:t>
      </w:r>
      <w:r>
        <w:rPr>
          <w:rFonts w:eastAsia="黑体" w:ascii="SimHei" w:hAnsi="SimHei"/>
          <w:sz w:val="24"/>
          <w:u w:val="single"/>
        </w:rPr>
        <w:t xml:space="preserve">    </w:t>
      </w:r>
      <w:r>
        <w:rPr>
          <w:rFonts w:ascii="SimHei" w:hAnsi="SimHei" w:eastAsia="黑体"/>
          <w:sz w:val="24"/>
        </w:rPr>
        <w:t>日至本月</w:t>
      </w:r>
      <w:r>
        <w:rPr>
          <w:rFonts w:eastAsia="黑体" w:ascii="SimHei" w:hAnsi="SimHei"/>
          <w:sz w:val="24"/>
          <w:u w:val="single"/>
        </w:rPr>
        <w:t xml:space="preserve">    </w:t>
      </w:r>
      <w:r>
        <w:rPr>
          <w:rFonts w:ascii="SimHei" w:hAnsi="SimHei" w:eastAsia="黑体"/>
          <w:sz w:val="24"/>
        </w:rPr>
        <w:t>日的薪金。若付薪日遇节假日或休息日，则在最近的工作日支付。公司将在每月付薪日前将薪金（不含午餐补贴）转入以职员个人名义开出的银行帐户内，职员可凭存折到银行领取。</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4"/>
        </w:numPr>
        <w:snapToGrid w:val="true"/>
        <w:spacing w:lineRule="auto" w:line="415" w:before="260" w:after="260"/>
        <w:jc w:val="both"/>
        <w:rPr/>
      </w:pPr>
      <w:bookmarkStart w:id="32" w:name="__RefHeading___Toc427859435"/>
      <w:bookmarkEnd w:id="32"/>
      <w:r>
        <w:rPr>
          <w:rFonts w:ascii="SimHei" w:hAnsi="SimHei" w:eastAsia="黑体"/>
        </w:rPr>
        <w:t>薪金系列</w:t>
      </w:r>
    </w:p>
    <w:p>
      <w:pPr>
        <w:pStyle w:val="Normal"/>
        <w:numPr>
          <w:ilvl w:val="2"/>
          <w:numId w:val="4"/>
        </w:numPr>
        <w:spacing w:lineRule="exact" w:line="500"/>
        <w:rPr>
          <w:sz w:val="24"/>
        </w:rPr>
      </w:pPr>
      <w:r>
        <w:rPr>
          <w:rFonts w:ascii="SimHei" w:hAnsi="SimHei" w:eastAsia="黑体"/>
          <w:sz w:val="24"/>
        </w:rPr>
        <w:t>职员薪金一般由岗位薪金与福利补贴两部分构成；薪金均以税前数值计算。</w:t>
      </w:r>
    </w:p>
    <w:p>
      <w:pPr>
        <w:pStyle w:val="Normal"/>
        <w:numPr>
          <w:ilvl w:val="2"/>
          <w:numId w:val="4"/>
        </w:numPr>
        <w:spacing w:lineRule="exact" w:line="500"/>
        <w:rPr>
          <w:sz w:val="24"/>
        </w:rPr>
      </w:pPr>
      <w:r>
        <w:rPr>
          <w:rFonts w:ascii="SimHei" w:hAnsi="SimHei" w:eastAsia="黑体"/>
          <w:sz w:val="24"/>
        </w:rPr>
        <w:t>福利补贴包括住房补贴、午餐补贴、工龄补贴、司龄补贴、饮料费。</w:t>
      </w:r>
    </w:p>
    <w:p>
      <w:pPr>
        <w:pStyle w:val="Normal"/>
        <w:numPr>
          <w:ilvl w:val="2"/>
          <w:numId w:val="4"/>
        </w:numPr>
        <w:spacing w:lineRule="exact" w:line="500"/>
        <w:rPr>
          <w:sz w:val="24"/>
        </w:rPr>
      </w:pPr>
      <w:r>
        <w:rPr>
          <w:rFonts w:ascii="SimHei" w:hAnsi="SimHei" w:eastAsia="黑体"/>
          <w:sz w:val="24"/>
        </w:rPr>
        <w:t>补贴、社会保险（含商业保险）等一般以职员岗位薪金为基础计算基数。</w:t>
      </w:r>
    </w:p>
    <w:p>
      <w:pPr>
        <w:pStyle w:val="Normal"/>
        <w:numPr>
          <w:ilvl w:val="2"/>
          <w:numId w:val="4"/>
        </w:numPr>
        <w:spacing w:lineRule="exact" w:line="500"/>
        <w:rPr>
          <w:sz w:val="24"/>
        </w:rPr>
      </w:pPr>
      <w:r>
        <w:rPr>
          <w:rFonts w:ascii="SimHei" w:hAnsi="SimHei" w:eastAsia="黑体"/>
          <w:sz w:val="24"/>
        </w:rPr>
        <w:t>岗位薪金评定的依据是：职员所在工作岗位的职责、职员工作能力、贡献。</w:t>
      </w:r>
    </w:p>
    <w:p>
      <w:pPr>
        <w:pStyle w:val="Normal"/>
        <w:numPr>
          <w:ilvl w:val="2"/>
          <w:numId w:val="4"/>
        </w:numPr>
        <w:spacing w:lineRule="exact" w:line="500"/>
        <w:rPr/>
      </w:pPr>
      <w:r>
        <w:rPr>
          <w:rFonts w:ascii="SimHei" w:hAnsi="SimHei" w:eastAsia="黑体"/>
          <w:sz w:val="24"/>
        </w:rPr>
        <w:t>职员薪金由人力资源部统一管理，在公司范围内岗位薪金的定级采用统一标准。（关于岗位薪金定级标准，另见公司“薪酬制度”等相关文件）</w:t>
      </w:r>
    </w:p>
    <w:p>
      <w:pPr>
        <w:pStyle w:val="Normal"/>
        <w:spacing w:lineRule="exact" w:line="500"/>
        <w:rPr>
          <w:sz w:val="24"/>
        </w:rPr>
      </w:pPr>
      <w:r>
        <w:rPr>
          <w:rFonts w:ascii="SimHei" w:hAnsi="SimHei" w:eastAsia="黑体"/>
          <w:sz w:val="24"/>
        </w:rPr>
      </w:r>
    </w:p>
    <w:p>
      <w:pPr>
        <w:pStyle w:val="Heading2"/>
        <w:rPr/>
      </w:pPr>
      <w:bookmarkStart w:id="33" w:name="__RefHeading___Toc427859436"/>
      <w:bookmarkEnd w:id="33"/>
      <w:r>
        <w:rPr>
          <w:rFonts w:ascii="SimHei" w:hAnsi="SimHei" w:eastAsia="黑体"/>
        </w:rPr>
        <w:t xml:space="preserve">5.3 </w:t>
      </w:r>
      <w:r>
        <w:rPr>
          <w:rFonts w:ascii="SimHei" w:hAnsi="SimHei" w:eastAsia="黑体"/>
        </w:rPr>
        <w:t>特殊期间的薪金给付</w:t>
      </w:r>
    </w:p>
    <w:p>
      <w:pPr>
        <w:pStyle w:val="Normal"/>
        <w:spacing w:lineRule="exact" w:line="500"/>
        <w:rPr/>
      </w:pPr>
      <w:r>
        <w:rPr>
          <w:rFonts w:ascii="SimHei" w:hAnsi="SimHei" w:eastAsia="黑体"/>
          <w:sz w:val="24"/>
        </w:rPr>
        <w:t xml:space="preserve">5.3.1 </w:t>
      </w:r>
      <w:r>
        <w:rPr>
          <w:rFonts w:ascii="SimHei" w:hAnsi="SimHei" w:eastAsia="黑体"/>
          <w:sz w:val="24"/>
        </w:rPr>
        <w:t>工伤医疗期内</w:t>
      </w:r>
    </w:p>
    <w:p>
      <w:pPr>
        <w:pStyle w:val="Normal"/>
        <w:spacing w:lineRule="exact" w:line="500"/>
        <w:ind w:firstLine="480"/>
        <w:rPr>
          <w:sz w:val="24"/>
        </w:rPr>
      </w:pPr>
      <w:r>
        <w:rPr>
          <w:rFonts w:ascii="SimHei" w:hAnsi="SimHei" w:eastAsia="黑体"/>
          <w:sz w:val="24"/>
        </w:rPr>
        <w:t>工伤职员在工伤医疗期内停发薪金，改为按月发给工伤津贴。工伤津贴的基数为职员岗位薪金加住房补贴。工伤医疗期满停发工伤津贴。</w:t>
      </w:r>
    </w:p>
    <w:p>
      <w:pPr>
        <w:pStyle w:val="Normal"/>
        <w:spacing w:lineRule="exact" w:line="500"/>
        <w:rPr/>
      </w:pPr>
      <w:r>
        <w:rPr>
          <w:rFonts w:ascii="SimHei" w:hAnsi="SimHei" w:eastAsia="黑体"/>
          <w:sz w:val="24"/>
        </w:rPr>
        <w:t xml:space="preserve">5.3.2  </w:t>
      </w:r>
      <w:r>
        <w:rPr>
          <w:rFonts w:ascii="SimHei" w:hAnsi="SimHei" w:eastAsia="黑体"/>
          <w:sz w:val="24"/>
        </w:rPr>
        <w:t>病（伤）假内</w:t>
      </w:r>
    </w:p>
    <w:p>
      <w:pPr>
        <w:pStyle w:val="Normal"/>
        <w:spacing w:lineRule="exact" w:line="500"/>
        <w:ind w:firstLine="360"/>
        <w:rPr>
          <w:sz w:val="24"/>
        </w:rPr>
      </w:pPr>
      <w:r>
        <w:rPr>
          <w:rFonts w:ascii="SimHei" w:hAnsi="SimHei" w:eastAsia="黑体"/>
          <w:sz w:val="24"/>
        </w:rPr>
        <w:t>（</w:t>
      </w:r>
      <w:r>
        <w:rPr>
          <w:rFonts w:ascii="SimHei" w:hAnsi="SimHei" w:eastAsia="黑体"/>
          <w:sz w:val="24"/>
        </w:rPr>
        <w:t>1</w:t>
      </w:r>
      <w:r>
        <w:rPr>
          <w:rFonts w:ascii="SimHei" w:hAnsi="SimHei" w:eastAsia="黑体"/>
          <w:sz w:val="24"/>
        </w:rPr>
        <w:t>）病（伤）假期间扣除福利补贴，具体依所在单位相关规定办理。</w:t>
      </w:r>
    </w:p>
    <w:p>
      <w:pPr>
        <w:pStyle w:val="Normal"/>
        <w:spacing w:lineRule="exact" w:line="500"/>
        <w:ind w:firstLine="360"/>
        <w:rPr>
          <w:sz w:val="24"/>
        </w:rPr>
      </w:pPr>
      <w:r>
        <w:rPr>
          <w:rFonts w:ascii="SimHei" w:hAnsi="SimHei" w:eastAsia="黑体"/>
          <w:sz w:val="24"/>
        </w:rPr>
        <w:t>（</w:t>
      </w:r>
      <w:r>
        <w:rPr>
          <w:rFonts w:ascii="SimHei" w:hAnsi="SimHei" w:eastAsia="黑体"/>
          <w:sz w:val="24"/>
        </w:rPr>
        <w:t>2</w:t>
      </w:r>
      <w:r>
        <w:rPr>
          <w:rFonts w:ascii="SimHei" w:hAnsi="SimHei" w:eastAsia="黑体"/>
          <w:sz w:val="24"/>
        </w:rPr>
        <w:t>）职员患病或非因工负伤，需要停止工作治疗时，根据国家有关规定享有</w:t>
      </w:r>
      <w:r>
        <w:rPr>
          <w:rFonts w:ascii="SimHei" w:hAnsi="SimHei" w:eastAsia="黑体"/>
          <w:sz w:val="24"/>
        </w:rPr>
        <w:t>3-24</w:t>
      </w:r>
      <w:r>
        <w:rPr>
          <w:rFonts w:ascii="SimHei" w:hAnsi="SimHei" w:eastAsia="黑体"/>
          <w:sz w:val="24"/>
        </w:rPr>
        <w:t>个月的医疗期。</w:t>
      </w:r>
    </w:p>
    <w:p>
      <w:pPr>
        <w:pStyle w:val="Normal"/>
        <w:spacing w:lineRule="exact" w:line="500"/>
        <w:ind w:firstLine="360"/>
        <w:rPr>
          <w:sz w:val="24"/>
        </w:rPr>
      </w:pPr>
      <w:r>
        <w:rPr>
          <w:rFonts w:ascii="SimHei" w:hAnsi="SimHei" w:eastAsia="黑体"/>
          <w:sz w:val="24"/>
        </w:rPr>
        <w:t>（</w:t>
      </w:r>
      <w:r>
        <w:rPr>
          <w:rFonts w:ascii="SimHei" w:hAnsi="SimHei" w:eastAsia="黑体"/>
          <w:sz w:val="24"/>
        </w:rPr>
        <w:t>3</w:t>
      </w:r>
      <w:r>
        <w:rPr>
          <w:rFonts w:ascii="SimHei" w:hAnsi="SimHei" w:eastAsia="黑体"/>
          <w:sz w:val="24"/>
        </w:rPr>
        <w:t>）连续病（伤）假或一年内累计病（伤）假不超过</w:t>
      </w:r>
      <w:r>
        <w:rPr>
          <w:rFonts w:ascii="SimHei" w:hAnsi="SimHei" w:eastAsia="黑体"/>
          <w:sz w:val="24"/>
        </w:rPr>
        <w:t>6</w:t>
      </w:r>
      <w:r>
        <w:rPr>
          <w:rFonts w:ascii="SimHei" w:hAnsi="SimHei" w:eastAsia="黑体"/>
          <w:sz w:val="24"/>
        </w:rPr>
        <w:t>个月的，按以下标准支付病（伤）假期薪金：</w:t>
      </w:r>
    </w:p>
    <w:p>
      <w:pPr>
        <w:pStyle w:val="Normal"/>
        <w:spacing w:lineRule="exact" w:line="500"/>
        <w:ind w:firstLine="480"/>
        <w:rPr>
          <w:sz w:val="24"/>
        </w:rPr>
      </w:pPr>
      <w:r>
        <w:rPr>
          <w:rFonts w:ascii="SimHei" w:hAnsi="SimHei" w:eastAsia="黑体"/>
          <w:sz w:val="24"/>
        </w:rPr>
        <w:t>A</w:t>
      </w:r>
      <w:r>
        <w:rPr>
          <w:rFonts w:ascii="SimHei" w:hAnsi="SimHei" w:eastAsia="黑体"/>
          <w:sz w:val="24"/>
        </w:rPr>
        <w:t>、司龄不满</w:t>
      </w:r>
      <w:r>
        <w:rPr>
          <w:rFonts w:ascii="SimHei" w:hAnsi="SimHei" w:eastAsia="黑体"/>
          <w:sz w:val="24"/>
        </w:rPr>
        <w:t>5</w:t>
      </w:r>
      <w:r>
        <w:rPr>
          <w:rFonts w:ascii="SimHei" w:hAnsi="SimHei" w:eastAsia="黑体"/>
          <w:sz w:val="24"/>
        </w:rPr>
        <w:t>年者，为本人岗位薪金和住房补贴的</w:t>
      </w:r>
      <w:r>
        <w:rPr>
          <w:rFonts w:ascii="SimHei" w:hAnsi="SimHei" w:eastAsia="黑体"/>
          <w:sz w:val="24"/>
        </w:rPr>
        <w:t>60%</w:t>
      </w:r>
      <w:r>
        <w:rPr>
          <w:rFonts w:ascii="SimHei" w:hAnsi="SimHei" w:eastAsia="黑体"/>
          <w:sz w:val="24"/>
        </w:rPr>
        <w:t>；</w:t>
      </w:r>
    </w:p>
    <w:p>
      <w:pPr>
        <w:pStyle w:val="Normal"/>
        <w:spacing w:lineRule="exact" w:line="500"/>
        <w:ind w:firstLine="480"/>
        <w:rPr>
          <w:sz w:val="24"/>
        </w:rPr>
      </w:pPr>
      <w:r>
        <w:rPr>
          <w:rFonts w:ascii="SimHei" w:hAnsi="SimHei" w:eastAsia="黑体"/>
          <w:sz w:val="24"/>
        </w:rPr>
        <w:t>B</w:t>
      </w:r>
      <w:r>
        <w:rPr>
          <w:rFonts w:ascii="SimHei" w:hAnsi="SimHei" w:eastAsia="黑体"/>
          <w:sz w:val="24"/>
        </w:rPr>
        <w:t>、司龄满</w:t>
      </w:r>
      <w:r>
        <w:rPr>
          <w:rFonts w:ascii="SimHei" w:hAnsi="SimHei" w:eastAsia="黑体"/>
          <w:sz w:val="24"/>
        </w:rPr>
        <w:t>5</w:t>
      </w:r>
      <w:r>
        <w:rPr>
          <w:rFonts w:ascii="SimHei" w:hAnsi="SimHei" w:eastAsia="黑体"/>
          <w:sz w:val="24"/>
        </w:rPr>
        <w:t>年不满</w:t>
      </w:r>
      <w:r>
        <w:rPr>
          <w:rFonts w:ascii="SimHei" w:hAnsi="SimHei" w:eastAsia="黑体"/>
          <w:sz w:val="24"/>
        </w:rPr>
        <w:t>10</w:t>
      </w:r>
      <w:r>
        <w:rPr>
          <w:rFonts w:ascii="SimHei" w:hAnsi="SimHei" w:eastAsia="黑体"/>
          <w:sz w:val="24"/>
        </w:rPr>
        <w:t>年者，为本人岗位薪金和住房补贴的</w:t>
      </w:r>
      <w:r>
        <w:rPr>
          <w:rFonts w:ascii="SimHei" w:hAnsi="SimHei" w:eastAsia="黑体"/>
          <w:sz w:val="24"/>
        </w:rPr>
        <w:t>70%</w:t>
      </w:r>
      <w:r>
        <w:rPr>
          <w:rFonts w:ascii="SimHei" w:hAnsi="SimHei" w:eastAsia="黑体"/>
          <w:sz w:val="24"/>
        </w:rPr>
        <w:t>；</w:t>
      </w:r>
    </w:p>
    <w:p>
      <w:pPr>
        <w:pStyle w:val="Normal"/>
        <w:spacing w:lineRule="exact" w:line="500"/>
        <w:ind w:firstLine="480"/>
        <w:rPr>
          <w:sz w:val="24"/>
        </w:rPr>
      </w:pPr>
      <w:r>
        <w:rPr>
          <w:rFonts w:ascii="SimHei" w:hAnsi="SimHei" w:eastAsia="黑体"/>
          <w:sz w:val="24"/>
        </w:rPr>
        <w:t>C</w:t>
      </w:r>
      <w:r>
        <w:rPr>
          <w:rFonts w:ascii="SimHei" w:hAnsi="SimHei" w:eastAsia="黑体"/>
          <w:sz w:val="24"/>
        </w:rPr>
        <w:t>、司龄满</w:t>
      </w:r>
      <w:r>
        <w:rPr>
          <w:rFonts w:ascii="SimHei" w:hAnsi="SimHei" w:eastAsia="黑体"/>
          <w:sz w:val="24"/>
        </w:rPr>
        <w:t>10</w:t>
      </w:r>
      <w:r>
        <w:rPr>
          <w:rFonts w:ascii="SimHei" w:hAnsi="SimHei" w:eastAsia="黑体"/>
          <w:sz w:val="24"/>
        </w:rPr>
        <w:t>年及</w:t>
      </w:r>
      <w:r>
        <w:rPr>
          <w:rFonts w:ascii="SimHei" w:hAnsi="SimHei" w:eastAsia="黑体"/>
          <w:sz w:val="24"/>
        </w:rPr>
        <w:t>10</w:t>
      </w:r>
      <w:r>
        <w:rPr>
          <w:rFonts w:ascii="SimHei" w:hAnsi="SimHei" w:eastAsia="黑体"/>
          <w:sz w:val="24"/>
        </w:rPr>
        <w:t>年以上者，为本人岗位薪金和住房补贴的</w:t>
      </w:r>
      <w:r>
        <w:rPr>
          <w:rFonts w:ascii="SimHei" w:hAnsi="SimHei" w:eastAsia="黑体"/>
          <w:sz w:val="24"/>
        </w:rPr>
        <w:t>80%</w:t>
      </w:r>
      <w:r>
        <w:rPr>
          <w:rFonts w:ascii="SimHei" w:hAnsi="SimHei" w:eastAsia="黑体"/>
          <w:sz w:val="24"/>
        </w:rPr>
        <w:t>。</w:t>
      </w:r>
    </w:p>
    <w:p>
      <w:pPr>
        <w:pStyle w:val="Normal"/>
        <w:spacing w:lineRule="exact" w:line="500"/>
        <w:ind w:firstLine="360"/>
        <w:rPr>
          <w:sz w:val="24"/>
        </w:rPr>
      </w:pPr>
      <w:r>
        <w:rPr>
          <w:rFonts w:ascii="SimHei" w:hAnsi="SimHei" w:eastAsia="黑体"/>
          <w:sz w:val="24"/>
        </w:rPr>
        <w:t>（</w:t>
      </w:r>
      <w:r>
        <w:rPr>
          <w:rFonts w:ascii="SimHei" w:hAnsi="SimHei" w:eastAsia="黑体"/>
          <w:sz w:val="24"/>
        </w:rPr>
        <w:t>4</w:t>
      </w:r>
      <w:r>
        <w:rPr>
          <w:rFonts w:ascii="SimHei" w:hAnsi="SimHei" w:eastAsia="黑体"/>
          <w:sz w:val="24"/>
        </w:rPr>
        <w:t>）连续病（伤）假或一年内累计病（伤）假在</w:t>
      </w:r>
      <w:r>
        <w:rPr>
          <w:rFonts w:ascii="SimHei" w:hAnsi="SimHei" w:eastAsia="黑体"/>
          <w:sz w:val="24"/>
        </w:rPr>
        <w:t>6</w:t>
      </w:r>
      <w:r>
        <w:rPr>
          <w:rFonts w:ascii="SimHei" w:hAnsi="SimHei" w:eastAsia="黑体"/>
          <w:sz w:val="24"/>
        </w:rPr>
        <w:t>个月以上的，停发病（伤）假期薪金，按下列标准给付救济费：</w:t>
      </w:r>
    </w:p>
    <w:p>
      <w:pPr>
        <w:pStyle w:val="Normal"/>
        <w:spacing w:lineRule="exact" w:line="500"/>
        <w:ind w:firstLine="480"/>
        <w:rPr>
          <w:sz w:val="24"/>
        </w:rPr>
      </w:pPr>
      <w:r>
        <w:rPr>
          <w:rFonts w:ascii="SimHei" w:hAnsi="SimHei" w:eastAsia="黑体"/>
          <w:sz w:val="24"/>
        </w:rPr>
        <w:t>A</w:t>
      </w:r>
      <w:r>
        <w:rPr>
          <w:rFonts w:ascii="SimHei" w:hAnsi="SimHei" w:eastAsia="黑体"/>
          <w:sz w:val="24"/>
        </w:rPr>
        <w:t>、司龄不满</w:t>
      </w:r>
      <w:r>
        <w:rPr>
          <w:rFonts w:ascii="SimHei" w:hAnsi="SimHei" w:eastAsia="黑体"/>
          <w:sz w:val="24"/>
        </w:rPr>
        <w:t>5</w:t>
      </w:r>
      <w:r>
        <w:rPr>
          <w:rFonts w:ascii="SimHei" w:hAnsi="SimHei" w:eastAsia="黑体"/>
          <w:sz w:val="24"/>
        </w:rPr>
        <w:t>年者，为本人岗位薪金和住房补贴的</w:t>
      </w:r>
      <w:r>
        <w:rPr>
          <w:rFonts w:ascii="SimHei" w:hAnsi="SimHei" w:eastAsia="黑体"/>
          <w:sz w:val="24"/>
        </w:rPr>
        <w:t>50%</w:t>
      </w:r>
      <w:r>
        <w:rPr>
          <w:rFonts w:ascii="SimHei" w:hAnsi="SimHei" w:eastAsia="黑体"/>
          <w:sz w:val="24"/>
        </w:rPr>
        <w:t>；</w:t>
      </w:r>
    </w:p>
    <w:p>
      <w:pPr>
        <w:pStyle w:val="Normal"/>
        <w:spacing w:lineRule="exact" w:line="500"/>
        <w:ind w:firstLine="480"/>
        <w:rPr>
          <w:sz w:val="24"/>
        </w:rPr>
      </w:pPr>
      <w:r>
        <w:rPr>
          <w:rFonts w:ascii="SimHei" w:hAnsi="SimHei" w:eastAsia="黑体"/>
          <w:sz w:val="24"/>
        </w:rPr>
        <w:t>B</w:t>
      </w:r>
      <w:r>
        <w:rPr>
          <w:rFonts w:ascii="SimHei" w:hAnsi="SimHei" w:eastAsia="黑体"/>
          <w:sz w:val="24"/>
        </w:rPr>
        <w:t>、司龄满</w:t>
      </w:r>
      <w:r>
        <w:rPr>
          <w:rFonts w:ascii="SimHei" w:hAnsi="SimHei" w:eastAsia="黑体"/>
          <w:sz w:val="24"/>
        </w:rPr>
        <w:t>5</w:t>
      </w:r>
      <w:r>
        <w:rPr>
          <w:rFonts w:ascii="SimHei" w:hAnsi="SimHei" w:eastAsia="黑体"/>
          <w:sz w:val="24"/>
        </w:rPr>
        <w:t>年及</w:t>
      </w:r>
      <w:r>
        <w:rPr>
          <w:rFonts w:ascii="SimHei" w:hAnsi="SimHei" w:eastAsia="黑体"/>
          <w:sz w:val="24"/>
        </w:rPr>
        <w:t>5</w:t>
      </w:r>
      <w:r>
        <w:rPr>
          <w:rFonts w:ascii="SimHei" w:hAnsi="SimHei" w:eastAsia="黑体"/>
          <w:sz w:val="24"/>
        </w:rPr>
        <w:t>年以上者，为本人岗位薪金和住房补贴的</w:t>
      </w:r>
      <w:r>
        <w:rPr>
          <w:rFonts w:ascii="SimHei" w:hAnsi="SimHei" w:eastAsia="黑体"/>
          <w:sz w:val="24"/>
        </w:rPr>
        <w:t>60%</w:t>
      </w:r>
      <w:r>
        <w:rPr>
          <w:rFonts w:ascii="SimHei" w:hAnsi="SimHei" w:eastAsia="黑体"/>
          <w:sz w:val="24"/>
        </w:rPr>
        <w:t>；</w:t>
      </w:r>
    </w:p>
    <w:p>
      <w:pPr>
        <w:pStyle w:val="Normal"/>
        <w:spacing w:lineRule="exact" w:line="500"/>
        <w:ind w:firstLine="480"/>
        <w:rPr>
          <w:sz w:val="24"/>
        </w:rPr>
      </w:pPr>
      <w:r>
        <w:rPr>
          <w:rFonts w:ascii="SimHei" w:hAnsi="SimHei" w:eastAsia="黑体"/>
          <w:sz w:val="24"/>
        </w:rPr>
        <w:t>（</w:t>
      </w:r>
      <w:r>
        <w:rPr>
          <w:rFonts w:ascii="SimHei" w:hAnsi="SimHei" w:eastAsia="黑体"/>
          <w:sz w:val="24"/>
        </w:rPr>
        <w:t>5</w:t>
      </w:r>
      <w:r>
        <w:rPr>
          <w:rFonts w:ascii="SimHei" w:hAnsi="SimHei" w:eastAsia="黑体"/>
          <w:sz w:val="24"/>
        </w:rPr>
        <w:t>）连续病（伤）假</w:t>
      </w:r>
      <w:r>
        <w:rPr>
          <w:rFonts w:ascii="SimHei" w:hAnsi="SimHei" w:eastAsia="黑体"/>
          <w:sz w:val="24"/>
        </w:rPr>
        <w:t>6</w:t>
      </w:r>
      <w:r>
        <w:rPr>
          <w:rFonts w:ascii="SimHei" w:hAnsi="SimHei" w:eastAsia="黑体"/>
          <w:sz w:val="24"/>
        </w:rPr>
        <w:t>个月及以上者，每第</w:t>
      </w:r>
      <w:r>
        <w:rPr>
          <w:rFonts w:ascii="SimHei" w:hAnsi="SimHei" w:eastAsia="黑体"/>
          <w:sz w:val="24"/>
        </w:rPr>
        <w:t>7</w:t>
      </w:r>
      <w:r>
        <w:rPr>
          <w:rFonts w:ascii="SimHei" w:hAnsi="SimHei" w:eastAsia="黑体"/>
          <w:sz w:val="24"/>
        </w:rPr>
        <w:t>个月起酌情下调薪金级别一次，每次下调幅度不超过</w:t>
      </w:r>
      <w:r>
        <w:rPr>
          <w:rFonts w:ascii="SimHei" w:hAnsi="SimHei" w:eastAsia="黑体"/>
          <w:sz w:val="24"/>
        </w:rPr>
        <w:t>5</w:t>
      </w:r>
      <w:r>
        <w:rPr>
          <w:rFonts w:ascii="SimHei" w:hAnsi="SimHei" w:eastAsia="黑体"/>
          <w:sz w:val="24"/>
        </w:rPr>
        <w:t>级，救济费随之调整，救济费不低于当地最低工资标准的</w:t>
      </w:r>
      <w:r>
        <w:rPr>
          <w:rFonts w:ascii="SimHei" w:hAnsi="SimHei" w:eastAsia="黑体"/>
          <w:sz w:val="24"/>
        </w:rPr>
        <w:t>120%</w:t>
      </w:r>
      <w:r>
        <w:rPr>
          <w:rFonts w:ascii="SimHei" w:hAnsi="SimHei" w:eastAsia="黑体"/>
          <w:sz w:val="24"/>
        </w:rPr>
        <w:t>，低于此限不予降薪；</w:t>
      </w:r>
    </w:p>
    <w:p>
      <w:pPr>
        <w:pStyle w:val="Normal"/>
        <w:spacing w:lineRule="exact" w:line="500"/>
        <w:ind w:firstLine="480"/>
        <w:rPr>
          <w:sz w:val="24"/>
        </w:rPr>
      </w:pPr>
      <w:r>
        <w:rPr>
          <w:rFonts w:ascii="SimHei" w:hAnsi="SimHei" w:eastAsia="黑体"/>
          <w:sz w:val="24"/>
        </w:rPr>
        <w:t>（</w:t>
      </w:r>
      <w:r>
        <w:rPr>
          <w:rFonts w:ascii="SimHei" w:hAnsi="SimHei" w:eastAsia="黑体"/>
          <w:sz w:val="24"/>
        </w:rPr>
        <w:t>6</w:t>
      </w:r>
      <w:r>
        <w:rPr>
          <w:rFonts w:ascii="SimHei" w:hAnsi="SimHei" w:eastAsia="黑体"/>
          <w:sz w:val="24"/>
        </w:rPr>
        <w:t>）医疗期内，救济费不得低于所在单位平均薪金（岗位薪金和住房补贴）的</w:t>
      </w:r>
      <w:r>
        <w:rPr>
          <w:rFonts w:ascii="SimHei" w:hAnsi="SimHei" w:eastAsia="黑体"/>
          <w:sz w:val="24"/>
        </w:rPr>
        <w:t>40%</w:t>
      </w:r>
      <w:r>
        <w:rPr>
          <w:rFonts w:ascii="SimHei" w:hAnsi="SimHei" w:eastAsia="黑体"/>
          <w:sz w:val="24"/>
        </w:rPr>
        <w:t>。</w:t>
      </w:r>
    </w:p>
    <w:p>
      <w:pPr>
        <w:pStyle w:val="Normal"/>
        <w:spacing w:lineRule="exact" w:line="500"/>
        <w:ind w:firstLine="480"/>
        <w:rPr>
          <w:sz w:val="24"/>
        </w:rPr>
      </w:pPr>
      <w:r>
        <w:rPr>
          <w:rFonts w:ascii="SimHei" w:hAnsi="SimHei" w:eastAsia="黑体"/>
          <w:sz w:val="24"/>
        </w:rPr>
      </w:r>
    </w:p>
    <w:p>
      <w:pPr>
        <w:pStyle w:val="Heading2"/>
        <w:rPr/>
      </w:pPr>
      <w:bookmarkStart w:id="34" w:name="__RefHeading___Toc427859437"/>
      <w:bookmarkEnd w:id="34"/>
      <w:r>
        <w:rPr>
          <w:rFonts w:ascii="SimHei" w:hAnsi="SimHei" w:eastAsia="黑体"/>
        </w:rPr>
        <w:t>5.4</w:t>
      </w:r>
      <w:r>
        <w:rPr>
          <w:rFonts w:ascii="SimHei" w:hAnsi="SimHei" w:eastAsia="黑体"/>
        </w:rPr>
        <w:t>加班与加班工资</w:t>
      </w:r>
    </w:p>
    <w:p>
      <w:pPr>
        <w:pStyle w:val="Normal"/>
        <w:spacing w:lineRule="exact" w:line="500"/>
        <w:rPr>
          <w:sz w:val="24"/>
        </w:rPr>
      </w:pPr>
      <w:r>
        <w:rPr>
          <w:rFonts w:ascii="SimHei" w:hAnsi="SimHei" w:eastAsia="黑体"/>
          <w:sz w:val="24"/>
        </w:rPr>
        <w:t xml:space="preserve">5.4.1 </w:t>
      </w:r>
      <w:r>
        <w:rPr>
          <w:rFonts w:ascii="SimHei" w:hAnsi="SimHei" w:eastAsia="黑体"/>
          <w:sz w:val="24"/>
        </w:rPr>
        <w:t>加班工资制度及补假制度仅适用于</w:t>
      </w:r>
      <w:r>
        <w:rPr>
          <w:rFonts w:eastAsia="黑体" w:ascii="SimHei" w:hAnsi="SimHei"/>
          <w:sz w:val="24"/>
          <w:u w:val="single"/>
        </w:rPr>
        <w:t xml:space="preserve">        </w:t>
      </w:r>
      <w:r>
        <w:rPr>
          <w:rFonts w:ascii="SimHei" w:hAnsi="SimHei" w:eastAsia="黑体"/>
          <w:sz w:val="24"/>
        </w:rPr>
        <w:t>部，其余员工及部门主管级以上人员因工作性质和岗位职责要求，在确定薪资水平及奖励计划时已计入可能发生的超时工作报酬，故不另行享受加班工资。</w:t>
      </w:r>
    </w:p>
    <w:p>
      <w:pPr>
        <w:pStyle w:val="Normal"/>
        <w:spacing w:lineRule="exact" w:line="500"/>
        <w:rPr/>
      </w:pPr>
      <w:r>
        <w:rPr>
          <w:rFonts w:ascii="SimHei" w:hAnsi="SimHei" w:eastAsia="黑体"/>
          <w:sz w:val="24"/>
        </w:rPr>
        <w:t xml:space="preserve">5.4.2 </w:t>
      </w:r>
      <w:r>
        <w:rPr>
          <w:rFonts w:ascii="SimHei" w:hAnsi="SimHei" w:eastAsia="黑体"/>
          <w:sz w:val="24"/>
        </w:rPr>
        <w:t>公司因业务需要，可要求员工在正常工作时间以外或节假日期间加班，公司按劳动法有关规定支付加班工资或给予补假，加班以半天起算，具体方法如下：</w:t>
      </w:r>
    </w:p>
    <w:p>
      <w:pPr>
        <w:pStyle w:val="Normal"/>
        <w:spacing w:lineRule="exact" w:line="500"/>
        <w:rPr>
          <w:sz w:val="24"/>
        </w:rPr>
      </w:pPr>
      <w:r>
        <w:rPr>
          <w:rFonts w:eastAsia="黑体" w:ascii="SimHei" w:hAnsi="SimHei"/>
          <w:sz w:val="24"/>
        </w:rPr>
        <w:t xml:space="preserve">    </w:t>
      </w:r>
      <w:r>
        <w:rPr>
          <w:rFonts w:ascii="SimHei" w:hAnsi="SimHei" w:eastAsia="黑体"/>
          <w:sz w:val="24"/>
        </w:rPr>
        <w:t>*</w:t>
      </w:r>
      <w:r>
        <w:rPr>
          <w:rFonts w:ascii="SimHei" w:hAnsi="SimHei" w:eastAsia="黑体"/>
          <w:sz w:val="24"/>
        </w:rPr>
        <w:t xml:space="preserve">　工作日加班工资＝月薪酬总额</w:t>
      </w:r>
      <w:r>
        <w:rPr>
          <w:rFonts w:eastAsia="黑体" w:ascii="SimHei" w:hAnsi="SimHei"/>
          <w:sz w:val="24"/>
        </w:rPr>
        <w:t xml:space="preserve"> </w:t>
      </w:r>
      <w:r>
        <w:rPr>
          <w:rFonts w:ascii="SimHei" w:hAnsi="SimHei" w:eastAsia="黑体"/>
          <w:sz w:val="24"/>
        </w:rPr>
        <w:t>/30×1.5×</w:t>
      </w:r>
      <w:r>
        <w:rPr>
          <w:rFonts w:ascii="SimHei" w:hAnsi="SimHei" w:eastAsia="黑体"/>
          <w:sz w:val="24"/>
        </w:rPr>
        <w:t>加班时间</w:t>
      </w:r>
    </w:p>
    <w:p>
      <w:pPr>
        <w:pStyle w:val="Normal"/>
        <w:spacing w:lineRule="exact" w:line="500"/>
        <w:rPr>
          <w:sz w:val="24"/>
        </w:rPr>
      </w:pPr>
      <w:r>
        <w:rPr>
          <w:rFonts w:ascii="SimHei" w:hAnsi="SimHei" w:eastAsia="黑体"/>
          <w:sz w:val="24"/>
        </w:rPr>
        <w:t xml:space="preserve">　　</w:t>
      </w:r>
      <w:r>
        <w:rPr>
          <w:rFonts w:ascii="SimHei" w:hAnsi="SimHei" w:eastAsia="黑体"/>
          <w:sz w:val="24"/>
        </w:rPr>
        <w:t>*</w:t>
      </w:r>
      <w:r>
        <w:rPr>
          <w:rFonts w:ascii="SimHei" w:hAnsi="SimHei" w:eastAsia="黑体"/>
          <w:sz w:val="24"/>
        </w:rPr>
        <w:t xml:space="preserve">　休息日加班工资＝月薪酬总额</w:t>
      </w:r>
      <w:r>
        <w:rPr>
          <w:rFonts w:eastAsia="黑体" w:ascii="SimHei" w:hAnsi="SimHei"/>
          <w:sz w:val="24"/>
        </w:rPr>
        <w:t xml:space="preserve"> </w:t>
      </w:r>
      <w:r>
        <w:rPr>
          <w:rFonts w:ascii="SimHei" w:hAnsi="SimHei" w:eastAsia="黑体"/>
          <w:sz w:val="24"/>
        </w:rPr>
        <w:t>/30×2×</w:t>
      </w:r>
      <w:r>
        <w:rPr>
          <w:rFonts w:ascii="SimHei" w:hAnsi="SimHei" w:eastAsia="黑体"/>
          <w:sz w:val="24"/>
        </w:rPr>
        <w:t>加班时间</w:t>
      </w:r>
    </w:p>
    <w:p>
      <w:pPr>
        <w:pStyle w:val="Normal"/>
        <w:spacing w:lineRule="exact" w:line="500"/>
        <w:rPr>
          <w:sz w:val="24"/>
        </w:rPr>
      </w:pPr>
      <w:r>
        <w:rPr>
          <w:rFonts w:ascii="SimHei" w:hAnsi="SimHei" w:eastAsia="黑体"/>
          <w:sz w:val="24"/>
        </w:rPr>
        <w:t xml:space="preserve">　　</w:t>
      </w:r>
      <w:r>
        <w:rPr>
          <w:rFonts w:ascii="SimHei" w:hAnsi="SimHei" w:eastAsia="黑体"/>
          <w:sz w:val="24"/>
        </w:rPr>
        <w:t>*</w:t>
      </w:r>
      <w:r>
        <w:rPr>
          <w:rFonts w:ascii="SimHei" w:hAnsi="SimHei" w:eastAsia="黑体"/>
          <w:sz w:val="24"/>
        </w:rPr>
        <w:t xml:space="preserve">　法定假日加班工资＝月薪酬总额</w:t>
      </w:r>
      <w:r>
        <w:rPr>
          <w:rFonts w:eastAsia="黑体" w:ascii="SimHei" w:hAnsi="SimHei"/>
          <w:sz w:val="24"/>
        </w:rPr>
        <w:t xml:space="preserve"> </w:t>
      </w:r>
      <w:r>
        <w:rPr>
          <w:rFonts w:ascii="SimHei" w:hAnsi="SimHei" w:eastAsia="黑体"/>
          <w:sz w:val="24"/>
        </w:rPr>
        <w:t>/30×3×</w:t>
      </w:r>
      <w:r>
        <w:rPr>
          <w:rFonts w:ascii="SimHei" w:hAnsi="SimHei" w:eastAsia="黑体"/>
          <w:sz w:val="24"/>
        </w:rPr>
        <w:t>加班时间</w:t>
      </w:r>
    </w:p>
    <w:p>
      <w:pPr>
        <w:pStyle w:val="Normal"/>
        <w:spacing w:lineRule="exact" w:line="500"/>
        <w:rPr>
          <w:sz w:val="24"/>
        </w:rPr>
      </w:pPr>
      <w:r>
        <w:rPr>
          <w:rFonts w:ascii="SimHei" w:hAnsi="SimHei" w:eastAsia="黑体"/>
          <w:sz w:val="24"/>
        </w:rPr>
        <w:t xml:space="preserve">5.4.3 </w:t>
      </w:r>
      <w:r>
        <w:rPr>
          <w:rFonts w:ascii="SimHei" w:hAnsi="SimHei" w:eastAsia="黑体"/>
          <w:sz w:val="24"/>
        </w:rPr>
        <w:t>出差或客户应酬等交际活动不计加班。</w:t>
      </w:r>
    </w:p>
    <w:p>
      <w:pPr>
        <w:pStyle w:val="Normal"/>
        <w:spacing w:lineRule="exact" w:line="500"/>
        <w:rPr>
          <w:sz w:val="24"/>
        </w:rPr>
      </w:pPr>
      <w:r>
        <w:rPr>
          <w:rFonts w:ascii="SimHei" w:hAnsi="SimHei" w:eastAsia="黑体"/>
          <w:sz w:val="24"/>
        </w:rPr>
        <w:t xml:space="preserve">5.4.4 </w:t>
      </w:r>
      <w:r>
        <w:rPr>
          <w:rFonts w:ascii="SimHei" w:hAnsi="SimHei" w:eastAsia="黑体"/>
          <w:sz w:val="24"/>
        </w:rPr>
        <w:t>工作日加班至晚上</w:t>
      </w:r>
      <w:r>
        <w:rPr>
          <w:rFonts w:ascii="SimHei" w:hAnsi="SimHei" w:eastAsia="黑体"/>
          <w:sz w:val="24"/>
        </w:rPr>
        <w:t>7</w:t>
      </w:r>
      <w:r>
        <w:rPr>
          <w:rFonts w:ascii="SimHei" w:hAnsi="SimHei" w:eastAsia="黑体"/>
          <w:sz w:val="24"/>
        </w:rPr>
        <w:t>：</w:t>
      </w:r>
      <w:r>
        <w:rPr>
          <w:rFonts w:ascii="SimHei" w:hAnsi="SimHei" w:eastAsia="黑体"/>
          <w:sz w:val="24"/>
        </w:rPr>
        <w:t>00</w:t>
      </w:r>
      <w:r>
        <w:rPr>
          <w:rFonts w:ascii="SimHei" w:hAnsi="SimHei" w:eastAsia="黑体"/>
          <w:sz w:val="24"/>
        </w:rPr>
        <w:t>以后以及休息日或国定假日加班的员工，可申请加班餐贴，费用为</w:t>
      </w:r>
      <w:r>
        <w:rPr>
          <w:rFonts w:eastAsia="黑体" w:ascii="SimHei" w:hAnsi="SimHei"/>
          <w:sz w:val="24"/>
          <w:u w:val="single"/>
        </w:rPr>
        <w:t xml:space="preserve">    </w:t>
      </w:r>
      <w:r>
        <w:rPr>
          <w:rFonts w:ascii="SimHei" w:hAnsi="SimHei" w:eastAsia="黑体"/>
          <w:sz w:val="24"/>
        </w:rPr>
        <w:t>元</w:t>
      </w:r>
      <w:r>
        <w:rPr>
          <w:rFonts w:ascii="SimHei" w:hAnsi="SimHei" w:eastAsia="黑体"/>
          <w:sz w:val="24"/>
        </w:rPr>
        <w:t>/</w:t>
      </w:r>
      <w:r>
        <w:rPr>
          <w:rFonts w:ascii="SimHei" w:hAnsi="SimHei" w:eastAsia="黑体"/>
          <w:sz w:val="24"/>
        </w:rPr>
        <w:t>餐。</w:t>
      </w:r>
    </w:p>
    <w:p>
      <w:pPr>
        <w:pStyle w:val="Normal"/>
        <w:spacing w:lineRule="exact" w:line="500"/>
        <w:rPr>
          <w:sz w:val="24"/>
        </w:rPr>
      </w:pPr>
      <w:r>
        <w:rPr>
          <w:rFonts w:ascii="SimHei" w:hAnsi="SimHei" w:eastAsia="黑体"/>
          <w:sz w:val="24"/>
        </w:rPr>
        <w:t xml:space="preserve">5.4.5 </w:t>
      </w:r>
      <w:r>
        <w:rPr>
          <w:rFonts w:ascii="SimHei" w:hAnsi="SimHei" w:eastAsia="黑体"/>
          <w:sz w:val="24"/>
        </w:rPr>
        <w:t>员工如需加班，应如实填写“加班申请表”，经部门主管批准后，方可按有关制度执行。</w:t>
      </w:r>
    </w:p>
    <w:p>
      <w:pPr>
        <w:pStyle w:val="Normal"/>
        <w:spacing w:lineRule="exact" w:line="500"/>
        <w:rPr>
          <w:sz w:val="24"/>
        </w:rPr>
      </w:pPr>
      <w:r>
        <w:rPr>
          <w:rFonts w:ascii="SimHei" w:hAnsi="SimHei" w:eastAsia="黑体"/>
          <w:sz w:val="24"/>
        </w:rPr>
      </w:r>
    </w:p>
    <w:p>
      <w:pPr>
        <w:pStyle w:val="Heading2"/>
        <w:rPr/>
      </w:pPr>
      <w:bookmarkStart w:id="35" w:name="__RefHeading___Toc427859438"/>
      <w:bookmarkEnd w:id="35"/>
      <w:r>
        <w:rPr>
          <w:rFonts w:ascii="SimHei" w:hAnsi="SimHei" w:eastAsia="黑体"/>
        </w:rPr>
        <w:t xml:space="preserve">5.5 </w:t>
      </w:r>
      <w:r>
        <w:rPr>
          <w:rFonts w:ascii="SimHei" w:hAnsi="SimHei" w:eastAsia="黑体"/>
        </w:rPr>
        <w:t>薪金调整机制</w:t>
      </w:r>
    </w:p>
    <w:p>
      <w:pPr>
        <w:pStyle w:val="Normal"/>
        <w:spacing w:lineRule="exact" w:line="500"/>
        <w:rPr>
          <w:sz w:val="24"/>
        </w:rPr>
      </w:pPr>
      <w:r>
        <w:rPr>
          <w:rFonts w:ascii="SimHei" w:hAnsi="SimHei" w:eastAsia="黑体"/>
          <w:sz w:val="24"/>
        </w:rPr>
        <w:t>职员岗位薪金将可能在如下情况下发生调整：</w:t>
      </w:r>
    </w:p>
    <w:p>
      <w:pPr>
        <w:pStyle w:val="Normal"/>
        <w:numPr>
          <w:ilvl w:val="2"/>
          <w:numId w:val="31"/>
        </w:numPr>
        <w:spacing w:lineRule="exact" w:line="500"/>
        <w:rPr>
          <w:sz w:val="24"/>
        </w:rPr>
      </w:pPr>
      <w:r>
        <w:rPr>
          <w:rFonts w:ascii="SimHei" w:hAnsi="SimHei" w:eastAsia="黑体"/>
          <w:sz w:val="24"/>
        </w:rPr>
        <w:t>岗位薪金常规调整，即指公司有可能根据经营业绩情况、社会综合物价水平的较大幅度变动相应调整职员岗位薪金。</w:t>
      </w:r>
    </w:p>
    <w:p>
      <w:pPr>
        <w:pStyle w:val="Normal"/>
        <w:numPr>
          <w:ilvl w:val="2"/>
          <w:numId w:val="31"/>
        </w:numPr>
        <w:spacing w:lineRule="exact" w:line="500"/>
        <w:rPr>
          <w:sz w:val="24"/>
        </w:rPr>
      </w:pPr>
      <w:r>
        <w:rPr>
          <w:rFonts w:ascii="SimHei" w:hAnsi="SimHei" w:eastAsia="黑体"/>
          <w:sz w:val="24"/>
        </w:rPr>
        <w:t>公司将根据职员的工作业绩和工作能力进行奖励性薪金晋级，其对象为经营活动中为公司创利成绩显著者；促进企业经营管理，提高经济效益方面成绩突出者；公司认为应奖励的其他人员。</w:t>
      </w:r>
    </w:p>
    <w:p>
      <w:pPr>
        <w:pStyle w:val="Normal"/>
        <w:numPr>
          <w:ilvl w:val="2"/>
          <w:numId w:val="31"/>
        </w:numPr>
        <w:spacing w:lineRule="exact" w:line="500"/>
        <w:rPr>
          <w:sz w:val="24"/>
        </w:rPr>
      </w:pPr>
      <w:r>
        <w:rPr>
          <w:rFonts w:ascii="SimHei" w:hAnsi="SimHei" w:eastAsia="黑体"/>
          <w:sz w:val="24"/>
        </w:rPr>
        <w:t>职员职务发生变动，其岗位薪金相应进行调整，其薪金必须在该职务级别薪金范围之内。</w:t>
      </w:r>
    </w:p>
    <w:p>
      <w:pPr>
        <w:pStyle w:val="Normal"/>
        <w:numPr>
          <w:ilvl w:val="2"/>
          <w:numId w:val="31"/>
        </w:numPr>
        <w:spacing w:lineRule="exact" w:line="500"/>
        <w:rPr>
          <w:sz w:val="24"/>
        </w:rPr>
      </w:pPr>
      <w:r>
        <w:rPr>
          <w:rFonts w:ascii="SimHei" w:hAnsi="SimHei" w:eastAsia="黑体"/>
          <w:sz w:val="24"/>
        </w:rPr>
        <w:t>职员在年终考核中，被所在单位认为工作绩效低于平均水平，将可能被降低岗位薪金。</w:t>
      </w:r>
    </w:p>
    <w:p>
      <w:pPr>
        <w:pStyle w:val="Normal"/>
        <w:numPr>
          <w:ilvl w:val="2"/>
          <w:numId w:val="31"/>
        </w:numPr>
        <w:spacing w:lineRule="exact" w:line="500"/>
        <w:rPr>
          <w:sz w:val="24"/>
        </w:rPr>
      </w:pPr>
      <w:r>
        <w:rPr>
          <w:rFonts w:ascii="SimHei" w:hAnsi="SimHei" w:eastAsia="黑体"/>
          <w:sz w:val="24"/>
        </w:rPr>
        <w:t>岗位薪金晋级，新的岗位薪金从公司下发有关通知的下月</w:t>
      </w:r>
      <w:r>
        <w:rPr>
          <w:rFonts w:eastAsia="黑体" w:ascii="SimHei" w:hAnsi="SimHei"/>
          <w:sz w:val="24"/>
          <w:u w:val="single"/>
        </w:rPr>
        <w:t xml:space="preserve">     </w:t>
      </w:r>
      <w:r>
        <w:rPr>
          <w:rFonts w:ascii="SimHei" w:hAnsi="SimHei" w:eastAsia="黑体"/>
          <w:sz w:val="24"/>
        </w:rPr>
        <w:t>日起执行；岗位薪金降级，从公司下发有关通知的当月起。</w:t>
      </w:r>
    </w:p>
    <w:p>
      <w:pPr>
        <w:pStyle w:val="Normal"/>
        <w:numPr>
          <w:ilvl w:val="2"/>
          <w:numId w:val="31"/>
        </w:numPr>
        <w:spacing w:lineRule="exact" w:line="500"/>
        <w:rPr>
          <w:sz w:val="24"/>
        </w:rPr>
      </w:pPr>
      <w:r>
        <w:rPr>
          <w:rFonts w:ascii="SimHei" w:hAnsi="SimHei" w:eastAsia="黑体"/>
          <w:sz w:val="24"/>
        </w:rPr>
        <w:t>公司可根据职员即期表现上浮或下调其岗位薪金，以及时激励优秀、督促后进。</w:t>
      </w:r>
    </w:p>
    <w:p>
      <w:pPr>
        <w:pStyle w:val="Normal"/>
        <w:numPr>
          <w:ilvl w:val="2"/>
          <w:numId w:val="31"/>
        </w:numPr>
        <w:spacing w:lineRule="exact" w:line="500"/>
        <w:rPr>
          <w:sz w:val="24"/>
        </w:rPr>
      </w:pPr>
      <w:r>
        <w:rPr>
          <w:rFonts w:ascii="SimHei" w:hAnsi="SimHei" w:eastAsia="黑体"/>
          <w:sz w:val="24"/>
        </w:rPr>
        <w:t>除此以外公司原则上不再设置其他的岗位薪金调整形式。</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31"/>
        </w:numPr>
        <w:snapToGrid w:val="true"/>
        <w:spacing w:lineRule="auto" w:line="415" w:before="260" w:after="260"/>
        <w:jc w:val="both"/>
        <w:rPr/>
      </w:pPr>
      <w:r>
        <w:rPr>
          <w:rFonts w:eastAsia="黑体" w:ascii="SimHei" w:hAnsi="SimHei"/>
        </w:rPr>
        <w:t xml:space="preserve"> </w:t>
      </w:r>
      <w:bookmarkStart w:id="36" w:name="__RefHeading___Toc427859439"/>
      <w:r>
        <w:rPr>
          <w:rFonts w:ascii="SimHei" w:hAnsi="SimHei" w:eastAsia="黑体"/>
        </w:rPr>
        <w:t>假期</w:t>
      </w:r>
      <w:bookmarkEnd w:id="36"/>
    </w:p>
    <w:p>
      <w:pPr>
        <w:pStyle w:val="Normal"/>
        <w:numPr>
          <w:ilvl w:val="2"/>
          <w:numId w:val="31"/>
        </w:numPr>
        <w:spacing w:lineRule="exact" w:line="500"/>
        <w:rPr>
          <w:sz w:val="24"/>
        </w:rPr>
      </w:pPr>
      <w:r>
        <w:rPr>
          <w:rFonts w:ascii="SimHei" w:hAnsi="SimHei" w:eastAsia="黑体"/>
          <w:sz w:val="24"/>
        </w:rPr>
        <w:t>职员可享受本手册规定的重要节假日，期间照常支付职员的薪金。</w:t>
      </w:r>
      <w:r>
        <w:rPr>
          <w:rFonts w:eastAsia="黑体" w:ascii="SimHei" w:hAnsi="SimHei"/>
          <w:sz w:val="24"/>
        </w:rPr>
        <w:t xml:space="preserve"> </w:t>
      </w:r>
    </w:p>
    <w:p>
      <w:pPr>
        <w:pStyle w:val="Normal"/>
        <w:numPr>
          <w:ilvl w:val="2"/>
          <w:numId w:val="31"/>
        </w:numPr>
        <w:spacing w:lineRule="exact" w:line="500"/>
        <w:rPr>
          <w:sz w:val="24"/>
        </w:rPr>
      </w:pPr>
      <w:r>
        <w:rPr>
          <w:rFonts w:ascii="SimHei" w:hAnsi="SimHei" w:eastAsia="黑体"/>
          <w:sz w:val="24"/>
        </w:rPr>
        <w:t>职员转正后可享受婚假、丧假、产假及护理假；在公司工作满一年后，职员可以按规定享受探亲假、年休假，这些假期均为有薪假期，只扣除当日午餐补贴。</w:t>
      </w:r>
    </w:p>
    <w:p>
      <w:pPr>
        <w:pStyle w:val="Normal"/>
        <w:numPr>
          <w:ilvl w:val="2"/>
          <w:numId w:val="31"/>
        </w:numPr>
        <w:spacing w:lineRule="exact" w:line="500"/>
        <w:rPr>
          <w:sz w:val="24"/>
        </w:rPr>
      </w:pPr>
      <w:r>
        <w:rPr>
          <w:rFonts w:ascii="SimHei" w:hAnsi="SimHei" w:eastAsia="黑体"/>
          <w:sz w:val="24"/>
        </w:rPr>
        <w:t>每年职员只能在年休假、探亲假中选休一种假期，并享受其待遇；职员可根据工作的安排并征得领导同意，获得批准后取假。</w:t>
      </w:r>
    </w:p>
    <w:p>
      <w:pPr>
        <w:pStyle w:val="Normal"/>
        <w:spacing w:lineRule="exact" w:line="500"/>
        <w:ind w:firstLine="720"/>
        <w:rPr>
          <w:sz w:val="24"/>
        </w:rPr>
      </w:pPr>
      <w:r>
        <w:rPr>
          <w:rFonts w:ascii="SimHei" w:hAnsi="SimHei" w:eastAsia="黑体"/>
          <w:sz w:val="24"/>
        </w:rPr>
        <w:t>取假的一般程序：</w:t>
      </w:r>
    </w:p>
    <w:p>
      <w:pPr>
        <w:pStyle w:val="Normal"/>
        <w:numPr>
          <w:ilvl w:val="0"/>
          <w:numId w:val="22"/>
        </w:numPr>
        <w:spacing w:lineRule="exact" w:line="500"/>
        <w:ind w:start="1418" w:hanging="709"/>
        <w:rPr/>
      </w:pPr>
      <w:r>
        <w:rPr>
          <w:rFonts w:ascii="SimHei" w:hAnsi="SimHei" w:eastAsia="黑体"/>
          <w:sz w:val="24"/>
        </w:rPr>
        <w:t>职员提前一个月向所在部门领导人和人力资源部门申报拟休假的种类和时间；</w:t>
      </w:r>
    </w:p>
    <w:p>
      <w:pPr>
        <w:pStyle w:val="Normal"/>
        <w:numPr>
          <w:ilvl w:val="0"/>
          <w:numId w:val="22"/>
        </w:numPr>
        <w:spacing w:lineRule="exact" w:line="500"/>
        <w:ind w:start="1418" w:hanging="709"/>
        <w:rPr>
          <w:sz w:val="24"/>
        </w:rPr>
      </w:pPr>
      <w:r>
        <w:rPr>
          <w:rFonts w:ascii="SimHei" w:hAnsi="SimHei" w:eastAsia="黑体"/>
          <w:sz w:val="24"/>
        </w:rPr>
        <w:t>具体休假时间，职员层由所在部门与个人协商后统一安排；经理层及以上由所在部门与人力资源部协商安排。休假期间若遇公众假日或法定假日，不另增加休假时间。</w:t>
      </w:r>
    </w:p>
    <w:p>
      <w:pPr>
        <w:pStyle w:val="Normal"/>
        <w:numPr>
          <w:ilvl w:val="2"/>
          <w:numId w:val="31"/>
        </w:numPr>
        <w:spacing w:lineRule="exact" w:line="500"/>
        <w:rPr>
          <w:sz w:val="24"/>
        </w:rPr>
      </w:pPr>
      <w:r>
        <w:rPr>
          <w:rFonts w:ascii="SimHei" w:hAnsi="SimHei" w:eastAsia="黑体"/>
          <w:sz w:val="24"/>
        </w:rPr>
        <w:t>凡符合以下情况之一的，不享受当年年休假或探亲假：</w:t>
      </w:r>
      <w:r>
        <w:rPr>
          <w:rFonts w:eastAsia="黑体" w:ascii="SimHei" w:hAnsi="SimHei"/>
          <w:sz w:val="24"/>
        </w:rPr>
        <w:t xml:space="preserve"> </w:t>
      </w:r>
    </w:p>
    <w:p>
      <w:pPr>
        <w:pStyle w:val="Normal"/>
        <w:spacing w:lineRule="exact" w:line="500"/>
        <w:ind w:firstLine="720"/>
        <w:rPr>
          <w:sz w:val="24"/>
        </w:rPr>
      </w:pPr>
      <w:r>
        <w:rPr>
          <w:rFonts w:ascii="SimHei" w:hAnsi="SimHei" w:eastAsia="黑体"/>
          <w:sz w:val="24"/>
        </w:rPr>
        <w:t>（</w:t>
      </w:r>
      <w:r>
        <w:rPr>
          <w:rFonts w:ascii="SimHei" w:hAnsi="SimHei" w:eastAsia="黑体"/>
          <w:sz w:val="24"/>
        </w:rPr>
        <w:t>1</w:t>
      </w:r>
      <w:r>
        <w:rPr>
          <w:rFonts w:ascii="SimHei" w:hAnsi="SimHei" w:eastAsia="黑体"/>
          <w:sz w:val="24"/>
        </w:rPr>
        <w:t>）一年内一次性病假超过</w:t>
      </w:r>
      <w:r>
        <w:rPr>
          <w:rFonts w:ascii="SimHei" w:hAnsi="SimHei" w:eastAsia="黑体"/>
          <w:sz w:val="24"/>
        </w:rPr>
        <w:t>45</w:t>
      </w:r>
      <w:r>
        <w:rPr>
          <w:rFonts w:ascii="SimHei" w:hAnsi="SimHei" w:eastAsia="黑体"/>
          <w:sz w:val="24"/>
        </w:rPr>
        <w:t>天或累计病假超过</w:t>
      </w:r>
      <w:r>
        <w:rPr>
          <w:rFonts w:ascii="SimHei" w:hAnsi="SimHei" w:eastAsia="黑体"/>
          <w:sz w:val="24"/>
        </w:rPr>
        <w:t>65</w:t>
      </w:r>
      <w:r>
        <w:rPr>
          <w:rFonts w:ascii="SimHei" w:hAnsi="SimHei" w:eastAsia="黑体"/>
          <w:sz w:val="24"/>
        </w:rPr>
        <w:t>天；</w:t>
      </w:r>
    </w:p>
    <w:p>
      <w:pPr>
        <w:pStyle w:val="Normal"/>
        <w:spacing w:lineRule="exact" w:line="500"/>
        <w:ind w:firstLine="720"/>
        <w:rPr>
          <w:sz w:val="24"/>
        </w:rPr>
      </w:pPr>
      <w:r>
        <w:rPr>
          <w:rFonts w:ascii="SimHei" w:hAnsi="SimHei" w:eastAsia="黑体"/>
          <w:sz w:val="24"/>
        </w:rPr>
        <w:t>（</w:t>
      </w:r>
      <w:r>
        <w:rPr>
          <w:rFonts w:ascii="SimHei" w:hAnsi="SimHei" w:eastAsia="黑体"/>
          <w:sz w:val="24"/>
        </w:rPr>
        <w:t>2</w:t>
      </w:r>
      <w:r>
        <w:rPr>
          <w:rFonts w:ascii="SimHei" w:hAnsi="SimHei" w:eastAsia="黑体"/>
          <w:sz w:val="24"/>
        </w:rPr>
        <w:t>）一年内一次性事假超过</w:t>
      </w:r>
      <w:r>
        <w:rPr>
          <w:rFonts w:ascii="SimHei" w:hAnsi="SimHei" w:eastAsia="黑体"/>
          <w:sz w:val="24"/>
        </w:rPr>
        <w:t>25</w:t>
      </w:r>
      <w:r>
        <w:rPr>
          <w:rFonts w:ascii="SimHei" w:hAnsi="SimHei" w:eastAsia="黑体"/>
          <w:sz w:val="24"/>
        </w:rPr>
        <w:t>天或累计事假超过</w:t>
      </w:r>
      <w:r>
        <w:rPr>
          <w:rFonts w:ascii="SimHei" w:hAnsi="SimHei" w:eastAsia="黑体"/>
          <w:sz w:val="24"/>
        </w:rPr>
        <w:t>30</w:t>
      </w:r>
      <w:r>
        <w:rPr>
          <w:rFonts w:ascii="SimHei" w:hAnsi="SimHei" w:eastAsia="黑体"/>
          <w:sz w:val="24"/>
        </w:rPr>
        <w:t>天；</w:t>
      </w:r>
    </w:p>
    <w:p>
      <w:pPr>
        <w:pStyle w:val="Normal"/>
        <w:spacing w:lineRule="exact" w:line="500"/>
        <w:ind w:firstLine="720"/>
        <w:rPr>
          <w:sz w:val="24"/>
        </w:rPr>
      </w:pPr>
      <w:r>
        <w:rPr>
          <w:rFonts w:ascii="SimHei" w:hAnsi="SimHei" w:eastAsia="黑体"/>
          <w:sz w:val="24"/>
        </w:rPr>
        <w:t>（</w:t>
      </w:r>
      <w:r>
        <w:rPr>
          <w:rFonts w:ascii="SimHei" w:hAnsi="SimHei" w:eastAsia="黑体"/>
          <w:sz w:val="24"/>
        </w:rPr>
        <w:t>3</w:t>
      </w:r>
      <w:r>
        <w:rPr>
          <w:rFonts w:ascii="SimHei" w:hAnsi="SimHei" w:eastAsia="黑体"/>
          <w:sz w:val="24"/>
        </w:rPr>
        <w:t>）一年内病、事假相加超过</w:t>
      </w:r>
      <w:r>
        <w:rPr>
          <w:rFonts w:ascii="SimHei" w:hAnsi="SimHei" w:eastAsia="黑体"/>
          <w:sz w:val="24"/>
        </w:rPr>
        <w:t>50</w:t>
      </w:r>
      <w:r>
        <w:rPr>
          <w:rFonts w:ascii="SimHei" w:hAnsi="SimHei" w:eastAsia="黑体"/>
          <w:sz w:val="24"/>
        </w:rPr>
        <w:t>天；</w:t>
      </w:r>
    </w:p>
    <w:p>
      <w:pPr>
        <w:pStyle w:val="Normal"/>
        <w:spacing w:lineRule="exact" w:line="500"/>
        <w:ind w:firstLine="720"/>
        <w:rPr>
          <w:sz w:val="24"/>
        </w:rPr>
      </w:pPr>
      <w:r>
        <w:rPr>
          <w:rFonts w:ascii="SimHei" w:hAnsi="SimHei" w:eastAsia="黑体"/>
          <w:sz w:val="24"/>
        </w:rPr>
        <w:t>（</w:t>
      </w:r>
      <w:r>
        <w:rPr>
          <w:rFonts w:ascii="SimHei" w:hAnsi="SimHei" w:eastAsia="黑体"/>
          <w:sz w:val="24"/>
        </w:rPr>
        <w:t>4</w:t>
      </w:r>
      <w:r>
        <w:rPr>
          <w:rFonts w:ascii="SimHei" w:hAnsi="SimHei" w:eastAsia="黑体"/>
          <w:sz w:val="24"/>
        </w:rPr>
        <w:t>）一年内休产假超过</w:t>
      </w:r>
      <w:r>
        <w:rPr>
          <w:rFonts w:ascii="SimHei" w:hAnsi="SimHei" w:eastAsia="黑体"/>
          <w:sz w:val="24"/>
        </w:rPr>
        <w:t>30</w:t>
      </w:r>
      <w:r>
        <w:rPr>
          <w:rFonts w:ascii="SimHei" w:hAnsi="SimHei" w:eastAsia="黑体"/>
          <w:sz w:val="24"/>
        </w:rPr>
        <w:t>天。</w:t>
      </w:r>
    </w:p>
    <w:p>
      <w:pPr>
        <w:pStyle w:val="Normal"/>
        <w:spacing w:lineRule="exact" w:line="500"/>
        <w:ind w:firstLine="840"/>
        <w:rPr>
          <w:sz w:val="24"/>
        </w:rPr>
      </w:pPr>
      <w:r>
        <w:rPr>
          <w:rFonts w:ascii="SimHei" w:hAnsi="SimHei" w:eastAsia="黑体"/>
          <w:sz w:val="24"/>
        </w:rPr>
        <w:t>如在年休假或探亲假后再请病假、事假超过上述规定时间的，则在下一年度取消年休假或探亲假。</w:t>
      </w:r>
    </w:p>
    <w:p>
      <w:pPr>
        <w:pStyle w:val="Normal"/>
        <w:spacing w:lineRule="exact" w:line="500"/>
        <w:rPr/>
      </w:pPr>
      <w:r>
        <w:rPr>
          <w:rFonts w:ascii="SimHei" w:hAnsi="SimHei" w:eastAsia="黑体"/>
          <w:sz w:val="24"/>
        </w:rPr>
        <w:t xml:space="preserve">5.6.5 </w:t>
      </w:r>
      <w:r>
        <w:rPr>
          <w:rFonts w:ascii="SimHei" w:hAnsi="SimHei" w:eastAsia="黑体"/>
          <w:sz w:val="24"/>
        </w:rPr>
        <w:t>重要节假日</w:t>
      </w:r>
      <w:r>
        <w:rPr>
          <w:rFonts w:eastAsia="黑体" w:ascii="SimHei" w:hAnsi="SimHei"/>
          <w:sz w:val="24"/>
        </w:rPr>
        <w:t xml:space="preserve"> </w:t>
      </w:r>
    </w:p>
    <w:p>
      <w:pPr>
        <w:pStyle w:val="Normal"/>
        <w:spacing w:lineRule="exact" w:line="500"/>
        <w:ind w:firstLine="600"/>
        <w:rPr/>
      </w:pPr>
      <w:r>
        <w:rPr>
          <w:rFonts w:ascii="SimHei" w:hAnsi="SimHei" w:eastAsia="黑体"/>
          <w:sz w:val="24"/>
        </w:rPr>
        <w:t>元</w:t>
      </w:r>
      <w:r>
        <w:rPr>
          <w:rFonts w:eastAsia="黑体" w:ascii="SimHei" w:hAnsi="SimHei"/>
          <w:sz w:val="24"/>
        </w:rPr>
        <w:t xml:space="preserve">  </w:t>
      </w:r>
      <w:r>
        <w:rPr>
          <w:rFonts w:ascii="SimHei" w:hAnsi="SimHei" w:eastAsia="黑体"/>
          <w:sz w:val="24"/>
        </w:rPr>
        <w:t>旦</w:t>
      </w:r>
      <w:r>
        <w:rPr>
          <w:rFonts w:eastAsia="黑体" w:ascii="SimHei" w:hAnsi="SimHei"/>
          <w:sz w:val="24"/>
        </w:rPr>
        <w:t xml:space="preserve"> </w:t>
      </w:r>
      <w:r>
        <w:rPr>
          <w:rFonts w:ascii="SimHei" w:hAnsi="SimHei" w:eastAsia="黑体"/>
          <w:sz w:val="24"/>
        </w:rPr>
        <w:t>放假</w:t>
      </w:r>
      <w:r>
        <w:rPr>
          <w:rFonts w:ascii="SimHei" w:hAnsi="SimHei" w:eastAsia="黑体"/>
          <w:sz w:val="24"/>
        </w:rPr>
        <w:t>1</w:t>
      </w:r>
      <w:r>
        <w:rPr>
          <w:rFonts w:ascii="SimHei" w:hAnsi="SimHei" w:eastAsia="黑体"/>
          <w:sz w:val="24"/>
        </w:rPr>
        <w:t>天</w:t>
      </w:r>
    </w:p>
    <w:p>
      <w:pPr>
        <w:pStyle w:val="Normal"/>
        <w:spacing w:lineRule="exact" w:line="500"/>
        <w:ind w:firstLine="600"/>
        <w:rPr/>
      </w:pPr>
      <w:r>
        <w:rPr>
          <w:rFonts w:ascii="SimHei" w:hAnsi="SimHei" w:eastAsia="黑体"/>
          <w:sz w:val="24"/>
        </w:rPr>
        <w:t>春</w:t>
      </w:r>
      <w:r>
        <w:rPr>
          <w:rFonts w:eastAsia="黑体" w:ascii="SimHei" w:hAnsi="SimHei"/>
          <w:sz w:val="24"/>
        </w:rPr>
        <w:t xml:space="preserve">  </w:t>
      </w:r>
      <w:r>
        <w:rPr>
          <w:rFonts w:ascii="SimHei" w:hAnsi="SimHei" w:eastAsia="黑体"/>
          <w:sz w:val="24"/>
        </w:rPr>
        <w:t>节</w:t>
      </w:r>
      <w:r>
        <w:rPr>
          <w:rFonts w:eastAsia="黑体" w:ascii="SimHei" w:hAnsi="SimHei"/>
          <w:sz w:val="24"/>
        </w:rPr>
        <w:t xml:space="preserve"> </w:t>
      </w:r>
      <w:r>
        <w:rPr>
          <w:rFonts w:ascii="SimHei" w:hAnsi="SimHei" w:eastAsia="黑体"/>
          <w:sz w:val="24"/>
        </w:rPr>
        <w:t>放假</w:t>
      </w:r>
      <w:r>
        <w:rPr>
          <w:rFonts w:ascii="SimHei" w:hAnsi="SimHei" w:eastAsia="黑体"/>
          <w:sz w:val="24"/>
        </w:rPr>
        <w:t>10</w:t>
      </w:r>
      <w:r>
        <w:rPr>
          <w:rFonts w:ascii="SimHei" w:hAnsi="SimHei" w:eastAsia="黑体"/>
          <w:sz w:val="24"/>
        </w:rPr>
        <w:t>天</w:t>
      </w:r>
    </w:p>
    <w:p>
      <w:pPr>
        <w:pStyle w:val="Normal"/>
        <w:spacing w:lineRule="exact" w:line="500"/>
        <w:ind w:firstLine="600"/>
        <w:rPr>
          <w:sz w:val="24"/>
        </w:rPr>
      </w:pPr>
      <w:r>
        <w:rPr>
          <w:rFonts w:ascii="SimHei" w:hAnsi="SimHei" w:eastAsia="黑体"/>
          <w:sz w:val="24"/>
        </w:rPr>
        <w:t>五一节</w:t>
      </w:r>
      <w:r>
        <w:rPr>
          <w:rFonts w:eastAsia="黑体" w:ascii="SimHei" w:hAnsi="SimHei"/>
          <w:sz w:val="24"/>
        </w:rPr>
        <w:t xml:space="preserve"> </w:t>
      </w:r>
      <w:r>
        <w:rPr>
          <w:rFonts w:ascii="SimHei" w:hAnsi="SimHei" w:eastAsia="黑体"/>
          <w:sz w:val="24"/>
        </w:rPr>
        <w:t>放假</w:t>
      </w:r>
      <w:r>
        <w:rPr>
          <w:rFonts w:ascii="SimHei" w:hAnsi="SimHei" w:eastAsia="黑体"/>
          <w:sz w:val="24"/>
        </w:rPr>
        <w:t>3</w:t>
      </w:r>
      <w:r>
        <w:rPr>
          <w:rFonts w:ascii="SimHei" w:hAnsi="SimHei" w:eastAsia="黑体"/>
          <w:sz w:val="24"/>
        </w:rPr>
        <w:t>天</w:t>
      </w:r>
    </w:p>
    <w:p>
      <w:pPr>
        <w:pStyle w:val="Normal"/>
        <w:spacing w:lineRule="exact" w:line="500"/>
        <w:ind w:firstLine="600"/>
        <w:rPr>
          <w:sz w:val="24"/>
        </w:rPr>
      </w:pPr>
      <w:r>
        <w:rPr>
          <w:rFonts w:ascii="SimHei" w:hAnsi="SimHei" w:eastAsia="黑体"/>
          <w:sz w:val="24"/>
        </w:rPr>
        <w:t>国庆节</w:t>
      </w:r>
      <w:r>
        <w:rPr>
          <w:rFonts w:eastAsia="黑体" w:ascii="SimHei" w:hAnsi="SimHei"/>
          <w:sz w:val="24"/>
        </w:rPr>
        <w:t xml:space="preserve"> </w:t>
      </w:r>
      <w:r>
        <w:rPr>
          <w:rFonts w:ascii="SimHei" w:hAnsi="SimHei" w:eastAsia="黑体"/>
          <w:sz w:val="24"/>
        </w:rPr>
        <w:t>放假</w:t>
      </w:r>
      <w:r>
        <w:rPr>
          <w:rFonts w:ascii="SimHei" w:hAnsi="SimHei" w:eastAsia="黑体"/>
          <w:sz w:val="24"/>
        </w:rPr>
        <w:t>3</w:t>
      </w:r>
      <w:r>
        <w:rPr>
          <w:rFonts w:ascii="SimHei" w:hAnsi="SimHei" w:eastAsia="黑体"/>
          <w:sz w:val="24"/>
        </w:rPr>
        <w:t>天</w:t>
      </w:r>
    </w:p>
    <w:p>
      <w:pPr>
        <w:pStyle w:val="Normal"/>
        <w:spacing w:lineRule="exact" w:line="500"/>
        <w:ind w:firstLine="600"/>
        <w:rPr>
          <w:sz w:val="24"/>
        </w:rPr>
      </w:pPr>
      <w:r>
        <w:rPr>
          <w:rFonts w:ascii="SimHei" w:hAnsi="SimHei" w:eastAsia="黑体"/>
          <w:sz w:val="24"/>
        </w:rPr>
        <w:t>端午节</w:t>
      </w:r>
      <w:r>
        <w:rPr>
          <w:rFonts w:eastAsia="黑体" w:ascii="SimHei" w:hAnsi="SimHei"/>
          <w:sz w:val="24"/>
        </w:rPr>
        <w:t xml:space="preserve"> </w:t>
      </w:r>
      <w:r>
        <w:rPr>
          <w:rFonts w:ascii="SimHei" w:hAnsi="SimHei" w:eastAsia="黑体"/>
          <w:sz w:val="24"/>
        </w:rPr>
        <w:t>放假</w:t>
      </w:r>
      <w:r>
        <w:rPr>
          <w:rFonts w:ascii="SimHei" w:hAnsi="SimHei" w:eastAsia="黑体"/>
          <w:sz w:val="24"/>
        </w:rPr>
        <w:t>3</w:t>
      </w:r>
      <w:r>
        <w:rPr>
          <w:rFonts w:ascii="SimHei" w:hAnsi="SimHei" w:eastAsia="黑体"/>
          <w:sz w:val="24"/>
        </w:rPr>
        <w:t>天</w:t>
      </w:r>
    </w:p>
    <w:p>
      <w:pPr>
        <w:pStyle w:val="Normal"/>
        <w:spacing w:lineRule="exact" w:line="500"/>
        <w:ind w:firstLine="600"/>
        <w:rPr>
          <w:sz w:val="24"/>
        </w:rPr>
      </w:pPr>
      <w:r>
        <w:rPr>
          <w:rFonts w:ascii="SimHei" w:hAnsi="SimHei" w:eastAsia="黑体"/>
          <w:sz w:val="24"/>
        </w:rPr>
        <w:t>清明节</w:t>
      </w:r>
      <w:r>
        <w:rPr>
          <w:rFonts w:eastAsia="黑体" w:ascii="SimHei" w:hAnsi="SimHei"/>
          <w:sz w:val="24"/>
        </w:rPr>
        <w:t xml:space="preserve"> </w:t>
      </w:r>
      <w:r>
        <w:rPr>
          <w:rFonts w:ascii="SimHei" w:hAnsi="SimHei" w:eastAsia="黑体"/>
          <w:sz w:val="24"/>
        </w:rPr>
        <w:t>放假</w:t>
      </w:r>
      <w:r>
        <w:rPr>
          <w:rFonts w:ascii="SimHei" w:hAnsi="SimHei" w:eastAsia="黑体"/>
          <w:sz w:val="24"/>
        </w:rPr>
        <w:t>1</w:t>
      </w:r>
      <w:r>
        <w:rPr>
          <w:rFonts w:ascii="SimHei" w:hAnsi="SimHei" w:eastAsia="黑体"/>
          <w:sz w:val="24"/>
        </w:rPr>
        <w:t>天</w:t>
      </w:r>
    </w:p>
    <w:p>
      <w:pPr>
        <w:pStyle w:val="Normal"/>
        <w:spacing w:lineRule="exact" w:line="500"/>
        <w:rPr/>
      </w:pPr>
      <w:r>
        <w:rPr>
          <w:rFonts w:ascii="SimHei" w:hAnsi="SimHei" w:eastAsia="黑体"/>
          <w:sz w:val="24"/>
        </w:rPr>
        <w:t xml:space="preserve">5.6.6 </w:t>
      </w:r>
      <w:r>
        <w:rPr>
          <w:rFonts w:ascii="SimHei" w:hAnsi="SimHei" w:eastAsia="黑体"/>
          <w:sz w:val="24"/>
        </w:rPr>
        <w:t>探亲假</w:t>
      </w:r>
      <w:r>
        <w:rPr>
          <w:rFonts w:eastAsia="黑体" w:ascii="SimHei" w:hAnsi="SimHei"/>
          <w:sz w:val="24"/>
        </w:rPr>
        <w:t xml:space="preserve"> </w:t>
      </w:r>
    </w:p>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）与配偶分居两地，每年职员可享受一次为期</w:t>
      </w:r>
      <w:r>
        <w:rPr>
          <w:rFonts w:ascii="SimHei" w:hAnsi="SimHei" w:eastAsia="黑体"/>
          <w:sz w:val="24"/>
        </w:rPr>
        <w:t>30</w:t>
      </w:r>
      <w:r>
        <w:rPr>
          <w:rFonts w:ascii="SimHei" w:hAnsi="SimHei" w:eastAsia="黑体"/>
          <w:sz w:val="24"/>
        </w:rPr>
        <w:t>天的探亲假；</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）未婚、父母均在外地居住，每年职员可享受为期</w:t>
      </w:r>
      <w:r>
        <w:rPr>
          <w:rFonts w:ascii="SimHei" w:hAnsi="SimHei" w:eastAsia="黑体"/>
          <w:sz w:val="24"/>
        </w:rPr>
        <w:t>20</w:t>
      </w:r>
      <w:r>
        <w:rPr>
          <w:rFonts w:ascii="SimHei" w:hAnsi="SimHei" w:eastAsia="黑体"/>
          <w:sz w:val="24"/>
        </w:rPr>
        <w:t>天的探亲假；</w:t>
      </w:r>
    </w:p>
    <w:p>
      <w:pPr>
        <w:pStyle w:val="Normal"/>
        <w:spacing w:lineRule="exact" w:line="500"/>
        <w:ind w:firstLine="480"/>
        <w:rPr>
          <w:sz w:val="24"/>
        </w:rPr>
      </w:pPr>
      <w:r>
        <w:rPr>
          <w:rFonts w:ascii="SimHei" w:hAnsi="SimHei" w:eastAsia="黑体"/>
          <w:sz w:val="24"/>
        </w:rPr>
        <w:t>（</w:t>
      </w:r>
      <w:r>
        <w:rPr>
          <w:rFonts w:ascii="SimHei" w:hAnsi="SimHei" w:eastAsia="黑体"/>
          <w:sz w:val="24"/>
        </w:rPr>
        <w:t>3</w:t>
      </w:r>
      <w:r>
        <w:rPr>
          <w:rFonts w:ascii="SimHei" w:hAnsi="SimHei" w:eastAsia="黑体"/>
          <w:sz w:val="24"/>
        </w:rPr>
        <w:t>）已婚而父母均在外地居住，每四年职员可享受为期</w:t>
      </w:r>
      <w:r>
        <w:rPr>
          <w:rFonts w:ascii="SimHei" w:hAnsi="SimHei" w:eastAsia="黑体"/>
          <w:sz w:val="24"/>
        </w:rPr>
        <w:t>20</w:t>
      </w:r>
      <w:r>
        <w:rPr>
          <w:rFonts w:ascii="SimHei" w:hAnsi="SimHei" w:eastAsia="黑体"/>
          <w:sz w:val="24"/>
        </w:rPr>
        <w:t>天的探亲假，此假应在第四年享受；</w:t>
      </w:r>
    </w:p>
    <w:p>
      <w:pPr>
        <w:pStyle w:val="Normal"/>
        <w:spacing w:lineRule="exact" w:line="500"/>
        <w:ind w:firstLine="480"/>
        <w:rPr>
          <w:sz w:val="24"/>
        </w:rPr>
      </w:pPr>
      <w:r>
        <w:rPr>
          <w:rFonts w:ascii="SimHei" w:hAnsi="SimHei" w:eastAsia="黑体"/>
          <w:sz w:val="24"/>
        </w:rPr>
        <w:t>（</w:t>
      </w:r>
      <w:r>
        <w:rPr>
          <w:rFonts w:ascii="SimHei" w:hAnsi="SimHei" w:eastAsia="黑体"/>
          <w:sz w:val="24"/>
        </w:rPr>
        <w:t>4</w:t>
      </w:r>
      <w:r>
        <w:rPr>
          <w:rFonts w:ascii="SimHei" w:hAnsi="SimHei" w:eastAsia="黑体"/>
          <w:sz w:val="24"/>
        </w:rPr>
        <w:t>）由于业务拓展需要被派往原工作城市外非家庭所在地工作，且外派时间超过</w:t>
      </w:r>
      <w:r>
        <w:rPr>
          <w:rFonts w:ascii="SimHei" w:hAnsi="SimHei" w:eastAsia="黑体"/>
          <w:sz w:val="24"/>
        </w:rPr>
        <w:t>5</w:t>
      </w:r>
      <w:r>
        <w:rPr>
          <w:rFonts w:ascii="SimHei" w:hAnsi="SimHei" w:eastAsia="黑体"/>
          <w:sz w:val="24"/>
        </w:rPr>
        <w:t>个月，职员可享受上述规定探亲假；</w:t>
      </w:r>
      <w:r>
        <w:rPr>
          <w:rFonts w:eastAsia="黑体" w:ascii="SimHei" w:hAnsi="SimHei"/>
          <w:sz w:val="24"/>
        </w:rPr>
        <w:t xml:space="preserve"> </w:t>
      </w:r>
    </w:p>
    <w:p>
      <w:pPr>
        <w:pStyle w:val="Normal"/>
        <w:spacing w:lineRule="exact" w:line="500"/>
        <w:ind w:firstLine="480"/>
        <w:rPr>
          <w:sz w:val="24"/>
        </w:rPr>
      </w:pPr>
      <w:r>
        <w:rPr>
          <w:rFonts w:ascii="SimHei" w:hAnsi="SimHei" w:eastAsia="黑体"/>
          <w:sz w:val="24"/>
        </w:rPr>
        <w:t>（</w:t>
      </w:r>
      <w:r>
        <w:rPr>
          <w:rFonts w:ascii="SimHei" w:hAnsi="SimHei" w:eastAsia="黑体"/>
          <w:sz w:val="24"/>
        </w:rPr>
        <w:t>5</w:t>
      </w:r>
      <w:r>
        <w:rPr>
          <w:rFonts w:ascii="SimHei" w:hAnsi="SimHei" w:eastAsia="黑体"/>
          <w:sz w:val="24"/>
        </w:rPr>
        <w:t>）享受探亲假者，公司将一次性发给</w:t>
      </w:r>
      <w:r>
        <w:rPr>
          <w:rFonts w:ascii="SimHei" w:hAnsi="SimHei" w:eastAsia="黑体"/>
          <w:sz w:val="24"/>
        </w:rPr>
        <w:t>300</w:t>
      </w:r>
      <w:r>
        <w:rPr>
          <w:rFonts w:ascii="SimHei" w:hAnsi="SimHei" w:eastAsia="黑体"/>
          <w:sz w:val="24"/>
        </w:rPr>
        <w:t>元补贴，不再报销任何费用。</w:t>
      </w:r>
    </w:p>
    <w:p>
      <w:pPr>
        <w:pStyle w:val="Normal"/>
        <w:spacing w:lineRule="exact" w:line="500"/>
        <w:rPr/>
      </w:pPr>
      <w:r>
        <w:rPr>
          <w:rFonts w:ascii="SimHei" w:hAnsi="SimHei" w:eastAsia="黑体"/>
          <w:sz w:val="24"/>
        </w:rPr>
        <w:t xml:space="preserve">5.6.7 </w:t>
      </w:r>
      <w:r>
        <w:rPr>
          <w:rFonts w:ascii="SimHei" w:hAnsi="SimHei" w:eastAsia="黑体"/>
        </w:rPr>
        <w:t>年休假</w:t>
      </w:r>
      <w:r>
        <w:rPr>
          <w:rFonts w:eastAsia="黑体" w:ascii="SimHei" w:hAnsi="SimHei"/>
        </w:rPr>
        <w:t xml:space="preserve"> </w:t>
      </w:r>
    </w:p>
    <w:tbl>
      <w:tblPr>
        <w:tblW w:w="7230" w:type="dxa"/>
        <w:jc w:val="center"/>
        <w:tblInd w:w="0" w:type="dxa"/>
        <w:tblLayout w:type="fixed"/>
        <w:tblCellMar>
          <w:top w:w="30" w:type="dxa"/>
          <w:start w:w="30" w:type="dxa"/>
          <w:bottom w:w="30" w:type="dxa"/>
          <w:end w:w="30" w:type="dxa"/>
        </w:tblCellMar>
      </w:tblPr>
      <w:tblGrid>
        <w:gridCol w:w="3543"/>
        <w:gridCol w:w="3687"/>
      </w:tblGrid>
      <w:tr>
        <w:trPr>
          <w:trHeight w:val="283" w:hRule="atLeast"/>
        </w:trPr>
        <w:tc>
          <w:tcPr>
            <w:tcW w:w="3543"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rPr>
              <w:t xml:space="preserve">  </w:t>
            </w:r>
            <w:r>
              <w:rPr>
                <w:rFonts w:ascii="SimHei" w:hAnsi="SimHei" w:eastAsia="黑体"/>
              </w:rPr>
              <w:t xml:space="preserve">  </w:t>
            </w:r>
            <w:r>
              <w:rPr>
                <w:rFonts w:ascii="SimHei" w:hAnsi="SimHei" w:eastAsia="黑体"/>
              </w:rPr>
              <w:t xml:space="preserve"> </w:t>
            </w:r>
            <w:r>
              <w:rPr>
                <w:rFonts w:ascii="SimHei" w:hAnsi="SimHei" w:eastAsia="黑体"/>
                <w:sz w:val="21"/>
                <w:szCs w:val="21"/>
              </w:rPr>
              <w:t>工龄</w:t>
            </w:r>
            <w:r>
              <w:rPr>
                <w:rFonts w:ascii="SimHei" w:hAnsi="SimHei" w:eastAsia="黑体"/>
                <w:sz w:val="21"/>
                <w:szCs w:val="21"/>
              </w:rPr>
              <w:t>Y</w:t>
            </w:r>
            <w:r>
              <w:rPr>
                <w:rFonts w:ascii="SimHei" w:hAnsi="SimHei" w:eastAsia="黑体"/>
                <w:sz w:val="21"/>
                <w:szCs w:val="21"/>
              </w:rPr>
              <w:t xml:space="preserve">（年） </w:t>
            </w:r>
          </w:p>
        </w:tc>
        <w:tc>
          <w:tcPr>
            <w:tcW w:w="3687"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sz w:val="21"/>
                <w:szCs w:val="21"/>
              </w:rPr>
              <w:t>年休假时间</w:t>
            </w:r>
            <w:r>
              <w:rPr>
                <w:rFonts w:ascii="SimHei" w:hAnsi="SimHei" w:eastAsia="黑体"/>
                <w:sz w:val="21"/>
                <w:szCs w:val="21"/>
              </w:rPr>
              <w:t xml:space="preserve"> </w:t>
            </w:r>
          </w:p>
        </w:tc>
      </w:tr>
      <w:tr>
        <w:trPr>
          <w:trHeight w:val="283" w:hRule="atLeast"/>
        </w:trPr>
        <w:tc>
          <w:tcPr>
            <w:tcW w:w="3543"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 xml:space="preserve">1≤Y&lt;5 </w:t>
            </w:r>
          </w:p>
        </w:tc>
        <w:tc>
          <w:tcPr>
            <w:tcW w:w="3687"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5</w:t>
            </w:r>
            <w:r>
              <w:rPr>
                <w:rFonts w:ascii="SimHei" w:hAnsi="SimHei" w:eastAsia="黑体"/>
                <w:sz w:val="21"/>
                <w:szCs w:val="21"/>
              </w:rPr>
              <w:t xml:space="preserve">天 </w:t>
            </w:r>
          </w:p>
        </w:tc>
      </w:tr>
      <w:tr>
        <w:trPr>
          <w:trHeight w:val="283" w:hRule="atLeast"/>
        </w:trPr>
        <w:tc>
          <w:tcPr>
            <w:tcW w:w="3543"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 xml:space="preserve">5≤Y&lt;10 </w:t>
            </w:r>
          </w:p>
        </w:tc>
        <w:tc>
          <w:tcPr>
            <w:tcW w:w="3687"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10</w:t>
            </w:r>
            <w:r>
              <w:rPr>
                <w:rFonts w:ascii="SimHei" w:hAnsi="SimHei" w:eastAsia="黑体"/>
                <w:sz w:val="21"/>
                <w:szCs w:val="21"/>
              </w:rPr>
              <w:t xml:space="preserve">天 </w:t>
            </w:r>
          </w:p>
        </w:tc>
      </w:tr>
      <w:tr>
        <w:trPr>
          <w:trHeight w:val="283" w:hRule="atLeast"/>
        </w:trPr>
        <w:tc>
          <w:tcPr>
            <w:tcW w:w="3543"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 xml:space="preserve">10≤Y&lt;20 </w:t>
            </w:r>
          </w:p>
        </w:tc>
        <w:tc>
          <w:tcPr>
            <w:tcW w:w="3687"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15</w:t>
            </w:r>
            <w:r>
              <w:rPr>
                <w:rFonts w:ascii="SimHei" w:hAnsi="SimHei" w:eastAsia="黑体"/>
                <w:sz w:val="21"/>
                <w:szCs w:val="21"/>
              </w:rPr>
              <w:t xml:space="preserve">天 </w:t>
            </w:r>
          </w:p>
        </w:tc>
      </w:tr>
      <w:tr>
        <w:trPr>
          <w:trHeight w:val="283" w:hRule="atLeast"/>
        </w:trPr>
        <w:tc>
          <w:tcPr>
            <w:tcW w:w="3543"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 xml:space="preserve">Y≥20 </w:t>
            </w:r>
          </w:p>
        </w:tc>
        <w:tc>
          <w:tcPr>
            <w:tcW w:w="3687"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20</w:t>
            </w:r>
            <w:r>
              <w:rPr>
                <w:rFonts w:ascii="SimHei" w:hAnsi="SimHei" w:eastAsia="黑体"/>
                <w:sz w:val="21"/>
                <w:szCs w:val="21"/>
              </w:rPr>
              <w:t xml:space="preserve">天 </w:t>
            </w:r>
          </w:p>
        </w:tc>
      </w:tr>
    </w:tbl>
    <w:p>
      <w:pPr>
        <w:pStyle w:val="Normal"/>
        <w:spacing w:lineRule="exact" w:line="500"/>
        <w:rPr/>
      </w:pPr>
      <w:r>
        <w:rPr>
          <w:rFonts w:eastAsia="黑体" w:ascii="SimHei" w:hAnsi="SimHei"/>
          <w:sz w:val="24"/>
        </w:rPr>
        <w:t xml:space="preserve"> </w:t>
      </w:r>
      <w:r>
        <w:rPr>
          <w:rFonts w:eastAsia="黑体" w:ascii="SimHei" w:hAnsi="SimHei"/>
          <w:sz w:val="24"/>
        </w:rPr>
        <w:t xml:space="preserve">    </w:t>
      </w:r>
      <w:r>
        <w:rPr>
          <w:rFonts w:ascii="SimHei" w:hAnsi="SimHei" w:eastAsia="黑体"/>
          <w:sz w:val="24"/>
        </w:rPr>
        <w:t>（</w:t>
      </w:r>
      <w:r>
        <w:rPr>
          <w:rFonts w:ascii="SimHei" w:hAnsi="SimHei" w:eastAsia="黑体"/>
          <w:sz w:val="24"/>
        </w:rPr>
        <w:t>1</w:t>
      </w:r>
      <w:r>
        <w:rPr>
          <w:rFonts w:ascii="SimHei" w:hAnsi="SimHei" w:eastAsia="黑体"/>
          <w:sz w:val="24"/>
        </w:rPr>
        <w:t>）高中毕业直接考入大专院校的，大专院校的学龄每二年折合一年工龄，硕士以上学龄计入工龄；</w:t>
      </w:r>
      <w:r>
        <w:rPr>
          <w:rFonts w:eastAsia="黑体" w:ascii="SimHei" w:hAnsi="SimHei"/>
          <w:sz w:val="24"/>
        </w:rPr>
        <w:t xml:space="preserve"> </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）享受年休假者，公司将发给</w:t>
      </w:r>
      <w:r>
        <w:rPr>
          <w:rFonts w:ascii="SimHei" w:hAnsi="SimHei" w:eastAsia="黑体"/>
          <w:sz w:val="24"/>
        </w:rPr>
        <w:t>300</w:t>
      </w:r>
      <w:r>
        <w:rPr>
          <w:rFonts w:ascii="SimHei" w:hAnsi="SimHei" w:eastAsia="黑体"/>
          <w:sz w:val="24"/>
        </w:rPr>
        <w:t>元补贴，不再报销其它费用。</w:t>
      </w:r>
    </w:p>
    <w:p>
      <w:pPr>
        <w:pStyle w:val="Normal"/>
        <w:spacing w:lineRule="exact" w:line="500"/>
        <w:rPr/>
      </w:pPr>
      <w:r>
        <w:rPr>
          <w:rFonts w:ascii="SimHei" w:hAnsi="SimHei" w:eastAsia="黑体"/>
          <w:sz w:val="24"/>
        </w:rPr>
        <w:t xml:space="preserve">5.6.8 </w:t>
      </w:r>
      <w:r>
        <w:rPr>
          <w:rFonts w:ascii="SimHei" w:hAnsi="SimHei" w:eastAsia="黑体"/>
          <w:sz w:val="24"/>
        </w:rPr>
        <w:t>婚假</w:t>
      </w:r>
    </w:p>
    <w:p>
      <w:pPr>
        <w:pStyle w:val="Normal"/>
        <w:spacing w:lineRule="exact" w:line="500"/>
        <w:ind w:firstLine="600"/>
        <w:rPr>
          <w:sz w:val="24"/>
        </w:rPr>
      </w:pPr>
      <w:r>
        <w:rPr>
          <w:rFonts w:ascii="SimHei" w:hAnsi="SimHei" w:eastAsia="黑体"/>
          <w:sz w:val="24"/>
        </w:rPr>
        <w:t>公司对依国家婚姻法履行正式登记手续的转正职员，给婚假</w:t>
      </w:r>
      <w:r>
        <w:rPr>
          <w:rFonts w:ascii="SimHei" w:hAnsi="SimHei" w:eastAsia="黑体"/>
          <w:sz w:val="24"/>
        </w:rPr>
        <w:t>7</w:t>
      </w:r>
      <w:r>
        <w:rPr>
          <w:rFonts w:ascii="SimHei" w:hAnsi="SimHei" w:eastAsia="黑体"/>
          <w:sz w:val="24"/>
        </w:rPr>
        <w:t>天，如符合男</w:t>
      </w:r>
      <w:r>
        <w:rPr>
          <w:rFonts w:ascii="SimHei" w:hAnsi="SimHei" w:eastAsia="黑体"/>
          <w:sz w:val="24"/>
        </w:rPr>
        <w:t>25</w:t>
      </w:r>
      <w:r>
        <w:rPr>
          <w:rFonts w:ascii="SimHei" w:hAnsi="SimHei" w:eastAsia="黑体"/>
          <w:sz w:val="24"/>
        </w:rPr>
        <w:t>周岁、女</w:t>
      </w:r>
      <w:r>
        <w:rPr>
          <w:rFonts w:ascii="SimHei" w:hAnsi="SimHei" w:eastAsia="黑体"/>
          <w:sz w:val="24"/>
        </w:rPr>
        <w:t>23</w:t>
      </w:r>
      <w:r>
        <w:rPr>
          <w:rFonts w:ascii="SimHei" w:hAnsi="SimHei" w:eastAsia="黑体"/>
          <w:sz w:val="24"/>
        </w:rPr>
        <w:t>周岁及以上初婚的晚婚条件，另加</w:t>
      </w:r>
      <w:r>
        <w:rPr>
          <w:rFonts w:ascii="SimHei" w:hAnsi="SimHei" w:eastAsia="黑体"/>
          <w:sz w:val="24"/>
        </w:rPr>
        <w:t>10</w:t>
      </w:r>
      <w:r>
        <w:rPr>
          <w:rFonts w:ascii="SimHei" w:hAnsi="SimHei" w:eastAsia="黑体"/>
          <w:sz w:val="24"/>
        </w:rPr>
        <w:t>天假期。但职员必须在结婚注册日后</w:t>
      </w:r>
      <w:r>
        <w:rPr>
          <w:rFonts w:ascii="SimHei" w:hAnsi="SimHei" w:eastAsia="黑体"/>
          <w:sz w:val="24"/>
        </w:rPr>
        <w:t>5</w:t>
      </w:r>
      <w:r>
        <w:rPr>
          <w:rFonts w:ascii="SimHei" w:hAnsi="SimHei" w:eastAsia="黑体"/>
          <w:sz w:val="24"/>
        </w:rPr>
        <w:t>个月内取假。</w:t>
      </w:r>
    </w:p>
    <w:p>
      <w:pPr>
        <w:pStyle w:val="Normal"/>
        <w:spacing w:lineRule="exact" w:line="500"/>
        <w:rPr/>
      </w:pPr>
      <w:r>
        <w:rPr>
          <w:rFonts w:ascii="SimHei" w:hAnsi="SimHei" w:eastAsia="黑体"/>
          <w:sz w:val="24"/>
        </w:rPr>
        <w:t xml:space="preserve">5.6.9 </w:t>
      </w:r>
      <w:r>
        <w:rPr>
          <w:rFonts w:ascii="SimHei" w:hAnsi="SimHei" w:eastAsia="黑体"/>
          <w:sz w:val="24"/>
        </w:rPr>
        <w:t>丧假</w:t>
      </w:r>
    </w:p>
    <w:p>
      <w:pPr>
        <w:pStyle w:val="Normal"/>
        <w:spacing w:lineRule="exact" w:line="500"/>
        <w:ind w:firstLine="600"/>
        <w:rPr>
          <w:sz w:val="24"/>
        </w:rPr>
      </w:pPr>
      <w:r>
        <w:rPr>
          <w:rFonts w:ascii="SimHei" w:hAnsi="SimHei" w:eastAsia="黑体"/>
          <w:sz w:val="24"/>
        </w:rPr>
        <w:t>直系亲属（指配偶、子女、父母或配偶之父母）死亡，公司给假</w:t>
      </w:r>
      <w:r>
        <w:rPr>
          <w:rFonts w:ascii="SimHei" w:hAnsi="SimHei" w:eastAsia="黑体"/>
          <w:sz w:val="24"/>
        </w:rPr>
        <w:t>5</w:t>
      </w:r>
      <w:r>
        <w:rPr>
          <w:rFonts w:ascii="SimHei" w:hAnsi="SimHei" w:eastAsia="黑体"/>
          <w:sz w:val="24"/>
        </w:rPr>
        <w:t>天。</w:t>
      </w:r>
    </w:p>
    <w:p>
      <w:pPr>
        <w:pStyle w:val="Normal"/>
        <w:spacing w:lineRule="exact" w:line="500"/>
        <w:rPr/>
      </w:pPr>
      <w:r>
        <w:rPr>
          <w:rFonts w:ascii="SimHei" w:hAnsi="SimHei" w:eastAsia="黑体"/>
          <w:sz w:val="24"/>
        </w:rPr>
        <w:t xml:space="preserve">5.6.10 </w:t>
      </w:r>
      <w:r>
        <w:rPr>
          <w:rFonts w:ascii="SimHei" w:hAnsi="SimHei" w:eastAsia="黑体"/>
          <w:sz w:val="24"/>
        </w:rPr>
        <w:t>调动假</w:t>
      </w:r>
    </w:p>
    <w:p>
      <w:pPr>
        <w:pStyle w:val="Normal"/>
        <w:spacing w:lineRule="exact" w:line="500"/>
        <w:ind w:firstLine="600"/>
        <w:rPr/>
      </w:pPr>
      <w:r>
        <w:rPr>
          <w:rFonts w:ascii="SimHei" w:hAnsi="SimHei" w:eastAsia="黑体"/>
          <w:sz w:val="24"/>
        </w:rPr>
        <w:t>异地办理行政和户口关系调动手续，给为期</w:t>
      </w:r>
      <w:r>
        <w:rPr>
          <w:rFonts w:ascii="SimHei" w:hAnsi="SimHei" w:eastAsia="黑体"/>
          <w:sz w:val="24"/>
        </w:rPr>
        <w:t>7</w:t>
      </w:r>
      <w:r>
        <w:rPr>
          <w:rFonts w:ascii="SimHei" w:hAnsi="SimHei" w:eastAsia="黑体"/>
          <w:sz w:val="24"/>
        </w:rPr>
        <w:t>天的假期一次。</w:t>
      </w:r>
    </w:p>
    <w:p>
      <w:pPr>
        <w:pStyle w:val="Normal"/>
        <w:spacing w:lineRule="exact" w:line="500"/>
        <w:rPr/>
      </w:pPr>
      <w:r>
        <w:rPr>
          <w:rFonts w:ascii="SimHei" w:hAnsi="SimHei" w:eastAsia="黑体"/>
          <w:sz w:val="24"/>
        </w:rPr>
        <w:t xml:space="preserve">5.6.11 </w:t>
      </w:r>
      <w:r>
        <w:rPr>
          <w:rFonts w:ascii="SimHei" w:hAnsi="SimHei" w:eastAsia="黑体"/>
          <w:sz w:val="24"/>
        </w:rPr>
        <w:t>女职员产假</w:t>
      </w:r>
    </w:p>
    <w:tbl>
      <w:tblPr>
        <w:tblW w:w="8205" w:type="dxa"/>
        <w:jc w:val="center"/>
        <w:tblInd w:w="0" w:type="dxa"/>
        <w:tblLayout w:type="fixed"/>
        <w:tblCellMar>
          <w:top w:w="30" w:type="dxa"/>
          <w:start w:w="30" w:type="dxa"/>
          <w:bottom w:w="30" w:type="dxa"/>
          <w:end w:w="30" w:type="dxa"/>
        </w:tblCellMar>
      </w:tblPr>
      <w:tblGrid>
        <w:gridCol w:w="1728"/>
        <w:gridCol w:w="1640"/>
        <w:gridCol w:w="2782"/>
        <w:gridCol w:w="2055"/>
      </w:tblGrid>
      <w:tr>
        <w:trPr>
          <w:trHeight w:val="635" w:hRule="atLeast"/>
        </w:trPr>
        <w:tc>
          <w:tcPr>
            <w:tcW w:w="172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jc w:val="center"/>
              <w:rPr>
                <w:rFonts w:ascii="宋体;SimSun" w:hAnsi="宋体;SimSun" w:cs="宋体;SimSun"/>
                <w:szCs w:val="21"/>
              </w:rPr>
            </w:pPr>
            <w:r>
              <w:rPr>
                <w:rFonts w:ascii="SimHei" w:hAnsi="SimHei" w:eastAsia="黑体"/>
                <w:sz w:val="24"/>
              </w:rPr>
              <w:t xml:space="preserve">　</w:t>
            </w:r>
            <w:r>
              <w:rPr>
                <w:rFonts w:ascii="SimHei" w:hAnsi="SimHei" w:eastAsia="黑体"/>
                <w:sz w:val="24"/>
              </w:rPr>
              <w:tab/>
            </w:r>
            <w:r>
              <w:rPr>
                <w:rFonts w:ascii="SimHei" w:hAnsi="SimHei" w:cs="宋体;SimSun" w:eastAsia="黑体"/>
                <w:szCs w:val="21"/>
              </w:rPr>
              <w:t>类别</w:t>
            </w:r>
          </w:p>
        </w:tc>
        <w:tc>
          <w:tcPr>
            <w:tcW w:w="1640"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sz w:val="21"/>
                <w:szCs w:val="21"/>
              </w:rPr>
              <w:t>产假</w:t>
            </w:r>
            <w:r>
              <w:rPr>
                <w:rFonts w:ascii="SimHei" w:hAnsi="SimHei" w:eastAsia="黑体"/>
                <w:sz w:val="21"/>
                <w:szCs w:val="21"/>
              </w:rPr>
              <w:t xml:space="preserve"> </w:t>
            </w:r>
          </w:p>
        </w:tc>
        <w:tc>
          <w:tcPr>
            <w:tcW w:w="2782"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领独生子女证</w:t>
            </w:r>
            <w:r>
              <w:rPr>
                <w:rFonts w:ascii="SimHei" w:hAnsi="SimHei" w:eastAsia="黑体"/>
                <w:sz w:val="21"/>
                <w:szCs w:val="21"/>
              </w:rPr>
              <w:br/>
            </w:r>
            <w:r>
              <w:rPr>
                <w:rFonts w:ascii="SimHei" w:hAnsi="SimHei" w:eastAsia="黑体"/>
                <w:sz w:val="21"/>
                <w:szCs w:val="21"/>
              </w:rPr>
              <w:t>增加假期</w:t>
            </w:r>
          </w:p>
        </w:tc>
        <w:tc>
          <w:tcPr>
            <w:tcW w:w="2055"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sz w:val="21"/>
                <w:szCs w:val="21"/>
              </w:rPr>
              <w:t>产假</w:t>
            </w:r>
            <w:r>
              <w:rPr>
                <w:rFonts w:ascii="SimHei" w:hAnsi="SimHei" w:eastAsia="黑体"/>
                <w:sz w:val="21"/>
                <w:szCs w:val="21"/>
              </w:rPr>
              <w:t xml:space="preserve">合计 </w:t>
            </w:r>
          </w:p>
        </w:tc>
      </w:tr>
      <w:tr>
        <w:trPr/>
        <w:tc>
          <w:tcPr>
            <w:tcW w:w="1728"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sz w:val="21"/>
                <w:szCs w:val="21"/>
              </w:rPr>
              <w:t>非晚育</w:t>
            </w:r>
            <w:r>
              <w:rPr>
                <w:rFonts w:ascii="SimHei" w:hAnsi="SimHei" w:eastAsia="黑体"/>
                <w:sz w:val="21"/>
                <w:szCs w:val="21"/>
              </w:rPr>
              <w:t xml:space="preserve"> </w:t>
            </w:r>
          </w:p>
        </w:tc>
        <w:tc>
          <w:tcPr>
            <w:tcW w:w="1640"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90</w:t>
            </w:r>
            <w:r>
              <w:rPr>
                <w:rFonts w:ascii="SimHei" w:hAnsi="SimHei" w:eastAsia="黑体"/>
                <w:sz w:val="21"/>
                <w:szCs w:val="21"/>
              </w:rPr>
              <w:t xml:space="preserve">天 </w:t>
            </w:r>
          </w:p>
        </w:tc>
        <w:tc>
          <w:tcPr>
            <w:tcW w:w="2782"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35</w:t>
            </w:r>
            <w:r>
              <w:rPr>
                <w:rFonts w:ascii="SimHei" w:hAnsi="SimHei" w:eastAsia="黑体"/>
                <w:sz w:val="21"/>
                <w:szCs w:val="21"/>
              </w:rPr>
              <w:t xml:space="preserve">天 </w:t>
            </w:r>
          </w:p>
        </w:tc>
        <w:tc>
          <w:tcPr>
            <w:tcW w:w="2055"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125</w:t>
            </w:r>
            <w:r>
              <w:rPr>
                <w:rFonts w:ascii="SimHei" w:hAnsi="SimHei" w:eastAsia="黑体"/>
                <w:sz w:val="21"/>
                <w:szCs w:val="21"/>
              </w:rPr>
              <w:t xml:space="preserve">天 </w:t>
            </w:r>
          </w:p>
        </w:tc>
      </w:tr>
      <w:tr>
        <w:trPr/>
        <w:tc>
          <w:tcPr>
            <w:tcW w:w="1728"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pPr>
            <w:r>
              <w:rPr>
                <w:rFonts w:ascii="SimHei" w:hAnsi="SimHei" w:eastAsia="黑体"/>
                <w:sz w:val="21"/>
                <w:szCs w:val="21"/>
              </w:rPr>
              <w:t>晚育</w:t>
            </w:r>
            <w:r>
              <w:rPr>
                <w:rFonts w:ascii="SimHei" w:hAnsi="SimHei" w:eastAsia="黑体"/>
                <w:sz w:val="21"/>
                <w:szCs w:val="21"/>
              </w:rPr>
              <w:t xml:space="preserve"> </w:t>
            </w:r>
          </w:p>
        </w:tc>
        <w:tc>
          <w:tcPr>
            <w:tcW w:w="1640"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105</w:t>
            </w:r>
            <w:r>
              <w:rPr>
                <w:rFonts w:ascii="SimHei" w:hAnsi="SimHei" w:eastAsia="黑体"/>
                <w:sz w:val="21"/>
                <w:szCs w:val="21"/>
              </w:rPr>
              <w:t xml:space="preserve">天 </w:t>
            </w:r>
          </w:p>
        </w:tc>
        <w:tc>
          <w:tcPr>
            <w:tcW w:w="2782"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35</w:t>
            </w:r>
            <w:r>
              <w:rPr>
                <w:rFonts w:ascii="SimHei" w:hAnsi="SimHei" w:eastAsia="黑体"/>
                <w:sz w:val="21"/>
                <w:szCs w:val="21"/>
              </w:rPr>
              <w:t xml:space="preserve">天 </w:t>
            </w:r>
          </w:p>
        </w:tc>
        <w:tc>
          <w:tcPr>
            <w:tcW w:w="2055" w:type="dxa"/>
            <w:tcBorders>
              <w:top w:val="thickThinLargeGap" w:sz="6" w:space="0" w:color="C0C0C0"/>
              <w:start w:val="thickThinLargeGap" w:sz="6" w:space="0" w:color="C0C0C0"/>
              <w:bottom w:val="thickThinLargeGap" w:sz="6" w:space="0" w:color="C0C0C0"/>
              <w:end w:val="thickThinLargeGap" w:sz="6" w:space="0" w:color="C0C0C0"/>
            </w:tcBorders>
          </w:tcPr>
          <w:p>
            <w:pPr>
              <w:pStyle w:val="Style16"/>
              <w:spacing w:before="280" w:after="0"/>
              <w:jc w:val="center"/>
              <w:rPr>
                <w:sz w:val="21"/>
                <w:szCs w:val="21"/>
              </w:rPr>
            </w:pPr>
            <w:r>
              <w:rPr>
                <w:rFonts w:ascii="SimHei" w:hAnsi="SimHei" w:eastAsia="黑体"/>
                <w:sz w:val="21"/>
                <w:szCs w:val="21"/>
              </w:rPr>
              <w:t>140</w:t>
            </w:r>
            <w:r>
              <w:rPr>
                <w:rFonts w:ascii="SimHei" w:hAnsi="SimHei" w:eastAsia="黑体"/>
                <w:sz w:val="21"/>
                <w:szCs w:val="21"/>
              </w:rPr>
              <w:t xml:space="preserve">天 </w:t>
            </w:r>
          </w:p>
        </w:tc>
      </w:tr>
    </w:tbl>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）男</w:t>
      </w:r>
      <w:r>
        <w:rPr>
          <w:rFonts w:ascii="SimHei" w:hAnsi="SimHei" w:eastAsia="黑体"/>
          <w:sz w:val="24"/>
        </w:rPr>
        <w:t>26</w:t>
      </w:r>
      <w:r>
        <w:rPr>
          <w:rFonts w:ascii="SimHei" w:hAnsi="SimHei" w:eastAsia="黑体"/>
          <w:sz w:val="24"/>
        </w:rPr>
        <w:t>周岁、女</w:t>
      </w:r>
      <w:r>
        <w:rPr>
          <w:rFonts w:ascii="SimHei" w:hAnsi="SimHei" w:eastAsia="黑体"/>
          <w:sz w:val="24"/>
        </w:rPr>
        <w:t>24</w:t>
      </w:r>
      <w:r>
        <w:rPr>
          <w:rFonts w:ascii="SimHei" w:hAnsi="SimHei" w:eastAsia="黑体"/>
          <w:sz w:val="24"/>
        </w:rPr>
        <w:t>周岁及以上初育为晚育；</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）产假以产前后休假累计。</w:t>
      </w:r>
    </w:p>
    <w:p>
      <w:pPr>
        <w:pStyle w:val="Normal"/>
        <w:spacing w:lineRule="exact" w:line="500"/>
        <w:ind w:firstLine="480"/>
        <w:rPr/>
      </w:pPr>
      <w:r>
        <w:rPr>
          <w:rFonts w:ascii="SimHei" w:hAnsi="SimHei" w:eastAsia="黑体"/>
          <w:sz w:val="24"/>
          <w:u w:val="single"/>
        </w:rPr>
        <w:t>注：以上为通用天数，具体天数以最新政策为准。</w:t>
      </w:r>
    </w:p>
    <w:p>
      <w:pPr>
        <w:pStyle w:val="Normal"/>
        <w:spacing w:lineRule="exact" w:line="500"/>
        <w:rPr/>
      </w:pPr>
      <w:r>
        <w:rPr>
          <w:rFonts w:ascii="SimHei" w:hAnsi="SimHei" w:eastAsia="黑体"/>
          <w:sz w:val="24"/>
        </w:rPr>
        <w:t xml:space="preserve">5.6.12 </w:t>
      </w:r>
      <w:r>
        <w:rPr>
          <w:rFonts w:ascii="SimHei" w:hAnsi="SimHei" w:eastAsia="黑体"/>
          <w:sz w:val="24"/>
        </w:rPr>
        <w:t>男职员护理假：</w:t>
      </w:r>
      <w:r>
        <w:rPr>
          <w:rFonts w:ascii="SimHei" w:hAnsi="SimHei" w:eastAsia="黑体"/>
          <w:sz w:val="24"/>
        </w:rPr>
        <w:t>10</w:t>
      </w:r>
      <w:r>
        <w:rPr>
          <w:rFonts w:ascii="SimHei" w:hAnsi="SimHei" w:eastAsia="黑体"/>
          <w:sz w:val="24"/>
        </w:rPr>
        <w:t>天（限在女方产假期间）。</w:t>
      </w:r>
    </w:p>
    <w:p>
      <w:pPr>
        <w:pStyle w:val="Normal"/>
        <w:spacing w:lineRule="exact" w:line="500"/>
        <w:rPr/>
      </w:pPr>
      <w:r>
        <w:rPr>
          <w:rFonts w:ascii="SimHei" w:hAnsi="SimHei" w:eastAsia="黑体"/>
          <w:sz w:val="24"/>
        </w:rPr>
        <w:t xml:space="preserve">5.6.13 </w:t>
      </w:r>
      <w:r>
        <w:rPr>
          <w:rFonts w:ascii="SimHei" w:hAnsi="SimHei" w:eastAsia="黑体"/>
          <w:sz w:val="24"/>
        </w:rPr>
        <w:t>哺乳假</w:t>
      </w:r>
    </w:p>
    <w:p>
      <w:pPr>
        <w:pStyle w:val="Normal"/>
        <w:spacing w:lineRule="exact" w:line="500"/>
        <w:ind w:firstLine="480"/>
        <w:rPr>
          <w:sz w:val="24"/>
        </w:rPr>
      </w:pPr>
      <w:r>
        <w:rPr>
          <w:rFonts w:ascii="SimHei" w:hAnsi="SimHei" w:eastAsia="黑体"/>
          <w:sz w:val="24"/>
        </w:rPr>
        <w:t>小孩一周岁以内，上班时间给母亲每天哺乳时间一小时（不含午餐时间）。</w:t>
      </w:r>
    </w:p>
    <w:p>
      <w:pPr>
        <w:pStyle w:val="Normal"/>
        <w:spacing w:lineRule="exact" w:line="500"/>
        <w:rPr/>
      </w:pPr>
      <w:r>
        <w:rPr>
          <w:rFonts w:ascii="SimHei" w:hAnsi="SimHei" w:eastAsia="黑体"/>
          <w:sz w:val="24"/>
        </w:rPr>
        <w:t xml:space="preserve">5.6.14 </w:t>
      </w:r>
      <w:r>
        <w:rPr>
          <w:rFonts w:ascii="SimHei" w:hAnsi="SimHei" w:eastAsia="黑体"/>
          <w:sz w:val="24"/>
        </w:rPr>
        <w:t>计划生育假</w:t>
      </w:r>
    </w:p>
    <w:p>
      <w:pPr>
        <w:pStyle w:val="Normal"/>
        <w:spacing w:lineRule="exact" w:line="500"/>
        <w:ind w:firstLine="480"/>
        <w:rPr>
          <w:sz w:val="24"/>
        </w:rPr>
      </w:pPr>
      <w:r>
        <w:rPr>
          <w:rFonts w:ascii="SimHei" w:hAnsi="SimHei" w:eastAsia="黑体"/>
          <w:sz w:val="24"/>
        </w:rPr>
        <w:t>职员必须遵守政府有关计划生育的规定，计划生育假按国家规定执行。</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31"/>
        </w:numPr>
        <w:snapToGrid w:val="true"/>
        <w:spacing w:lineRule="auto" w:line="415" w:before="260" w:after="260"/>
        <w:jc w:val="both"/>
        <w:rPr/>
      </w:pPr>
      <w:bookmarkStart w:id="37" w:name="__RefHeading___Toc427859440"/>
      <w:bookmarkEnd w:id="37"/>
      <w:r>
        <w:rPr>
          <w:rFonts w:ascii="SimHei" w:hAnsi="SimHei" w:eastAsia="黑体"/>
        </w:rPr>
        <w:t>社会保险</w:t>
      </w:r>
    </w:p>
    <w:p>
      <w:pPr>
        <w:pStyle w:val="Normal"/>
        <w:numPr>
          <w:ilvl w:val="2"/>
          <w:numId w:val="31"/>
        </w:numPr>
        <w:spacing w:lineRule="exact" w:line="500"/>
        <w:rPr>
          <w:sz w:val="24"/>
        </w:rPr>
      </w:pPr>
      <w:r>
        <w:rPr>
          <w:rFonts w:ascii="SimHei" w:hAnsi="SimHei" w:eastAsia="黑体"/>
          <w:sz w:val="24"/>
        </w:rPr>
        <w:t>公司为所有正式聘用职员购买养老保险、工伤保险、医疗保险、计划生育险、和住房公积金等社会保险项目。</w:t>
      </w:r>
    </w:p>
    <w:p>
      <w:pPr>
        <w:pStyle w:val="Normal"/>
        <w:numPr>
          <w:ilvl w:val="2"/>
          <w:numId w:val="31"/>
        </w:numPr>
        <w:spacing w:lineRule="exact" w:line="500"/>
        <w:rPr>
          <w:sz w:val="24"/>
        </w:rPr>
      </w:pPr>
      <w:r>
        <w:rPr>
          <w:rFonts w:ascii="SimHei" w:hAnsi="SimHei" w:eastAsia="黑体"/>
          <w:sz w:val="24"/>
        </w:rPr>
        <w:t>对于长期外派和外地公司的转正职员，若当地未实行相应医疗保险，则实行医疗费用定额管理，由各地公司单列会计科目。如有特殊病症，须到特定医院就诊，应向所在单位领导说明，经同意方可前往就医。</w:t>
      </w:r>
    </w:p>
    <w:p>
      <w:pPr>
        <w:pStyle w:val="Normal"/>
        <w:numPr>
          <w:ilvl w:val="2"/>
          <w:numId w:val="31"/>
        </w:numPr>
        <w:spacing w:lineRule="exact" w:line="500"/>
        <w:rPr>
          <w:sz w:val="24"/>
        </w:rPr>
      </w:pPr>
      <w:r>
        <w:rPr>
          <w:rFonts w:ascii="SimHei" w:hAnsi="SimHei" w:eastAsia="黑体"/>
          <w:sz w:val="24"/>
        </w:rPr>
        <w:t>购买医疗保险后，职员患病应凭社会保险机构发给的凭证，到规定的医院、卫生院等单位就医。在外地就医，应根据社会保险部门有关规定，办理审批手续，将药费单与诊断书交到社会保险部门报销。如有特殊病症，须到特定医院就诊，应事前向社会保险局申请。公司将不再为职员报销医药费。</w:t>
      </w:r>
    </w:p>
    <w:p>
      <w:pPr>
        <w:pStyle w:val="Normal"/>
        <w:spacing w:lineRule="exact" w:line="500"/>
        <w:rPr>
          <w:sz w:val="24"/>
        </w:rPr>
      </w:pPr>
      <w:r>
        <w:rPr>
          <w:rFonts w:ascii="SimHei" w:hAnsi="SimHei" w:eastAsia="黑体"/>
          <w:sz w:val="24"/>
        </w:rPr>
      </w:r>
    </w:p>
    <w:p>
      <w:pPr>
        <w:pStyle w:val="Heading2"/>
        <w:rPr/>
      </w:pPr>
      <w:bookmarkStart w:id="38" w:name="__RefHeading___Toc427859441"/>
      <w:bookmarkEnd w:id="38"/>
      <w:r>
        <w:rPr>
          <w:rFonts w:ascii="SimHei" w:hAnsi="SimHei" w:eastAsia="黑体"/>
        </w:rPr>
        <w:t xml:space="preserve">5.8 </w:t>
      </w:r>
      <w:r>
        <w:rPr>
          <w:rFonts w:ascii="SimHei" w:hAnsi="SimHei" w:eastAsia="黑体"/>
        </w:rPr>
        <w:t>贺仪与奠仪（限转正后）</w:t>
      </w:r>
    </w:p>
    <w:p>
      <w:pPr>
        <w:pStyle w:val="Normal"/>
        <w:spacing w:lineRule="exact" w:line="500"/>
        <w:rPr/>
      </w:pPr>
      <w:r>
        <w:rPr>
          <w:rFonts w:ascii="SimHei" w:hAnsi="SimHei" w:eastAsia="黑体"/>
          <w:sz w:val="24"/>
        </w:rPr>
        <w:t xml:space="preserve">5.8.1 </w:t>
      </w:r>
      <w:r>
        <w:rPr>
          <w:rFonts w:ascii="SimHei" w:hAnsi="SimHei" w:eastAsia="黑体"/>
          <w:sz w:val="24"/>
        </w:rPr>
        <w:t>贺仪</w:t>
      </w:r>
    </w:p>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）如职员办理了结婚登记手续（限转正后），符合晚婚条件，请将结婚证于注册后一个月内呈报总部人力资源部，公司将致新婚贺仪人民币</w:t>
      </w:r>
      <w:r>
        <w:rPr>
          <w:rFonts w:ascii="SimHei" w:hAnsi="SimHei" w:eastAsia="黑体"/>
          <w:sz w:val="24"/>
        </w:rPr>
        <w:t>300</w:t>
      </w:r>
      <w:r>
        <w:rPr>
          <w:rFonts w:ascii="SimHei" w:hAnsi="SimHei" w:eastAsia="黑体"/>
          <w:sz w:val="24"/>
        </w:rPr>
        <w:t>元整；</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）如职员在子女出生</w:t>
      </w:r>
      <w:r>
        <w:rPr>
          <w:rFonts w:ascii="SimHei" w:hAnsi="SimHei" w:eastAsia="黑体"/>
          <w:sz w:val="24"/>
        </w:rPr>
        <w:t>6</w:t>
      </w:r>
      <w:r>
        <w:rPr>
          <w:rFonts w:ascii="SimHei" w:hAnsi="SimHei" w:eastAsia="黑体"/>
          <w:sz w:val="24"/>
        </w:rPr>
        <w:t>个月内向总部人力资源部出示《独生子女证》，公司将致贺仪人民币</w:t>
      </w:r>
      <w:r>
        <w:rPr>
          <w:rFonts w:ascii="SimHei" w:hAnsi="SimHei" w:eastAsia="黑体"/>
          <w:sz w:val="24"/>
        </w:rPr>
        <w:t>300</w:t>
      </w:r>
      <w:r>
        <w:rPr>
          <w:rFonts w:ascii="SimHei" w:hAnsi="SimHei" w:eastAsia="黑体"/>
          <w:sz w:val="24"/>
        </w:rPr>
        <w:t>元整；</w:t>
      </w:r>
    </w:p>
    <w:p>
      <w:pPr>
        <w:pStyle w:val="Normal"/>
        <w:spacing w:lineRule="exact" w:line="500"/>
        <w:ind w:firstLine="480"/>
        <w:rPr>
          <w:sz w:val="24"/>
        </w:rPr>
      </w:pPr>
      <w:r>
        <w:rPr>
          <w:rFonts w:ascii="SimHei" w:hAnsi="SimHei" w:eastAsia="黑体"/>
          <w:sz w:val="24"/>
        </w:rPr>
        <w:t>（</w:t>
      </w:r>
      <w:r>
        <w:rPr>
          <w:rFonts w:ascii="SimHei" w:hAnsi="SimHei" w:eastAsia="黑体"/>
          <w:sz w:val="24"/>
        </w:rPr>
        <w:t>3</w:t>
      </w:r>
      <w:r>
        <w:rPr>
          <w:rFonts w:ascii="SimHei" w:hAnsi="SimHei" w:eastAsia="黑体"/>
          <w:sz w:val="24"/>
        </w:rPr>
        <w:t>）如职员在子女入学一个月内向总部人力资源部出示入学通知，公司为职员子女入读小学、初中、高中、中专致贺仪人民币</w:t>
      </w:r>
      <w:r>
        <w:rPr>
          <w:rFonts w:ascii="SimHei" w:hAnsi="SimHei" w:eastAsia="黑体"/>
          <w:sz w:val="24"/>
        </w:rPr>
        <w:t>300</w:t>
      </w:r>
      <w:r>
        <w:rPr>
          <w:rFonts w:ascii="SimHei" w:hAnsi="SimHei" w:eastAsia="黑体"/>
          <w:sz w:val="24"/>
        </w:rPr>
        <w:t>元整，为职员子女入读高等院校致贺仪人民币</w:t>
      </w:r>
      <w:r>
        <w:rPr>
          <w:rFonts w:ascii="SimHei" w:hAnsi="SimHei" w:eastAsia="黑体"/>
          <w:sz w:val="24"/>
        </w:rPr>
        <w:t>1000</w:t>
      </w:r>
      <w:r>
        <w:rPr>
          <w:rFonts w:ascii="SimHei" w:hAnsi="SimHei" w:eastAsia="黑体"/>
          <w:sz w:val="24"/>
        </w:rPr>
        <w:t>元整。</w:t>
      </w:r>
    </w:p>
    <w:p>
      <w:pPr>
        <w:pStyle w:val="Normal"/>
        <w:spacing w:lineRule="exact" w:line="500"/>
        <w:rPr/>
      </w:pPr>
      <w:r>
        <w:rPr>
          <w:rFonts w:ascii="SimHei" w:hAnsi="SimHei" w:eastAsia="黑体"/>
          <w:sz w:val="24"/>
        </w:rPr>
        <w:t xml:space="preserve">5.8.2 </w:t>
      </w:r>
      <w:r>
        <w:rPr>
          <w:rFonts w:ascii="SimHei" w:hAnsi="SimHei" w:eastAsia="黑体"/>
          <w:sz w:val="24"/>
        </w:rPr>
        <w:t>奠仪</w:t>
      </w:r>
    </w:p>
    <w:p>
      <w:pPr>
        <w:pStyle w:val="Normal"/>
        <w:spacing w:lineRule="exact" w:line="500"/>
        <w:ind w:firstLine="600"/>
        <w:rPr>
          <w:sz w:val="24"/>
        </w:rPr>
      </w:pPr>
      <w:r>
        <w:rPr>
          <w:rFonts w:ascii="SimHei" w:hAnsi="SimHei" w:eastAsia="黑体"/>
          <w:sz w:val="24"/>
        </w:rPr>
        <w:t>职员在直系亲属（指配偶、子女、父母或配偶之父母）不幸去世一个月内知会总部人力资源部，公司将致以奠仪人民币</w:t>
      </w:r>
      <w:r>
        <w:rPr>
          <w:rFonts w:ascii="SimHei" w:hAnsi="SimHei" w:eastAsia="黑体"/>
          <w:sz w:val="24"/>
        </w:rPr>
        <w:t>1000</w:t>
      </w:r>
      <w:r>
        <w:rPr>
          <w:rFonts w:ascii="SimHei" w:hAnsi="SimHei" w:eastAsia="黑体"/>
          <w:sz w:val="24"/>
        </w:rPr>
        <w:t>元整。</w:t>
      </w:r>
    </w:p>
    <w:p>
      <w:pPr>
        <w:pStyle w:val="Normal"/>
        <w:spacing w:lineRule="exact" w:line="500"/>
        <w:ind w:firstLine="600"/>
        <w:rPr>
          <w:sz w:val="24"/>
        </w:rPr>
      </w:pPr>
      <w:r>
        <w:rPr>
          <w:rFonts w:ascii="SimHei" w:hAnsi="SimHei" w:eastAsia="黑体"/>
          <w:sz w:val="24"/>
        </w:rPr>
      </w:r>
    </w:p>
    <w:p>
      <w:pPr>
        <w:pStyle w:val="Heading2"/>
        <w:rPr/>
      </w:pPr>
      <w:bookmarkStart w:id="39" w:name="__RefHeading___Toc427859442"/>
      <w:bookmarkEnd w:id="39"/>
      <w:r>
        <w:rPr>
          <w:rFonts w:ascii="SimHei" w:hAnsi="SimHei" w:eastAsia="黑体"/>
        </w:rPr>
        <w:t xml:space="preserve">5.9 </w:t>
      </w:r>
      <w:r>
        <w:rPr>
          <w:rFonts w:ascii="SimHei" w:hAnsi="SimHei" w:eastAsia="黑体"/>
        </w:rPr>
        <w:t>独生子女费用（限转正后）</w:t>
      </w:r>
    </w:p>
    <w:p>
      <w:pPr>
        <w:pStyle w:val="Normal"/>
        <w:spacing w:lineRule="exact" w:line="500"/>
        <w:ind w:firstLine="480"/>
        <w:rPr>
          <w:sz w:val="24"/>
        </w:rPr>
      </w:pPr>
      <w:r>
        <w:rPr>
          <w:rFonts w:ascii="SimHei" w:hAnsi="SimHei" w:eastAsia="黑体"/>
          <w:sz w:val="24"/>
        </w:rPr>
        <w:t>自领取《独生子女证》之日起至子女满</w:t>
      </w:r>
      <w:r>
        <w:rPr>
          <w:rFonts w:ascii="SimHei" w:hAnsi="SimHei" w:eastAsia="黑体"/>
          <w:sz w:val="24"/>
        </w:rPr>
        <w:t>14</w:t>
      </w:r>
      <w:r>
        <w:rPr>
          <w:rFonts w:ascii="SimHei" w:hAnsi="SimHei" w:eastAsia="黑体"/>
          <w:sz w:val="24"/>
        </w:rPr>
        <w:t>周岁止，公司每月给予保育费补助</w:t>
      </w:r>
      <w:r>
        <w:rPr>
          <w:rFonts w:ascii="SimHei" w:hAnsi="SimHei" w:eastAsia="黑体"/>
          <w:sz w:val="24"/>
        </w:rPr>
        <w:t>30</w:t>
      </w:r>
      <w:r>
        <w:rPr>
          <w:rFonts w:ascii="SimHei" w:hAnsi="SimHei" w:eastAsia="黑体"/>
          <w:sz w:val="24"/>
        </w:rPr>
        <w:t>元，并给予独生子女医疗补贴</w:t>
      </w:r>
      <w:r>
        <w:rPr>
          <w:rFonts w:ascii="SimHei" w:hAnsi="SimHei" w:eastAsia="黑体"/>
          <w:sz w:val="24"/>
        </w:rPr>
        <w:t>100</w:t>
      </w:r>
      <w:r>
        <w:rPr>
          <w:rFonts w:ascii="SimHei" w:hAnsi="SimHei" w:eastAsia="黑体"/>
          <w:sz w:val="24"/>
        </w:rPr>
        <w:t>元整，此部分金额随同保育费一同发放。</w:t>
      </w:r>
    </w:p>
    <w:p>
      <w:pPr>
        <w:pStyle w:val="Normal"/>
        <w:spacing w:lineRule="exact" w:line="500"/>
        <w:ind w:firstLine="480"/>
        <w:rPr>
          <w:sz w:val="24"/>
        </w:rPr>
      </w:pPr>
      <w:r>
        <w:rPr>
          <w:rFonts w:ascii="SimHei" w:hAnsi="SimHei" w:eastAsia="黑体"/>
          <w:sz w:val="24"/>
        </w:rPr>
        <w:t>夫妇同在公司的只能一方享受此待遇。</w:t>
      </w:r>
    </w:p>
    <w:p>
      <w:pPr>
        <w:pStyle w:val="Normal"/>
        <w:spacing w:lineRule="exact" w:line="500"/>
        <w:ind w:firstLine="480"/>
        <w:rPr>
          <w:sz w:val="24"/>
        </w:rPr>
      </w:pPr>
      <w:r>
        <w:rPr>
          <w:rFonts w:ascii="SimHei" w:hAnsi="SimHei" w:eastAsia="黑体"/>
          <w:sz w:val="24"/>
        </w:rPr>
      </w:r>
    </w:p>
    <w:p>
      <w:pPr>
        <w:pStyle w:val="Heading2"/>
        <w:rPr/>
      </w:pPr>
      <w:bookmarkStart w:id="40" w:name="__RefHeading___Toc427859443"/>
      <w:bookmarkEnd w:id="40"/>
      <w:r>
        <w:rPr>
          <w:rFonts w:ascii="SimHei" w:hAnsi="SimHei" w:eastAsia="黑体"/>
        </w:rPr>
        <w:t xml:space="preserve">5.10 </w:t>
      </w:r>
      <w:r>
        <w:rPr>
          <w:rFonts w:ascii="SimHei" w:hAnsi="SimHei" w:eastAsia="黑体"/>
        </w:rPr>
        <w:t>体检及职员活动</w:t>
      </w:r>
    </w:p>
    <w:p>
      <w:pPr>
        <w:pStyle w:val="Normal"/>
        <w:spacing w:lineRule="exact" w:line="500"/>
        <w:ind w:firstLine="480"/>
        <w:rPr>
          <w:sz w:val="24"/>
        </w:rPr>
      </w:pPr>
      <w:r>
        <w:rPr>
          <w:rFonts w:ascii="SimHei" w:hAnsi="SimHei" w:eastAsia="黑体"/>
          <w:sz w:val="24"/>
        </w:rPr>
        <w:t>公司为保障职员的身心健康，每年将进行一次例行体检，并组织经常性的体育锻炼和娱乐活动。一般来说职员均有机会参与公司每年定期或不定期举行的各项活动，例如公司周年庆祝活动、嘉年华春节晚会、郊游等。</w:t>
      </w:r>
    </w:p>
    <w:p>
      <w:pPr>
        <w:pStyle w:val="Normal"/>
        <w:spacing w:lineRule="exact" w:line="500"/>
        <w:ind w:firstLine="480"/>
        <w:rPr>
          <w:sz w:val="24"/>
        </w:rPr>
      </w:pPr>
      <w:r>
        <w:rPr>
          <w:rFonts w:ascii="SimHei" w:hAnsi="SimHei" w:eastAsia="黑体"/>
          <w:sz w:val="24"/>
        </w:rPr>
      </w:r>
    </w:p>
    <w:p>
      <w:pPr>
        <w:pStyle w:val="Heading2"/>
        <w:rPr/>
      </w:pPr>
      <w:bookmarkStart w:id="41" w:name="__RefHeading___Toc427859444"/>
      <w:bookmarkEnd w:id="41"/>
      <w:r>
        <w:rPr>
          <w:rFonts w:ascii="SimHei" w:hAnsi="SimHei" w:eastAsia="黑体"/>
        </w:rPr>
        <w:t xml:space="preserve">5.11 </w:t>
      </w:r>
      <w:r>
        <w:rPr>
          <w:rFonts w:ascii="SimHei" w:hAnsi="SimHei" w:eastAsia="黑体"/>
        </w:rPr>
        <w:t>职员宿舍</w:t>
      </w:r>
    </w:p>
    <w:p>
      <w:pPr>
        <w:pStyle w:val="Normal"/>
        <w:spacing w:lineRule="exact" w:line="500"/>
        <w:ind w:firstLine="600"/>
        <w:rPr>
          <w:sz w:val="24"/>
        </w:rPr>
      </w:pPr>
      <w:r>
        <w:rPr>
          <w:rFonts w:ascii="SimHei" w:hAnsi="SimHei" w:eastAsia="黑体"/>
          <w:sz w:val="24"/>
        </w:rPr>
        <w:t>公司购置的职员宿舍是公司的固定资产，职员可依据公司规定申请入住；任何入住公司宿舍的职员须与公司签订“住房契约”并按规定交纳租金。</w:t>
      </w:r>
    </w:p>
    <w:p>
      <w:pPr>
        <w:pStyle w:val="Normal"/>
        <w:spacing w:lineRule="exact" w:line="500"/>
        <w:ind w:firstLine="600"/>
        <w:rPr>
          <w:sz w:val="24"/>
        </w:rPr>
      </w:pPr>
      <w:r>
        <w:rPr>
          <w:rFonts w:ascii="SimHei" w:hAnsi="SimHei" w:eastAsia="黑体"/>
          <w:sz w:val="24"/>
        </w:rPr>
        <w:t>公司职员宿舍的分配，综合考虑岗位责任、工作年限、婚姻状况等因素。</w:t>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Heading1"/>
        <w:rPr/>
      </w:pPr>
      <w:bookmarkStart w:id="42" w:name="__RefHeading___Toc427859445"/>
      <w:bookmarkEnd w:id="42"/>
      <w:r>
        <w:rPr>
          <w:rFonts w:ascii="SimHei" w:hAnsi="SimHei" w:eastAsia="黑体"/>
        </w:rPr>
        <w:t>第六章</w:t>
      </w:r>
      <w:r>
        <w:rPr>
          <w:rFonts w:eastAsia="黑体" w:ascii="SimHei" w:hAnsi="SimHei"/>
        </w:rPr>
        <w:t xml:space="preserve"> </w:t>
      </w:r>
      <w:r>
        <w:rPr>
          <w:rFonts w:ascii="SimHei" w:hAnsi="SimHei" w:eastAsia="黑体"/>
        </w:rPr>
        <w:t>培训、考核与发展</w:t>
      </w:r>
    </w:p>
    <w:p>
      <w:pPr>
        <w:pStyle w:val="Heading2"/>
        <w:rPr/>
      </w:pPr>
      <w:bookmarkStart w:id="43" w:name="__RefHeading___Toc427859446"/>
      <w:bookmarkEnd w:id="43"/>
      <w:r>
        <w:rPr>
          <w:rFonts w:ascii="SimHei" w:hAnsi="SimHei" w:eastAsia="黑体"/>
        </w:rPr>
        <w:t>6.1</w:t>
      </w:r>
      <w:r>
        <w:rPr>
          <w:rFonts w:ascii="SimHei" w:hAnsi="SimHei" w:eastAsia="黑体"/>
        </w:rPr>
        <w:t>培训与发展</w:t>
      </w:r>
    </w:p>
    <w:p>
      <w:pPr>
        <w:pStyle w:val="Normal"/>
        <w:numPr>
          <w:ilvl w:val="2"/>
          <w:numId w:val="23"/>
        </w:numPr>
        <w:spacing w:lineRule="exact" w:line="500"/>
        <w:rPr>
          <w:sz w:val="24"/>
        </w:rPr>
      </w:pPr>
      <w:r>
        <w:rPr>
          <w:rFonts w:ascii="SimHei" w:hAnsi="SimHei" w:eastAsia="黑体"/>
          <w:sz w:val="24"/>
        </w:rPr>
        <w:t>公司管理层以为职员提供可持续发展的机会和空间为己任。在公司，职员勤奋的工作除可以获得薪金、享有福利以外，还可以得到公司适时提供的大量训练和发展机会。</w:t>
      </w:r>
    </w:p>
    <w:p>
      <w:pPr>
        <w:pStyle w:val="Normal"/>
        <w:numPr>
          <w:ilvl w:val="2"/>
          <w:numId w:val="23"/>
        </w:numPr>
        <w:spacing w:lineRule="exact" w:line="500"/>
        <w:rPr>
          <w:sz w:val="24"/>
        </w:rPr>
      </w:pPr>
      <w:r>
        <w:rPr>
          <w:rFonts w:ascii="SimHei" w:hAnsi="SimHei" w:eastAsia="黑体"/>
          <w:sz w:val="24"/>
        </w:rPr>
        <w:t>在公司除获得正规培训以外，职员还将自觉或不自觉地得到其他收获：</w:t>
      </w:r>
    </w:p>
    <w:p>
      <w:pPr>
        <w:pStyle w:val="Normal"/>
        <w:spacing w:lineRule="exact" w:line="500"/>
        <w:ind w:start="481" w:firstLine="240"/>
        <w:rPr>
          <w:sz w:val="24"/>
        </w:rPr>
      </w:pPr>
      <w:r>
        <w:rPr>
          <w:rFonts w:ascii="SimHei" w:hAnsi="SimHei" w:eastAsia="黑体"/>
          <w:sz w:val="24"/>
        </w:rPr>
        <w:t>职员将学到更为有用的专业技术知识；</w:t>
      </w:r>
    </w:p>
    <w:p>
      <w:pPr>
        <w:pStyle w:val="Normal"/>
        <w:spacing w:lineRule="exact" w:line="500"/>
        <w:ind w:firstLine="720"/>
        <w:rPr>
          <w:sz w:val="24"/>
        </w:rPr>
      </w:pPr>
      <w:r>
        <w:rPr>
          <w:rFonts w:ascii="SimHei" w:hAnsi="SimHei" w:eastAsia="黑体"/>
          <w:sz w:val="24"/>
        </w:rPr>
        <w:t>职员将学会如何管理、激励、培训其他人；</w:t>
      </w:r>
    </w:p>
    <w:p>
      <w:pPr>
        <w:pStyle w:val="Normal"/>
        <w:spacing w:lineRule="exact" w:line="500"/>
        <w:ind w:firstLine="720"/>
        <w:rPr>
          <w:sz w:val="24"/>
        </w:rPr>
      </w:pPr>
      <w:r>
        <w:rPr>
          <w:rFonts w:ascii="SimHei" w:hAnsi="SimHei" w:eastAsia="黑体"/>
          <w:sz w:val="24"/>
        </w:rPr>
        <w:t>职员将学到如何发挥团队精神；</w:t>
      </w:r>
    </w:p>
    <w:p>
      <w:pPr>
        <w:pStyle w:val="Normal"/>
        <w:spacing w:lineRule="exact" w:line="500"/>
        <w:ind w:firstLine="720"/>
        <w:rPr>
          <w:sz w:val="24"/>
        </w:rPr>
      </w:pPr>
      <w:r>
        <w:rPr>
          <w:rFonts w:ascii="SimHei" w:hAnsi="SimHei" w:eastAsia="黑体"/>
          <w:sz w:val="24"/>
        </w:rPr>
        <w:t>职员将学到怎样善用时间；</w:t>
      </w:r>
    </w:p>
    <w:p>
      <w:pPr>
        <w:pStyle w:val="Normal"/>
        <w:spacing w:lineRule="exact" w:line="500"/>
        <w:ind w:firstLine="720"/>
        <w:rPr>
          <w:sz w:val="24"/>
        </w:rPr>
      </w:pPr>
      <w:r>
        <w:rPr>
          <w:rFonts w:ascii="SimHei" w:hAnsi="SimHei" w:eastAsia="黑体"/>
          <w:sz w:val="24"/>
        </w:rPr>
        <w:t>职员的经验将是职员迈向更高职位的起点；</w:t>
      </w:r>
    </w:p>
    <w:p>
      <w:pPr>
        <w:pStyle w:val="Normal"/>
        <w:spacing w:lineRule="exact" w:line="500"/>
        <w:ind w:firstLine="720"/>
        <w:rPr/>
      </w:pPr>
      <w:r>
        <w:rPr>
          <w:rFonts w:ascii="SimHei" w:hAnsi="SimHei" w:eastAsia="黑体"/>
          <w:sz w:val="24"/>
        </w:rPr>
        <w:t>职员在</w:t>
      </w:r>
      <w:r>
        <w:rPr>
          <w:rFonts w:eastAsia="黑体" w:ascii="SimHei" w:hAnsi="SimHei"/>
          <w:sz w:val="24"/>
          <w:u w:val="single"/>
        </w:rPr>
        <w:t xml:space="preserve">       </w:t>
      </w:r>
      <w:r>
        <w:rPr>
          <w:rFonts w:ascii="SimHei" w:hAnsi="SimHei" w:eastAsia="黑体"/>
          <w:sz w:val="24"/>
        </w:rPr>
        <w:t>的经历将有助于职员从事其他相关工作；</w:t>
      </w:r>
    </w:p>
    <w:p>
      <w:pPr>
        <w:pStyle w:val="Normal"/>
        <w:spacing w:lineRule="exact" w:line="500"/>
        <w:ind w:firstLine="720"/>
        <w:rPr>
          <w:sz w:val="24"/>
        </w:rPr>
      </w:pPr>
      <w:r>
        <w:rPr>
          <w:rFonts w:ascii="SimHei" w:hAnsi="SimHei" w:eastAsia="黑体"/>
          <w:sz w:val="24"/>
        </w:rPr>
        <w:t>同时，职员还能交到很多新朋友；</w:t>
      </w:r>
    </w:p>
    <w:p>
      <w:pPr>
        <w:pStyle w:val="Normal"/>
        <w:spacing w:lineRule="exact" w:line="500"/>
        <w:ind w:firstLine="720"/>
        <w:rPr>
          <w:sz w:val="24"/>
        </w:rPr>
      </w:pPr>
      <w:r>
        <w:rPr>
          <w:rFonts w:cs="宋体;SimSun" w:ascii="SimHei" w:hAnsi="SimHei" w:eastAsia="黑体"/>
          <w:sz w:val="24"/>
        </w:rPr>
        <w:t>……</w:t>
      </w:r>
    </w:p>
    <w:p>
      <w:pPr>
        <w:pStyle w:val="Normal"/>
        <w:numPr>
          <w:ilvl w:val="2"/>
          <w:numId w:val="23"/>
        </w:numPr>
        <w:spacing w:lineRule="exact" w:line="500"/>
        <w:rPr>
          <w:sz w:val="24"/>
        </w:rPr>
      </w:pPr>
      <w:r>
        <w:rPr>
          <w:rFonts w:ascii="SimHei" w:hAnsi="SimHei" w:eastAsia="黑体"/>
          <w:sz w:val="24"/>
        </w:rPr>
        <w:t>培训为公司完成经营目标、提高绩效、实现事业发展提供人力资源的保证。培训是职员胜任职责、提升自我、开发潜力、拓展职业的途径。</w:t>
      </w:r>
      <w:r>
        <w:rPr>
          <w:rFonts w:eastAsia="黑体" w:ascii="SimHei" w:hAnsi="SimHei"/>
          <w:sz w:val="24"/>
        </w:rPr>
        <w:t xml:space="preserve"> </w:t>
      </w:r>
    </w:p>
    <w:p>
      <w:pPr>
        <w:pStyle w:val="Normal"/>
        <w:spacing w:lineRule="exact" w:line="500"/>
        <w:rPr>
          <w:sz w:val="24"/>
        </w:rPr>
      </w:pPr>
      <w:r>
        <w:rPr>
          <w:rFonts w:ascii="SimHei" w:hAnsi="SimHei" w:eastAsia="黑体"/>
          <w:sz w:val="24"/>
        </w:rPr>
      </w:r>
    </w:p>
    <w:p>
      <w:pPr>
        <w:pStyle w:val="Heading2"/>
        <w:rPr/>
      </w:pPr>
      <w:bookmarkStart w:id="44" w:name="__RefHeading___Toc427859447"/>
      <w:bookmarkEnd w:id="44"/>
      <w:r>
        <w:rPr>
          <w:rFonts w:ascii="SimHei" w:hAnsi="SimHei" w:eastAsia="黑体"/>
        </w:rPr>
        <w:t xml:space="preserve">6.2 </w:t>
      </w:r>
      <w:r>
        <w:rPr>
          <w:rFonts w:ascii="SimHei" w:hAnsi="SimHei" w:eastAsia="黑体"/>
        </w:rPr>
        <w:t>培训体系</w:t>
      </w:r>
    </w:p>
    <w:p>
      <w:pPr>
        <w:pStyle w:val="Normal"/>
        <w:spacing w:lineRule="exact" w:line="500"/>
        <w:rPr>
          <w:sz w:val="24"/>
        </w:rPr>
      </w:pPr>
      <w:r>
        <w:rPr>
          <w:rFonts w:ascii="SimHei" w:hAnsi="SimHei" w:eastAsia="黑体"/>
          <w:sz w:val="24"/>
        </w:rPr>
        <w:t xml:space="preserve">6.2.1 </w:t>
      </w:r>
      <w:r>
        <w:rPr>
          <w:rFonts w:ascii="SimHei" w:hAnsi="SimHei" w:eastAsia="黑体"/>
          <w:sz w:val="24"/>
        </w:rPr>
        <w:t>培训的举办应由公司人力资源部统一安排、部署。（提示：若公司设有分公司，可设立二级培训体系，即由各分公司主办，针对实际需要开展业务培训和新职员入职培训，并组织本公司业务、管理骨干参加外部培训。）</w:t>
      </w:r>
    </w:p>
    <w:p>
      <w:pPr>
        <w:pStyle w:val="Normal"/>
        <w:spacing w:lineRule="exact" w:line="500"/>
        <w:rPr>
          <w:sz w:val="24"/>
        </w:rPr>
      </w:pPr>
      <w:r>
        <w:rPr>
          <w:rFonts w:ascii="SimHei" w:hAnsi="SimHei" w:eastAsia="黑体"/>
          <w:sz w:val="24"/>
        </w:rPr>
        <w:t>6.2.2</w:t>
      </w:r>
      <w:r>
        <w:rPr>
          <w:rFonts w:ascii="SimHei" w:hAnsi="SimHei" w:eastAsia="黑体"/>
          <w:sz w:val="24"/>
        </w:rPr>
        <w:t>在公司，每一位管理者都应当是教练、讲师。专业骨干和管理人员是开展培训的中坚力量，肩负着工作指导、培训推广的责任。同时，人力资源部还将整合国内外最优秀的培训资源，包括外部专家、学者、专门培训（教育）机构等。</w:t>
      </w:r>
    </w:p>
    <w:p>
      <w:pPr>
        <w:pStyle w:val="Normal"/>
        <w:spacing w:lineRule="auto" w:line="360"/>
        <w:ind w:start="312" w:hanging="312"/>
        <w:jc w:val="start"/>
        <w:rPr/>
      </w:pPr>
      <w:r>
        <w:rPr>
          <w:rFonts w:ascii="SimHei" w:hAnsi="SimHei" w:eastAsia="黑体"/>
          <w:sz w:val="24"/>
        </w:rPr>
        <w:t xml:space="preserve">6.2.3 </w:t>
      </w:r>
      <w:r>
        <w:rPr>
          <w:rFonts w:ascii="SimHei" w:hAnsi="SimHei" w:eastAsia="黑体"/>
          <w:sz w:val="24"/>
        </w:rPr>
        <w:t>人力资源部采用“诊断式培训体系”实施培训工作。具体如下：</w:t>
      </w:r>
    </w:p>
    <w:p>
      <w:pPr>
        <w:pStyle w:val="Normal"/>
        <w:spacing w:lineRule="auto" w:line="360"/>
        <w:ind w:firstLine="478"/>
        <w:jc w:val="start"/>
        <w:rPr>
          <w:sz w:val="24"/>
        </w:rPr>
      </w:pPr>
      <w:r>
        <w:rPr>
          <w:rFonts w:ascii="SimHei" w:hAnsi="SimHei" w:eastAsia="黑体"/>
          <w:sz w:val="24"/>
        </w:rPr>
        <w:t>（</w:t>
      </w:r>
      <w:r>
        <w:rPr>
          <w:rFonts w:ascii="SimHei" w:hAnsi="SimHei" w:eastAsia="黑体"/>
          <w:sz w:val="24"/>
        </w:rPr>
        <w:t>1</w:t>
      </w:r>
      <w:r>
        <w:rPr>
          <w:rFonts w:ascii="SimHei" w:hAnsi="SimHei" w:eastAsia="黑体"/>
          <w:sz w:val="24"/>
        </w:rPr>
        <w:t>）诊断分析：根据岗位要求、员工能力现状找出每位员工能力短板。具体可通过问卷调查、谈话、员工表现分析、能力素质模型分析等形式进行培训前的需求诊断分析。</w:t>
      </w:r>
    </w:p>
    <w:p>
      <w:pPr>
        <w:pStyle w:val="Normal"/>
        <w:spacing w:lineRule="auto" w:line="360"/>
        <w:ind w:firstLine="478"/>
        <w:jc w:val="start"/>
        <w:rPr>
          <w:sz w:val="24"/>
        </w:rPr>
      </w:pPr>
      <w:r>
        <w:rPr>
          <w:rFonts w:ascii="SimHei" w:hAnsi="SimHei" w:eastAsia="黑体"/>
          <w:sz w:val="24"/>
        </w:rPr>
        <w:t>（</w:t>
      </w:r>
      <w:r>
        <w:rPr>
          <w:rFonts w:ascii="SimHei" w:hAnsi="SimHei" w:eastAsia="黑体"/>
          <w:sz w:val="24"/>
        </w:rPr>
        <w:t>2</w:t>
      </w:r>
      <w:r>
        <w:rPr>
          <w:rFonts w:ascii="SimHei" w:hAnsi="SimHei" w:eastAsia="黑体"/>
          <w:sz w:val="24"/>
        </w:rPr>
        <w:t>）制定方案：针对不同部门、不同岗位制定相应的培训方案，包括科学设计课程体系。方案制定过程中，要与相应受训者进行深入沟通，确保“因材施教”。</w:t>
      </w:r>
    </w:p>
    <w:p>
      <w:pPr>
        <w:pStyle w:val="Normal"/>
        <w:spacing w:lineRule="auto" w:line="360"/>
        <w:ind w:firstLine="478"/>
        <w:jc w:val="start"/>
        <w:rPr>
          <w:sz w:val="24"/>
        </w:rPr>
      </w:pPr>
      <w:r>
        <w:rPr>
          <w:rFonts w:ascii="SimHei" w:hAnsi="SimHei" w:eastAsia="黑体"/>
          <w:sz w:val="24"/>
        </w:rPr>
        <w:t>（</w:t>
      </w:r>
      <w:r>
        <w:rPr>
          <w:rFonts w:ascii="SimHei" w:hAnsi="SimHei" w:eastAsia="黑体"/>
          <w:sz w:val="24"/>
        </w:rPr>
        <w:t>3</w:t>
      </w:r>
      <w:r>
        <w:rPr>
          <w:rFonts w:ascii="SimHei" w:hAnsi="SimHei" w:eastAsia="黑体"/>
          <w:sz w:val="24"/>
        </w:rPr>
        <w:t>）方案实施：人力资源部牵头，由各部门配合，按照时间进度、人员安排进行培训。培训过程中，应注重教学管理，掌握学员的学习情况、把关教学质量等。</w:t>
      </w:r>
    </w:p>
    <w:p>
      <w:pPr>
        <w:pStyle w:val="Normal"/>
        <w:spacing w:lineRule="auto" w:line="360"/>
        <w:ind w:firstLine="478"/>
        <w:jc w:val="start"/>
        <w:rPr>
          <w:sz w:val="24"/>
        </w:rPr>
      </w:pPr>
      <w:r>
        <w:rPr>
          <w:rFonts w:ascii="SimHei" w:hAnsi="SimHei" w:eastAsia="黑体"/>
          <w:sz w:val="24"/>
        </w:rPr>
        <w:t>（</w:t>
      </w:r>
      <w:r>
        <w:rPr>
          <w:rFonts w:ascii="SimHei" w:hAnsi="SimHei" w:eastAsia="黑体"/>
          <w:sz w:val="24"/>
        </w:rPr>
        <w:t>4</w:t>
      </w:r>
      <w:r>
        <w:rPr>
          <w:rFonts w:ascii="SimHei" w:hAnsi="SimHei" w:eastAsia="黑体"/>
          <w:sz w:val="24"/>
        </w:rPr>
        <w:t>）培训评估、反馈与改进：本环节非常重要，具体评估应该有书面、谈话、实践表现等形式，主要是为了反馈学习效果，实现学习与实践互动，为后续的培训计划及安排做好充分准备，使培训进入一个良性的循环系统，达到不断提升员工和组织能力的目的。</w:t>
      </w:r>
    </w:p>
    <w:p>
      <w:pPr>
        <w:pStyle w:val="Normal"/>
        <w:spacing w:lineRule="auto" w:line="360"/>
        <w:jc w:val="start"/>
        <w:rPr/>
      </w:pPr>
      <w:r>
        <w:rPr>
          <w:rFonts w:ascii="SimHei" w:hAnsi="SimHei" w:eastAsia="黑体"/>
          <w:sz w:val="24"/>
        </w:rPr>
        <w:t xml:space="preserve">6.2.4 </w:t>
      </w:r>
      <w:r>
        <w:rPr>
          <w:rFonts w:ascii="SimHei" w:hAnsi="SimHei" w:eastAsia="黑体"/>
          <w:sz w:val="24"/>
        </w:rPr>
        <w:t>培训信息公布和查询：人力资源部门将定期公布培训信息，主要包括：年度培训服务概览、月度培训及研修计划、外部培训信息、周培训信息以及网络版《培训资讯》。职员可以登录到公司网站主页上查询或咨询所在公司人事专职人员。</w:t>
      </w:r>
    </w:p>
    <w:p>
      <w:pPr>
        <w:pStyle w:val="Normal"/>
        <w:spacing w:lineRule="exact" w:line="500"/>
        <w:rPr>
          <w:sz w:val="24"/>
        </w:rPr>
      </w:pPr>
      <w:r>
        <w:rPr>
          <w:rFonts w:ascii="SimHei" w:hAnsi="SimHei" w:eastAsia="黑体"/>
          <w:sz w:val="24"/>
        </w:rPr>
        <w:t xml:space="preserve">6.2.5 </w:t>
      </w:r>
      <w:r>
        <w:rPr>
          <w:rFonts w:ascii="SimHei" w:hAnsi="SimHei" w:eastAsia="黑体"/>
          <w:sz w:val="24"/>
        </w:rPr>
        <w:t>培训积分制度：职员参加各种培训并获得结业后，可以向人力资源部门申报积分，积分将是职员在公司参加培训的最全面记录。年度累计积分的多少是职员晋级或晋升的参考标准之一。不同类别的职员积分要求有所不同。具体的规定另行设计《公司培训积分管理制度》后者其它激励制度。（注：企业可根据自身需求设定不同的激励制度，包括培训激励的形式、内容，以上内容仅供参考。）</w:t>
      </w:r>
    </w:p>
    <w:p>
      <w:pPr>
        <w:pStyle w:val="Normal"/>
        <w:spacing w:lineRule="exact" w:line="500"/>
        <w:rPr>
          <w:sz w:val="24"/>
        </w:rPr>
      </w:pPr>
      <w:r>
        <w:rPr>
          <w:rFonts w:ascii="SimHei" w:hAnsi="SimHei" w:eastAsia="黑体"/>
          <w:sz w:val="24"/>
        </w:rPr>
      </w:r>
    </w:p>
    <w:p>
      <w:pPr>
        <w:pStyle w:val="Heading2"/>
        <w:rPr/>
      </w:pPr>
      <w:bookmarkStart w:id="45" w:name="__RefHeading___Toc427859448"/>
      <w:bookmarkEnd w:id="45"/>
      <w:r>
        <w:rPr>
          <w:rFonts w:ascii="SimHei" w:hAnsi="SimHei" w:eastAsia="黑体"/>
        </w:rPr>
        <w:t xml:space="preserve">6.3 </w:t>
      </w:r>
      <w:r>
        <w:rPr>
          <w:rFonts w:ascii="SimHei" w:hAnsi="SimHei" w:eastAsia="黑体"/>
        </w:rPr>
        <w:t>培训形式</w:t>
      </w:r>
    </w:p>
    <w:p>
      <w:pPr>
        <w:pStyle w:val="Normal"/>
        <w:spacing w:lineRule="exact" w:line="500"/>
        <w:rPr>
          <w:sz w:val="24"/>
        </w:rPr>
      </w:pPr>
      <w:r>
        <w:rPr>
          <w:rFonts w:ascii="SimHei" w:hAnsi="SimHei" w:eastAsia="黑体"/>
          <w:sz w:val="24"/>
        </w:rPr>
        <w:t>培训的形式主要包括：脱产培训、在职培训、自我启发。</w:t>
      </w:r>
    </w:p>
    <w:p>
      <w:pPr>
        <w:pStyle w:val="Normal"/>
        <w:numPr>
          <w:ilvl w:val="2"/>
          <w:numId w:val="2"/>
        </w:numPr>
        <w:spacing w:lineRule="exact" w:line="500"/>
        <w:rPr>
          <w:sz w:val="24"/>
        </w:rPr>
      </w:pPr>
      <w:r>
        <w:rPr>
          <w:rFonts w:ascii="SimHei" w:hAnsi="SimHei" w:eastAsia="黑体"/>
          <w:sz w:val="24"/>
        </w:rPr>
        <w:t>脱产培训是就管理中共性的、有必要让职员理解和掌握的东西（如工作必须的技能、知识、公司理念等），对职员进行的集中脱产培训、研修。这种培训由专任讲师授课或主持。</w:t>
      </w:r>
    </w:p>
    <w:p>
      <w:pPr>
        <w:pStyle w:val="Normal"/>
        <w:numPr>
          <w:ilvl w:val="2"/>
          <w:numId w:val="2"/>
        </w:numPr>
        <w:spacing w:lineRule="exact" w:line="500"/>
        <w:rPr>
          <w:sz w:val="24"/>
        </w:rPr>
      </w:pPr>
      <w:r>
        <w:rPr>
          <w:rFonts w:ascii="SimHei" w:hAnsi="SimHei" w:eastAsia="黑体"/>
          <w:sz w:val="24"/>
        </w:rPr>
        <w:t>在职培训是指在日常工作中对职员的培养训练。即通过制定工作计划、分配调整工作、听取汇报和意见、评价考核业绩、推进工作改善、帮助解决问题等途径对职员进行的指导。</w:t>
      </w:r>
    </w:p>
    <w:p>
      <w:pPr>
        <w:pStyle w:val="Normal"/>
        <w:numPr>
          <w:ilvl w:val="2"/>
          <w:numId w:val="2"/>
        </w:numPr>
        <w:spacing w:lineRule="exact" w:line="500"/>
        <w:rPr>
          <w:sz w:val="24"/>
        </w:rPr>
      </w:pPr>
      <w:r>
        <w:rPr>
          <w:rFonts w:ascii="SimHei" w:hAnsi="SimHei" w:eastAsia="黑体"/>
          <w:sz w:val="24"/>
        </w:rPr>
        <w:t>自我启发是指职员自己加强学习，提高修养，不断开发和提高自身能力。为此职员必须要善用所有的学习资源，以获得进步和发展，其中“挑战性的工作角色”是最重要的培训过程。</w:t>
      </w:r>
    </w:p>
    <w:p>
      <w:pPr>
        <w:pStyle w:val="Normal"/>
        <w:spacing w:lineRule="exact" w:line="500"/>
        <w:rPr>
          <w:sz w:val="24"/>
        </w:rPr>
      </w:pPr>
      <w:r>
        <w:rPr>
          <w:rFonts w:ascii="SimHei" w:hAnsi="SimHei" w:eastAsia="黑体"/>
          <w:sz w:val="24"/>
        </w:rPr>
      </w:r>
    </w:p>
    <w:p>
      <w:pPr>
        <w:pStyle w:val="Heading2"/>
        <w:rPr/>
      </w:pPr>
      <w:bookmarkStart w:id="46" w:name="__RefHeading___Toc427859449"/>
      <w:bookmarkEnd w:id="46"/>
      <w:r>
        <w:rPr>
          <w:rFonts w:ascii="SimHei" w:hAnsi="SimHei" w:eastAsia="黑体"/>
        </w:rPr>
        <w:t xml:space="preserve">6.4 </w:t>
      </w:r>
      <w:r>
        <w:rPr>
          <w:rFonts w:ascii="SimHei" w:hAnsi="SimHei" w:eastAsia="黑体"/>
        </w:rPr>
        <w:t>培训种类</w:t>
      </w:r>
    </w:p>
    <w:p>
      <w:pPr>
        <w:pStyle w:val="Normal"/>
        <w:spacing w:lineRule="exact" w:line="500"/>
        <w:rPr>
          <w:sz w:val="24"/>
        </w:rPr>
      </w:pPr>
      <w:r>
        <w:rPr>
          <w:rFonts w:ascii="SimHei" w:hAnsi="SimHei" w:eastAsia="黑体"/>
          <w:sz w:val="24"/>
        </w:rPr>
        <w:t>培训种类主要有以下五种：</w:t>
      </w:r>
    </w:p>
    <w:p>
      <w:pPr>
        <w:pStyle w:val="Normal"/>
        <w:numPr>
          <w:ilvl w:val="2"/>
          <w:numId w:val="16"/>
        </w:numPr>
        <w:spacing w:lineRule="exact" w:line="500"/>
        <w:rPr>
          <w:sz w:val="24"/>
        </w:rPr>
      </w:pPr>
      <w:r>
        <w:rPr>
          <w:rFonts w:ascii="SimHei" w:hAnsi="SimHei" w:eastAsia="黑体"/>
          <w:sz w:val="24"/>
        </w:rPr>
        <w:t>公司内部课程：作为公司职员，为进一步了解公司，适应岗位职责要求，职员可申请或被指定参加公司内部举办的各种培训课程，课程类别主要有：公司理念推广、自我开发、管理研修、专业技能训练等。</w:t>
      </w:r>
    </w:p>
    <w:p>
      <w:pPr>
        <w:pStyle w:val="Normal"/>
        <w:numPr>
          <w:ilvl w:val="2"/>
          <w:numId w:val="16"/>
        </w:numPr>
        <w:spacing w:lineRule="exact" w:line="500"/>
        <w:rPr>
          <w:sz w:val="24"/>
        </w:rPr>
      </w:pPr>
      <w:r>
        <w:rPr>
          <w:rFonts w:ascii="SimHei" w:hAnsi="SimHei" w:eastAsia="黑体"/>
          <w:sz w:val="24"/>
        </w:rPr>
        <w:t>公司外部课程：作为表现突出的骨干人员，为开拓思维，触发灵感，进一步提高管理水平和业务能力，职员可申请或被选送到外部管理顾问公司等专业培训机构参加短期课程，包括各种外部教育机构、培训中心所举办的短期培训课程、交流会。具体规定可以查询《外部培训管理办法》。</w:t>
      </w:r>
    </w:p>
    <w:p>
      <w:pPr>
        <w:pStyle w:val="Normal"/>
        <w:numPr>
          <w:ilvl w:val="2"/>
          <w:numId w:val="16"/>
        </w:numPr>
        <w:spacing w:lineRule="exact" w:line="500"/>
        <w:rPr>
          <w:sz w:val="24"/>
        </w:rPr>
      </w:pPr>
      <w:r>
        <w:rPr>
          <w:rFonts w:ascii="SimHei" w:hAnsi="SimHei" w:eastAsia="黑体"/>
          <w:sz w:val="24"/>
        </w:rPr>
        <w:t>双向交流：某集团）职员若是总部职员，为增强工作实感，有可能被指定到一线经营单位去学习锻炼</w:t>
      </w:r>
      <w:r>
        <w:rPr>
          <w:rFonts w:ascii="SimHei" w:hAnsi="SimHei" w:eastAsia="黑体"/>
          <w:sz w:val="24"/>
        </w:rPr>
        <w:t>1-6</w:t>
      </w:r>
      <w:r>
        <w:rPr>
          <w:rFonts w:ascii="SimHei" w:hAnsi="SimHei" w:eastAsia="黑体"/>
          <w:sz w:val="24"/>
        </w:rPr>
        <w:t>个月。职员若是一线骨干人员，也有可能被指定到总部或其他对口业务单位联合办公</w:t>
      </w:r>
      <w:r>
        <w:rPr>
          <w:rFonts w:ascii="SimHei" w:hAnsi="SimHei" w:eastAsia="黑体"/>
          <w:sz w:val="24"/>
        </w:rPr>
        <w:t>0.5-2</w:t>
      </w:r>
      <w:r>
        <w:rPr>
          <w:rFonts w:ascii="SimHei" w:hAnsi="SimHei" w:eastAsia="黑体"/>
          <w:sz w:val="24"/>
        </w:rPr>
        <w:t>个月，使职员有时间、精力来总结提炼职员丰富的实际操作经验，某集团范围内交流，某集团资源共享，同时进一步系统了解公司运作特点。</w:t>
      </w:r>
    </w:p>
    <w:p>
      <w:pPr>
        <w:pStyle w:val="Normal"/>
        <w:numPr>
          <w:ilvl w:val="2"/>
          <w:numId w:val="16"/>
        </w:numPr>
        <w:spacing w:lineRule="exact" w:line="500"/>
        <w:rPr>
          <w:sz w:val="24"/>
        </w:rPr>
      </w:pPr>
      <w:r>
        <w:rPr>
          <w:rFonts w:ascii="SimHei" w:hAnsi="SimHei" w:eastAsia="黑体"/>
          <w:sz w:val="24"/>
        </w:rPr>
        <w:t>个人进修：公司除举办各种培训班提高职员的素质外，也鼓励职员到大专院校或专业培训机构进修学习（包括攻读学位、上岗培训、职称及其他资格证书考试、培训等）；形式有脱产进修和业余进修，其中脱产进修的申请条件要求在公司服务满三年以上。参加各种形式的学习后，职员的结业（毕业）证书及成绩单须报总部人力资源部备案，作为调配、选拔以及任免的参考依据。个人进修的审批程序及获批准后的有关待遇规定详见《个人进修管理规定》或者“公司人才培养计划”有关规定。</w:t>
      </w:r>
    </w:p>
    <w:p>
      <w:pPr>
        <w:pStyle w:val="Normal"/>
        <w:numPr>
          <w:ilvl w:val="2"/>
          <w:numId w:val="16"/>
        </w:numPr>
        <w:spacing w:lineRule="exact" w:line="500"/>
        <w:rPr>
          <w:sz w:val="24"/>
        </w:rPr>
      </w:pPr>
      <w:r>
        <w:rPr>
          <w:rFonts w:ascii="SimHei" w:hAnsi="SimHei" w:eastAsia="黑体"/>
          <w:sz w:val="24"/>
        </w:rPr>
        <w:t>外出考察：为拓展视野、丰富学习经验，公司将组织管理人员、专业人士以及荣获嘉奖的职员到外地考察。考察单位包括境内外的优秀企业或机构。</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6"/>
        </w:numPr>
        <w:snapToGrid w:val="true"/>
        <w:spacing w:lineRule="auto" w:line="415" w:before="260" w:after="260"/>
        <w:jc w:val="both"/>
        <w:rPr/>
      </w:pPr>
      <w:r>
        <w:rPr>
          <w:rFonts w:eastAsia="黑体" w:ascii="SimHei" w:hAnsi="SimHei"/>
        </w:rPr>
        <w:t xml:space="preserve"> </w:t>
      </w:r>
      <w:bookmarkStart w:id="47" w:name="__RefHeading___Toc427859450"/>
      <w:r>
        <w:rPr>
          <w:rFonts w:ascii="SimHei" w:hAnsi="SimHei" w:eastAsia="黑体"/>
        </w:rPr>
        <w:t>绩效考核与评估</w:t>
      </w:r>
      <w:bookmarkEnd w:id="47"/>
    </w:p>
    <w:p>
      <w:pPr>
        <w:pStyle w:val="Normal"/>
        <w:numPr>
          <w:ilvl w:val="2"/>
          <w:numId w:val="16"/>
        </w:numPr>
        <w:spacing w:lineRule="exact" w:line="500"/>
        <w:rPr>
          <w:sz w:val="24"/>
        </w:rPr>
      </w:pPr>
      <w:r>
        <w:rPr>
          <w:rFonts w:ascii="SimHei" w:hAnsi="SimHei" w:eastAsia="黑体"/>
          <w:sz w:val="24"/>
        </w:rPr>
        <w:t>为帮助职员总结个人工作得失，明确未来工作目标和工作要求，有针对性地改进和提高，公司将根据实际以分公司或者部门为单位按月度展开适度的考核；同时每年人力资源部将进行全面性的职员考核，通过职员与直接上司共同填写《年度考核评议书》，对职员的工作表现、能力等进行综合考核评估。考核结果将作为职员薪金调整和职务调整的必要性条件。</w:t>
      </w:r>
    </w:p>
    <w:p>
      <w:pPr>
        <w:pStyle w:val="Normal"/>
        <w:numPr>
          <w:ilvl w:val="2"/>
          <w:numId w:val="16"/>
        </w:numPr>
        <w:spacing w:lineRule="exact" w:line="500"/>
        <w:rPr>
          <w:sz w:val="24"/>
        </w:rPr>
      </w:pPr>
      <w:r>
        <w:rPr>
          <w:rFonts w:ascii="SimHei" w:hAnsi="SimHei" w:eastAsia="黑体"/>
          <w:sz w:val="24"/>
        </w:rPr>
        <w:t>在月考核中成绩良好者当月岗位薪金可适当上浮；成绩欠佳者，则可适当下浮；凡年度考核成绩处于部门（单位）低下水平者，将丧失本年度加薪、晋升和评奖资格，同时必须在下次考核中有所改进；经岗位调整或培训，仍连续两次处于较低水平者，公司可能会与职员终止劳动合同；当年度考核成绩低下者，亦可能面临降职、降薪或终止劳动合同的处理。</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6"/>
        </w:numPr>
        <w:snapToGrid w:val="true"/>
        <w:spacing w:lineRule="auto" w:line="415" w:before="260" w:after="260"/>
        <w:jc w:val="both"/>
        <w:rPr/>
      </w:pPr>
      <w:bookmarkStart w:id="48" w:name="__RefHeading___Toc427859451"/>
      <w:bookmarkEnd w:id="48"/>
      <w:r>
        <w:rPr>
          <w:rFonts w:ascii="SimHei" w:hAnsi="SimHei" w:eastAsia="黑体"/>
        </w:rPr>
        <w:t>内部调动</w:t>
      </w:r>
    </w:p>
    <w:p>
      <w:pPr>
        <w:pStyle w:val="Normal"/>
        <w:numPr>
          <w:ilvl w:val="2"/>
          <w:numId w:val="16"/>
        </w:numPr>
        <w:spacing w:lineRule="exact" w:line="500"/>
        <w:rPr>
          <w:sz w:val="24"/>
        </w:rPr>
      </w:pPr>
      <w:r>
        <w:rPr>
          <w:rFonts w:ascii="SimHei" w:hAnsi="SimHei" w:eastAsia="黑体"/>
          <w:sz w:val="24"/>
        </w:rPr>
        <w:t>公司有权根据职员的能力、工作表现和公司的实际需要，将职员调至公司任何部门（分公司）工作，这也有利于发挥职员的潜质。但必须事先获得有关部门领导及人力资源部的审批，并完备调离原单位手续，交接好工作。任何公司系统内私人协议调动都是公司不允许的，违者将作自动离职处理。</w:t>
      </w:r>
    </w:p>
    <w:p>
      <w:pPr>
        <w:pStyle w:val="Normal"/>
        <w:numPr>
          <w:ilvl w:val="2"/>
          <w:numId w:val="16"/>
        </w:numPr>
        <w:spacing w:lineRule="exact" w:line="500"/>
        <w:rPr/>
      </w:pPr>
      <w:r>
        <w:rPr>
          <w:rFonts w:ascii="SimHei" w:hAnsi="SimHei" w:eastAsia="黑体"/>
          <w:sz w:val="24"/>
        </w:rPr>
        <w:t>公司人力资源部将经常公布公司内部职位空缺信息，职员可报名或推荐外界人才，由人力资源部及相关部门负责具体协调工作。</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16"/>
        </w:numPr>
        <w:snapToGrid w:val="true"/>
        <w:spacing w:lineRule="auto" w:line="415" w:before="260" w:after="260"/>
        <w:jc w:val="both"/>
        <w:rPr/>
      </w:pPr>
      <w:bookmarkStart w:id="49" w:name="__RefHeading___Toc427859452"/>
      <w:bookmarkEnd w:id="49"/>
      <w:r>
        <w:rPr>
          <w:rFonts w:ascii="SimHei" w:hAnsi="SimHei" w:eastAsia="黑体"/>
        </w:rPr>
        <w:t>晋升机制</w:t>
      </w:r>
    </w:p>
    <w:p>
      <w:pPr>
        <w:pStyle w:val="Normal"/>
        <w:numPr>
          <w:ilvl w:val="2"/>
          <w:numId w:val="16"/>
        </w:numPr>
        <w:spacing w:lineRule="exact" w:line="500"/>
        <w:rPr>
          <w:sz w:val="24"/>
        </w:rPr>
      </w:pPr>
      <w:r>
        <w:rPr>
          <w:rFonts w:ascii="SimHei" w:hAnsi="SimHei" w:eastAsia="黑体"/>
          <w:sz w:val="24"/>
        </w:rPr>
        <w:t>公司鼓励职员努力工作，在出现职位空缺的前提下，工作勤奋、表现出色、能力出众的职员将获得优先的晋升和发展机会；公司并在一定程度上执行竞争上岗制度。</w:t>
      </w:r>
    </w:p>
    <w:p>
      <w:pPr>
        <w:pStyle w:val="Normal"/>
        <w:numPr>
          <w:ilvl w:val="2"/>
          <w:numId w:val="16"/>
        </w:numPr>
        <w:spacing w:lineRule="exact" w:line="500"/>
        <w:rPr>
          <w:sz w:val="24"/>
        </w:rPr>
      </w:pPr>
      <w:r>
        <w:rPr>
          <w:rFonts w:ascii="SimHei" w:hAnsi="SimHei" w:eastAsia="黑体"/>
          <w:sz w:val="24"/>
        </w:rPr>
        <w:t>如果符合下列条件，职员将有机会获得职务晋升，薪金亦会相应增加：</w:t>
      </w:r>
    </w:p>
    <w:p>
      <w:pPr>
        <w:pStyle w:val="Normal"/>
        <w:numPr>
          <w:ilvl w:val="0"/>
          <w:numId w:val="11"/>
        </w:numPr>
        <w:spacing w:lineRule="exact" w:line="500"/>
        <w:rPr>
          <w:sz w:val="24"/>
        </w:rPr>
      </w:pPr>
      <w:r>
        <w:rPr>
          <w:rFonts w:ascii="SimHei" w:hAnsi="SimHei" w:eastAsia="黑体"/>
          <w:sz w:val="24"/>
        </w:rPr>
        <w:t>具备良好的职业道德；</w:t>
      </w:r>
    </w:p>
    <w:p>
      <w:pPr>
        <w:pStyle w:val="Normal"/>
        <w:numPr>
          <w:ilvl w:val="0"/>
          <w:numId w:val="11"/>
        </w:numPr>
        <w:spacing w:lineRule="exact" w:line="500"/>
        <w:rPr>
          <w:sz w:val="24"/>
        </w:rPr>
      </w:pPr>
      <w:r>
        <w:rPr>
          <w:rFonts w:ascii="SimHei" w:hAnsi="SimHei" w:eastAsia="黑体"/>
          <w:sz w:val="24"/>
        </w:rPr>
        <w:t>工作绩效显著；</w:t>
      </w:r>
    </w:p>
    <w:p>
      <w:pPr>
        <w:pStyle w:val="Normal"/>
        <w:numPr>
          <w:ilvl w:val="0"/>
          <w:numId w:val="11"/>
        </w:numPr>
        <w:spacing w:lineRule="exact" w:line="500"/>
        <w:rPr>
          <w:sz w:val="24"/>
        </w:rPr>
      </w:pPr>
      <w:r>
        <w:rPr>
          <w:rFonts w:ascii="SimHei" w:hAnsi="SimHei" w:eastAsia="黑体"/>
          <w:sz w:val="24"/>
        </w:rPr>
        <w:t>个人工作能力优秀；</w:t>
      </w:r>
    </w:p>
    <w:p>
      <w:pPr>
        <w:pStyle w:val="Normal"/>
        <w:numPr>
          <w:ilvl w:val="0"/>
          <w:numId w:val="11"/>
        </w:numPr>
        <w:spacing w:lineRule="exact" w:line="500"/>
        <w:rPr>
          <w:sz w:val="24"/>
        </w:rPr>
      </w:pPr>
      <w:r>
        <w:rPr>
          <w:rFonts w:ascii="SimHei" w:hAnsi="SimHei" w:eastAsia="黑体"/>
          <w:sz w:val="24"/>
        </w:rPr>
        <w:t>年度考核成绩处于部门中上水平；</w:t>
      </w:r>
    </w:p>
    <w:p>
      <w:pPr>
        <w:pStyle w:val="Normal"/>
        <w:numPr>
          <w:ilvl w:val="0"/>
          <w:numId w:val="11"/>
        </w:numPr>
        <w:spacing w:lineRule="exact" w:line="500"/>
        <w:rPr>
          <w:sz w:val="24"/>
        </w:rPr>
      </w:pPr>
      <w:r>
        <w:rPr>
          <w:rFonts w:ascii="SimHei" w:hAnsi="SimHei" w:eastAsia="黑体"/>
          <w:sz w:val="24"/>
        </w:rPr>
        <w:t>对有关职务工作内容充分了解，并体现出职务兴趣；</w:t>
      </w:r>
    </w:p>
    <w:p>
      <w:pPr>
        <w:pStyle w:val="Normal"/>
        <w:numPr>
          <w:ilvl w:val="0"/>
          <w:numId w:val="11"/>
        </w:numPr>
        <w:spacing w:lineRule="exact" w:line="500"/>
        <w:rPr>
          <w:sz w:val="24"/>
        </w:rPr>
      </w:pPr>
      <w:r>
        <w:rPr>
          <w:rFonts w:ascii="SimHei" w:hAnsi="SimHei" w:eastAsia="黑体"/>
          <w:sz w:val="24"/>
        </w:rPr>
        <w:t>具备其它与职务要求相关的综合能力；</w:t>
      </w:r>
    </w:p>
    <w:p>
      <w:pPr>
        <w:pStyle w:val="Normal"/>
        <w:numPr>
          <w:ilvl w:val="0"/>
          <w:numId w:val="11"/>
        </w:numPr>
        <w:spacing w:lineRule="exact" w:line="500"/>
        <w:rPr>
          <w:sz w:val="24"/>
        </w:rPr>
      </w:pPr>
      <w:r>
        <w:rPr>
          <w:rFonts w:ascii="SimHei" w:hAnsi="SimHei" w:eastAsia="黑体"/>
          <w:sz w:val="24"/>
        </w:rPr>
        <w:t>已参加过拟晋升职务须接受的系列培训，成绩合格；</w:t>
      </w:r>
    </w:p>
    <w:p>
      <w:pPr>
        <w:pStyle w:val="Normal"/>
        <w:numPr>
          <w:ilvl w:val="0"/>
          <w:numId w:val="11"/>
        </w:numPr>
        <w:spacing w:lineRule="exact" w:line="500"/>
        <w:rPr>
          <w:sz w:val="24"/>
        </w:rPr>
      </w:pPr>
      <w:r>
        <w:rPr>
          <w:rFonts w:ascii="SimHei" w:hAnsi="SimHei" w:eastAsia="黑体"/>
          <w:sz w:val="24"/>
        </w:rPr>
        <w:t>达到拟晋升职务所规定的工作阅历要求。</w:t>
      </w:r>
    </w:p>
    <w:p>
      <w:pPr>
        <w:pStyle w:val="Normal"/>
        <w:numPr>
          <w:ilvl w:val="2"/>
          <w:numId w:val="16"/>
        </w:numPr>
        <w:spacing w:lineRule="exact" w:line="500"/>
        <w:rPr/>
      </w:pPr>
      <w:r>
        <w:rPr>
          <w:rFonts w:ascii="SimHei" w:hAnsi="SimHei" w:eastAsia="黑体"/>
          <w:sz w:val="24"/>
        </w:rPr>
        <w:t>公司不同职级顺序：</w:t>
      </w:r>
    </w:p>
    <w:p>
      <w:pPr>
        <w:pStyle w:val="Normal"/>
        <w:numPr>
          <w:ilvl w:val="0"/>
          <w:numId w:val="27"/>
        </w:numPr>
        <w:spacing w:lineRule="exact" w:line="500"/>
        <w:rPr>
          <w:sz w:val="24"/>
        </w:rPr>
      </w:pPr>
      <w:r>
        <w:rPr>
          <w:rFonts w:ascii="SimHei" w:hAnsi="SimHei" w:eastAsia="黑体"/>
          <w:sz w:val="24"/>
        </w:rPr>
        <w:t>行政直线：职员</w:t>
      </w:r>
      <w:r>
        <w:rPr>
          <w:rFonts w:ascii="SimHei" w:hAnsi="SimHei" w:eastAsia="黑体"/>
          <w:sz w:val="24"/>
        </w:rPr>
        <w:t>---&gt;</w:t>
      </w:r>
      <w:r>
        <w:rPr>
          <w:rFonts w:ascii="SimHei" w:hAnsi="SimHei" w:eastAsia="黑体"/>
          <w:sz w:val="24"/>
        </w:rPr>
        <w:t>主管</w:t>
      </w:r>
      <w:r>
        <w:rPr>
          <w:rFonts w:ascii="SimHei" w:hAnsi="SimHei" w:eastAsia="黑体"/>
          <w:sz w:val="24"/>
        </w:rPr>
        <w:t>---&gt;</w:t>
      </w:r>
      <w:r>
        <w:rPr>
          <w:rFonts w:ascii="SimHei" w:hAnsi="SimHei" w:eastAsia="黑体"/>
          <w:sz w:val="24"/>
        </w:rPr>
        <w:t>经理</w:t>
      </w:r>
      <w:r>
        <w:rPr>
          <w:rFonts w:ascii="SimHei" w:hAnsi="SimHei" w:eastAsia="黑体"/>
          <w:sz w:val="24"/>
        </w:rPr>
        <w:t>---&gt;</w:t>
      </w:r>
      <w:r>
        <w:rPr>
          <w:rFonts w:ascii="SimHei" w:hAnsi="SimHei" w:eastAsia="黑体"/>
          <w:sz w:val="24"/>
        </w:rPr>
        <w:t>总经理</w:t>
      </w:r>
      <w:r>
        <w:rPr>
          <w:rFonts w:ascii="SimHei" w:hAnsi="SimHei" w:eastAsia="黑体"/>
          <w:sz w:val="24"/>
        </w:rPr>
        <w:t>---&gt;</w:t>
      </w:r>
      <w:r>
        <w:rPr>
          <w:rFonts w:ascii="SimHei" w:hAnsi="SimHei" w:eastAsia="黑体"/>
          <w:sz w:val="24"/>
        </w:rPr>
        <w:t>其他更高职位</w:t>
      </w:r>
    </w:p>
    <w:p>
      <w:pPr>
        <w:pStyle w:val="Normal"/>
        <w:numPr>
          <w:ilvl w:val="0"/>
          <w:numId w:val="27"/>
        </w:numPr>
        <w:spacing w:lineRule="exact" w:line="500"/>
        <w:rPr>
          <w:sz w:val="24"/>
        </w:rPr>
      </w:pPr>
      <w:r>
        <w:rPr>
          <w:rFonts w:ascii="SimHei" w:hAnsi="SimHei" w:eastAsia="黑体"/>
          <w:sz w:val="24"/>
        </w:rPr>
        <w:t>行政支线：助理职、副职等非直线职位列入行政支线</w:t>
      </w:r>
    </w:p>
    <w:p>
      <w:pPr>
        <w:pStyle w:val="Normal"/>
        <w:numPr>
          <w:ilvl w:val="0"/>
          <w:numId w:val="27"/>
        </w:numPr>
        <w:spacing w:lineRule="exact" w:line="500"/>
        <w:rPr>
          <w:sz w:val="24"/>
        </w:rPr>
      </w:pPr>
      <w:r>
        <w:rPr>
          <w:rFonts w:ascii="SimHei" w:hAnsi="SimHei" w:eastAsia="黑体"/>
          <w:sz w:val="24"/>
        </w:rPr>
        <w:t>生产直线：略</w:t>
      </w:r>
    </w:p>
    <w:p>
      <w:pPr>
        <w:pStyle w:val="Normal"/>
        <w:numPr>
          <w:ilvl w:val="0"/>
          <w:numId w:val="27"/>
        </w:numPr>
        <w:spacing w:lineRule="exact" w:line="500"/>
        <w:rPr>
          <w:sz w:val="24"/>
        </w:rPr>
      </w:pPr>
      <w:r>
        <w:rPr>
          <w:rFonts w:ascii="SimHei" w:hAnsi="SimHei" w:eastAsia="黑体"/>
          <w:sz w:val="24"/>
        </w:rPr>
        <w:t>研发直线：略</w:t>
      </w:r>
    </w:p>
    <w:p>
      <w:pPr>
        <w:pStyle w:val="Normal"/>
        <w:numPr>
          <w:ilvl w:val="0"/>
          <w:numId w:val="27"/>
        </w:numPr>
        <w:spacing w:lineRule="exact" w:line="500"/>
        <w:rPr>
          <w:rFonts w:ascii="宋体;SimSun" w:hAnsi="宋体;SimSun" w:cs="宋体;SimSun"/>
          <w:sz w:val="24"/>
        </w:rPr>
      </w:pPr>
      <w:r>
        <w:rPr>
          <w:rFonts w:cs="宋体;SimSun" w:ascii="SimHei" w:hAnsi="SimHei" w:eastAsia="黑体"/>
          <w:sz w:val="24"/>
        </w:rPr>
        <w:t>……</w:t>
      </w:r>
    </w:p>
    <w:p>
      <w:pPr>
        <w:pStyle w:val="Normal"/>
        <w:spacing w:lineRule="exact" w:line="400"/>
        <w:ind w:firstLine="420"/>
        <w:rPr/>
      </w:pPr>
      <w:r>
        <w:rPr>
          <w:rFonts w:ascii="SimHei" w:hAnsi="SimHei" w:eastAsia="黑体"/>
          <w:i/>
          <w:szCs w:val="21"/>
          <w:u w:val="single"/>
        </w:rPr>
        <w:t>说明：企业可根据自身情况设计不同的晋升渠道，例如分别从管理、技术、技能不同层面设计员工的发展通道，尤其是生产型企业需要灵活设计不同的员工发展渠道，为员工提供展示平台，便于员工能够充分发挥自己的能力和特长。</w:t>
      </w:r>
    </w:p>
    <w:p>
      <w:pPr>
        <w:pStyle w:val="Normal"/>
        <w:spacing w:lineRule="exact" w:line="500"/>
        <w:rPr>
          <w:i/>
          <w:i/>
          <w:sz w:val="24"/>
          <w:szCs w:val="21"/>
          <w:u w:val="single"/>
        </w:rPr>
      </w:pPr>
      <w:r>
        <w:rPr>
          <w:rFonts w:ascii="SimHei" w:hAnsi="SimHei" w:eastAsia="黑体"/>
          <w:i/>
          <w:sz w:val="24"/>
          <w:szCs w:val="21"/>
          <w:u w:val="single"/>
        </w:rPr>
      </w:r>
    </w:p>
    <w:p>
      <w:pPr>
        <w:pStyle w:val="Heading1"/>
        <w:rPr/>
      </w:pPr>
      <w:bookmarkStart w:id="50" w:name="__RefHeading___Toc427859453"/>
      <w:bookmarkEnd w:id="50"/>
      <w:r>
        <w:rPr>
          <w:rFonts w:ascii="SimHei" w:hAnsi="SimHei" w:eastAsia="黑体"/>
        </w:rPr>
        <w:t>第七章</w:t>
      </w:r>
      <w:r>
        <w:rPr>
          <w:rFonts w:eastAsia="黑体" w:ascii="SimHei" w:hAnsi="SimHei"/>
        </w:rPr>
        <w:t xml:space="preserve"> </w:t>
      </w:r>
      <w:r>
        <w:rPr>
          <w:rFonts w:ascii="SimHei" w:hAnsi="SimHei" w:eastAsia="黑体"/>
        </w:rPr>
        <w:t>劳动合同</w:t>
      </w:r>
    </w:p>
    <w:p>
      <w:pPr>
        <w:pStyle w:val="Normal"/>
        <w:spacing w:lineRule="exact" w:line="500"/>
        <w:ind w:firstLine="480"/>
        <w:rPr>
          <w:sz w:val="24"/>
        </w:rPr>
      </w:pPr>
      <w:r>
        <w:rPr>
          <w:rFonts w:ascii="SimHei" w:hAnsi="SimHei" w:eastAsia="黑体"/>
          <w:sz w:val="24"/>
        </w:rPr>
        <w:t>为确立公司与职员的劳动关系，明确双方的权利与义务，公司实施全员劳动合同制管理。公司的全员劳动合同制管理以国家颁布的《劳动法》和各地方相关劳动法规为依据，本条例未提及事项均遵照上述各项法规执行。</w:t>
      </w:r>
    </w:p>
    <w:p>
      <w:pPr>
        <w:pStyle w:val="Heading2"/>
        <w:rPr/>
      </w:pPr>
      <w:bookmarkStart w:id="51" w:name="__RefHeading___Toc427859454"/>
      <w:bookmarkEnd w:id="51"/>
      <w:r>
        <w:rPr>
          <w:rFonts w:ascii="SimHei" w:hAnsi="SimHei" w:eastAsia="黑体"/>
        </w:rPr>
        <w:t xml:space="preserve">7.1 </w:t>
      </w:r>
      <w:r>
        <w:rPr>
          <w:rFonts w:ascii="SimHei" w:hAnsi="SimHei" w:eastAsia="黑体"/>
        </w:rPr>
        <w:t>适用范围</w:t>
      </w:r>
    </w:p>
    <w:p>
      <w:pPr>
        <w:pStyle w:val="Normal"/>
        <w:spacing w:lineRule="exact" w:line="500"/>
        <w:ind w:firstLine="480"/>
        <w:rPr>
          <w:sz w:val="24"/>
        </w:rPr>
      </w:pPr>
      <w:r>
        <w:rPr>
          <w:rFonts w:ascii="SimHei" w:hAnsi="SimHei" w:eastAsia="黑体"/>
          <w:sz w:val="24"/>
        </w:rPr>
        <w:t>职员在公司期间，均需与具有法人资格的所在公司订立劳动合同，确立劳动关系。</w:t>
      </w:r>
    </w:p>
    <w:p>
      <w:pPr>
        <w:pStyle w:val="Heading2"/>
        <w:rPr/>
      </w:pPr>
      <w:bookmarkStart w:id="52" w:name="__RefHeading___Toc427859455"/>
      <w:bookmarkEnd w:id="52"/>
      <w:r>
        <w:rPr>
          <w:rFonts w:ascii="SimHei" w:hAnsi="SimHei" w:eastAsia="黑体"/>
        </w:rPr>
        <w:t xml:space="preserve">7.2 </w:t>
      </w:r>
      <w:r>
        <w:rPr>
          <w:rFonts w:ascii="SimHei" w:hAnsi="SimHei" w:eastAsia="黑体"/>
        </w:rPr>
        <w:t>合同期限</w:t>
      </w:r>
    </w:p>
    <w:p>
      <w:pPr>
        <w:pStyle w:val="Normal"/>
        <w:spacing w:lineRule="exact" w:line="500"/>
        <w:ind w:firstLine="480"/>
        <w:rPr>
          <w:sz w:val="24"/>
        </w:rPr>
      </w:pPr>
      <w:r>
        <w:rPr>
          <w:rFonts w:ascii="SimHei" w:hAnsi="SimHei" w:eastAsia="黑体"/>
          <w:sz w:val="24"/>
        </w:rPr>
        <w:t>劳动合同的期限分为固定期限、无固定期限和以完成一定的工作为期限。在同一用人单位连续工作满十年以上，公司与职员双方同意续签劳动合同的，职员可以提出与公司订立无固定期限的劳动合同。</w:t>
      </w:r>
    </w:p>
    <w:p>
      <w:pPr>
        <w:pStyle w:val="Heading2"/>
        <w:rPr/>
      </w:pPr>
      <w:bookmarkStart w:id="53" w:name="__RefHeading___Toc427859456"/>
      <w:bookmarkEnd w:id="53"/>
      <w:r>
        <w:rPr>
          <w:rFonts w:ascii="SimHei" w:hAnsi="SimHei" w:eastAsia="黑体"/>
        </w:rPr>
        <w:t>7.3</w:t>
      </w:r>
      <w:r>
        <w:rPr>
          <w:rFonts w:ascii="SimHei" w:hAnsi="SimHei" w:eastAsia="黑体"/>
        </w:rPr>
        <w:t>合同签定、续订、变更和解除</w:t>
      </w:r>
    </w:p>
    <w:p>
      <w:pPr>
        <w:pStyle w:val="Normal"/>
        <w:numPr>
          <w:ilvl w:val="2"/>
          <w:numId w:val="7"/>
        </w:numPr>
        <w:spacing w:lineRule="exact" w:line="500"/>
        <w:rPr>
          <w:sz w:val="24"/>
        </w:rPr>
      </w:pPr>
      <w:r>
        <w:rPr>
          <w:rFonts w:ascii="SimHei" w:hAnsi="SimHei" w:eastAsia="黑体"/>
          <w:sz w:val="24"/>
        </w:rPr>
        <w:t>新入职的职员，公司将在职员入职后与其签定劳动合同。</w:t>
      </w:r>
    </w:p>
    <w:p>
      <w:pPr>
        <w:pStyle w:val="Normal"/>
        <w:numPr>
          <w:ilvl w:val="2"/>
          <w:numId w:val="7"/>
        </w:numPr>
        <w:spacing w:lineRule="exact" w:line="500"/>
        <w:rPr>
          <w:sz w:val="24"/>
        </w:rPr>
      </w:pPr>
      <w:r>
        <w:rPr>
          <w:rFonts w:ascii="SimHei" w:hAnsi="SimHei" w:eastAsia="黑体"/>
          <w:sz w:val="24"/>
        </w:rPr>
        <w:t>对于有固定期限的劳动合同，公司与职员双方同意在劳动合同期满后续签劳动合同的，应在原合同期满前三十日内重新订立劳动合同。</w:t>
      </w:r>
    </w:p>
    <w:p>
      <w:pPr>
        <w:pStyle w:val="Normal"/>
        <w:numPr>
          <w:ilvl w:val="2"/>
          <w:numId w:val="7"/>
        </w:numPr>
        <w:spacing w:lineRule="exact" w:line="500"/>
        <w:rPr>
          <w:sz w:val="24"/>
        </w:rPr>
      </w:pPr>
      <w:r>
        <w:rPr>
          <w:rFonts w:ascii="SimHei" w:hAnsi="SimHei" w:eastAsia="黑体"/>
          <w:sz w:val="24"/>
        </w:rPr>
        <w:t>公司与职员双方经协商同意，可以变更或者解除劳动合同。</w:t>
      </w:r>
    </w:p>
    <w:p>
      <w:pPr>
        <w:pStyle w:val="Normal"/>
        <w:numPr>
          <w:ilvl w:val="2"/>
          <w:numId w:val="7"/>
        </w:numPr>
        <w:spacing w:lineRule="exact" w:line="500"/>
        <w:rPr>
          <w:sz w:val="24"/>
        </w:rPr>
      </w:pPr>
      <w:r>
        <w:rPr>
          <w:rFonts w:ascii="SimHei" w:hAnsi="SimHei" w:eastAsia="黑体"/>
          <w:sz w:val="24"/>
        </w:rPr>
        <w:t>职员有下列情形之一的，公司可以解除劳动合同，且可以不支付经济补偿：</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）在试用期内被证明不符合录用条件的；</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）严重违反劳动纪律或公司规章制度的；</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）严重失职、营私舞弊，对公司利益造成重大损害的；</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）被依法追究刑事责任的。</w:t>
      </w:r>
    </w:p>
    <w:p>
      <w:pPr>
        <w:pStyle w:val="Normal"/>
        <w:spacing w:lineRule="exact" w:line="500"/>
        <w:rPr/>
      </w:pPr>
      <w:r>
        <w:rPr>
          <w:rFonts w:ascii="SimHei" w:hAnsi="SimHei" w:eastAsia="黑体"/>
          <w:sz w:val="24"/>
        </w:rPr>
        <w:t xml:space="preserve">7.3.5 </w:t>
      </w:r>
      <w:r>
        <w:rPr>
          <w:rFonts w:ascii="SimHei" w:hAnsi="SimHei" w:eastAsia="黑体"/>
          <w:sz w:val="24"/>
        </w:rPr>
        <w:t>有下列情形之一的，在征得人力资源部同意和征询职工委员会（职工委员会根据企业实际状况设立，国有企业相应的组织机构为工会）意见后，公司可以解除劳动合同，但应当提前三十日以书面形式通知职员本人：</w:t>
      </w:r>
    </w:p>
    <w:p>
      <w:pPr>
        <w:pStyle w:val="Normal"/>
        <w:spacing w:lineRule="exact" w:line="500"/>
        <w:ind w:firstLine="600"/>
        <w:rPr>
          <w:sz w:val="24"/>
        </w:rPr>
      </w:pPr>
      <w:r>
        <w:rPr>
          <w:rFonts w:ascii="SimHei" w:hAnsi="SimHei" w:eastAsia="黑体"/>
          <w:sz w:val="24"/>
        </w:rPr>
        <w:t>（</w:t>
      </w:r>
      <w:r>
        <w:rPr>
          <w:rFonts w:ascii="SimHei" w:hAnsi="SimHei" w:eastAsia="黑体"/>
          <w:sz w:val="24"/>
        </w:rPr>
        <w:t>1</w:t>
      </w:r>
      <w:r>
        <w:rPr>
          <w:rFonts w:ascii="SimHei" w:hAnsi="SimHei" w:eastAsia="黑体"/>
          <w:sz w:val="24"/>
        </w:rPr>
        <w:t>）职员患病或非因工负伤，医疗期满后不能从事原工作也不能从事由公司另行安排的工作的；</w:t>
      </w:r>
    </w:p>
    <w:p>
      <w:pPr>
        <w:pStyle w:val="Normal"/>
        <w:spacing w:lineRule="exact" w:line="500"/>
        <w:ind w:firstLine="600"/>
        <w:rPr>
          <w:sz w:val="24"/>
        </w:rPr>
      </w:pPr>
      <w:r>
        <w:rPr>
          <w:rFonts w:ascii="SimHei" w:hAnsi="SimHei" w:eastAsia="黑体"/>
          <w:sz w:val="24"/>
        </w:rPr>
        <w:t>（</w:t>
      </w:r>
      <w:r>
        <w:rPr>
          <w:rFonts w:ascii="SimHei" w:hAnsi="SimHei" w:eastAsia="黑体"/>
          <w:sz w:val="24"/>
        </w:rPr>
        <w:t>2</w:t>
      </w:r>
      <w:r>
        <w:rPr>
          <w:rFonts w:ascii="SimHei" w:hAnsi="SimHei" w:eastAsia="黑体"/>
          <w:sz w:val="24"/>
        </w:rPr>
        <w:t>）职员不能胜任工作，经过培训或者调整工作岗位，仍不能胜任工作的；</w:t>
      </w:r>
    </w:p>
    <w:p>
      <w:pPr>
        <w:pStyle w:val="Normal"/>
        <w:spacing w:lineRule="exact" w:line="500"/>
        <w:ind w:firstLine="600"/>
        <w:rPr>
          <w:sz w:val="24"/>
        </w:rPr>
      </w:pPr>
      <w:r>
        <w:rPr>
          <w:rFonts w:ascii="SimHei" w:hAnsi="SimHei" w:eastAsia="黑体"/>
          <w:sz w:val="24"/>
        </w:rPr>
        <w:t>（</w:t>
      </w:r>
      <w:r>
        <w:rPr>
          <w:rFonts w:ascii="SimHei" w:hAnsi="SimHei" w:eastAsia="黑体"/>
          <w:sz w:val="24"/>
        </w:rPr>
        <w:t>3</w:t>
      </w:r>
      <w:r>
        <w:rPr>
          <w:rFonts w:ascii="SimHei" w:hAnsi="SimHei" w:eastAsia="黑体"/>
          <w:sz w:val="24"/>
        </w:rPr>
        <w:t>）劳动合同订立所依据的客观情况发生重大变化，致使原劳动合同无法履行，经当事人协商不能就变更劳动合同达成一致协议的；</w:t>
      </w:r>
    </w:p>
    <w:p>
      <w:pPr>
        <w:pStyle w:val="Normal"/>
        <w:spacing w:lineRule="exact" w:line="500"/>
        <w:ind w:firstLine="600"/>
        <w:rPr>
          <w:sz w:val="24"/>
        </w:rPr>
      </w:pPr>
      <w:r>
        <w:rPr>
          <w:rFonts w:ascii="SimHei" w:hAnsi="SimHei" w:eastAsia="黑体"/>
          <w:sz w:val="24"/>
        </w:rPr>
        <w:t>（</w:t>
      </w:r>
      <w:r>
        <w:rPr>
          <w:rFonts w:ascii="SimHei" w:hAnsi="SimHei" w:eastAsia="黑体"/>
          <w:sz w:val="24"/>
        </w:rPr>
        <w:t>4</w:t>
      </w:r>
      <w:r>
        <w:rPr>
          <w:rFonts w:ascii="SimHei" w:hAnsi="SimHei" w:eastAsia="黑体"/>
          <w:sz w:val="24"/>
        </w:rPr>
        <w:t>）公司经营困难发生经济性裁员的；</w:t>
      </w:r>
    </w:p>
    <w:p>
      <w:pPr>
        <w:pStyle w:val="Normal"/>
        <w:spacing w:lineRule="exact" w:line="500"/>
        <w:rPr>
          <w:sz w:val="24"/>
        </w:rPr>
      </w:pPr>
      <w:r>
        <w:rPr>
          <w:rFonts w:ascii="SimHei" w:hAnsi="SimHei" w:eastAsia="黑体"/>
          <w:sz w:val="24"/>
        </w:rPr>
        <w:t xml:space="preserve">7.3.6 </w:t>
      </w:r>
      <w:r>
        <w:rPr>
          <w:rFonts w:ascii="SimHei" w:hAnsi="SimHei" w:eastAsia="黑体"/>
          <w:sz w:val="24"/>
        </w:rPr>
        <w:t>公司与职工委员会委员解除劳动合同必须经职工委员会同意。</w:t>
      </w:r>
    </w:p>
    <w:p>
      <w:pPr>
        <w:pStyle w:val="Normal"/>
        <w:spacing w:lineRule="exact" w:line="500"/>
        <w:rPr/>
      </w:pPr>
      <w:r>
        <w:rPr>
          <w:rFonts w:ascii="SimHei" w:hAnsi="SimHei" w:eastAsia="黑体"/>
          <w:sz w:val="24"/>
        </w:rPr>
        <w:t xml:space="preserve">7.3.7 </w:t>
      </w:r>
      <w:r>
        <w:rPr>
          <w:rFonts w:ascii="SimHei" w:hAnsi="SimHei" w:eastAsia="黑体"/>
          <w:sz w:val="24"/>
        </w:rPr>
        <w:t>职员解除劳动合同，应当提前三十日以书面形式通知公司。如未能提前通知公司，给公司造成经济损失的，应根据国家有关劳动法规定承担违约责任。</w:t>
      </w:r>
    </w:p>
    <w:p>
      <w:pPr>
        <w:pStyle w:val="Normal"/>
        <w:spacing w:lineRule="exact" w:line="500"/>
        <w:rPr>
          <w:sz w:val="24"/>
        </w:rPr>
      </w:pPr>
      <w:r>
        <w:rPr>
          <w:rFonts w:ascii="SimHei" w:hAnsi="SimHei" w:eastAsia="黑体"/>
          <w:sz w:val="24"/>
        </w:rPr>
      </w:r>
    </w:p>
    <w:p>
      <w:pPr>
        <w:pStyle w:val="Heading2"/>
        <w:rPr/>
      </w:pPr>
      <w:bookmarkStart w:id="54" w:name="__RefHeading___Toc427859457"/>
      <w:bookmarkEnd w:id="54"/>
      <w:r>
        <w:rPr>
          <w:rFonts w:ascii="SimHei" w:hAnsi="SimHei" w:eastAsia="黑体"/>
        </w:rPr>
        <w:t xml:space="preserve">7.4 </w:t>
      </w:r>
      <w:r>
        <w:rPr>
          <w:rFonts w:ascii="SimHei" w:hAnsi="SimHei" w:eastAsia="黑体"/>
        </w:rPr>
        <w:t>完备调离手续</w:t>
      </w:r>
    </w:p>
    <w:p>
      <w:pPr>
        <w:pStyle w:val="Normal"/>
        <w:spacing w:lineRule="exact" w:line="500"/>
        <w:rPr/>
      </w:pPr>
      <w:r>
        <w:rPr>
          <w:rFonts w:ascii="SimHei" w:hAnsi="SimHei" w:eastAsia="黑体"/>
          <w:sz w:val="24"/>
        </w:rPr>
        <w:t xml:space="preserve">7.4.1 </w:t>
      </w:r>
      <w:r>
        <w:rPr>
          <w:rFonts w:ascii="SimHei" w:hAnsi="SimHei" w:eastAsia="黑体"/>
          <w:sz w:val="24"/>
        </w:rPr>
        <w:t>双方终止或解除劳动合同，职员在离职前必须完备离职手续，未完备离职手续擅自离职，公司将按旷工处理。离职手续包括：</w:t>
      </w:r>
    </w:p>
    <w:p>
      <w:pPr>
        <w:pStyle w:val="Normal"/>
        <w:spacing w:lineRule="exact" w:line="500"/>
        <w:ind w:firstLine="360"/>
        <w:rPr>
          <w:sz w:val="24"/>
        </w:rPr>
      </w:pPr>
      <w:r>
        <w:rPr>
          <w:rFonts w:ascii="SimHei" w:hAnsi="SimHei" w:eastAsia="黑体"/>
          <w:sz w:val="24"/>
        </w:rPr>
        <w:t>（</w:t>
      </w:r>
      <w:r>
        <w:rPr>
          <w:rFonts w:ascii="SimHei" w:hAnsi="SimHei" w:eastAsia="黑体"/>
          <w:sz w:val="24"/>
        </w:rPr>
        <w:t>1</w:t>
      </w:r>
      <w:r>
        <w:rPr>
          <w:rFonts w:ascii="SimHei" w:hAnsi="SimHei" w:eastAsia="黑体"/>
          <w:sz w:val="24"/>
        </w:rPr>
        <w:t>）处理工作交接事宜；</w:t>
      </w:r>
    </w:p>
    <w:p>
      <w:pPr>
        <w:pStyle w:val="Normal"/>
        <w:spacing w:lineRule="exact" w:line="500"/>
        <w:ind w:firstLine="360"/>
        <w:rPr>
          <w:sz w:val="24"/>
        </w:rPr>
      </w:pPr>
      <w:r>
        <w:rPr>
          <w:rFonts w:ascii="SimHei" w:hAnsi="SimHei" w:eastAsia="黑体"/>
          <w:sz w:val="24"/>
        </w:rPr>
        <w:t>（</w:t>
      </w:r>
      <w:r>
        <w:rPr>
          <w:rFonts w:ascii="SimHei" w:hAnsi="SimHei" w:eastAsia="黑体"/>
          <w:sz w:val="24"/>
        </w:rPr>
        <w:t>2</w:t>
      </w:r>
      <w:r>
        <w:rPr>
          <w:rFonts w:ascii="SimHei" w:hAnsi="SimHei" w:eastAsia="黑体"/>
          <w:sz w:val="24"/>
        </w:rPr>
        <w:t>）按《调离手续完备表》要求办理离职手续；</w:t>
      </w:r>
    </w:p>
    <w:p>
      <w:pPr>
        <w:pStyle w:val="Normal"/>
        <w:spacing w:lineRule="exact" w:line="500"/>
        <w:ind w:firstLine="360"/>
        <w:rPr/>
      </w:pPr>
      <w:r>
        <w:rPr>
          <w:rFonts w:ascii="SimHei" w:hAnsi="SimHei" w:eastAsia="黑体"/>
          <w:sz w:val="24"/>
        </w:rPr>
        <w:t>（</w:t>
      </w:r>
      <w:r>
        <w:rPr>
          <w:rFonts w:ascii="SimHei" w:hAnsi="SimHei" w:eastAsia="黑体"/>
          <w:sz w:val="24"/>
        </w:rPr>
        <w:t>3</w:t>
      </w:r>
      <w:r>
        <w:rPr>
          <w:rFonts w:ascii="SimHei" w:hAnsi="SimHei" w:eastAsia="黑体"/>
          <w:sz w:val="24"/>
        </w:rPr>
        <w:t>）交还所有公司资料、文件、办公用品、《员工手册》及其它公物；</w:t>
      </w:r>
    </w:p>
    <w:p>
      <w:pPr>
        <w:pStyle w:val="Normal"/>
        <w:spacing w:lineRule="exact" w:line="500"/>
        <w:ind w:firstLine="360"/>
        <w:rPr/>
      </w:pPr>
      <w:r>
        <w:rPr>
          <w:rFonts w:ascii="SimHei" w:hAnsi="SimHei" w:eastAsia="黑体"/>
          <w:sz w:val="24"/>
        </w:rPr>
        <w:t>（</w:t>
      </w:r>
      <w:r>
        <w:rPr>
          <w:rFonts w:ascii="SimHei" w:hAnsi="SimHei" w:eastAsia="黑体"/>
          <w:sz w:val="24"/>
        </w:rPr>
        <w:t>4</w:t>
      </w:r>
      <w:r>
        <w:rPr>
          <w:rFonts w:ascii="SimHei" w:hAnsi="SimHei" w:eastAsia="黑体"/>
          <w:sz w:val="24"/>
        </w:rPr>
        <w:t>）退还公司宿舍及房内公物，并到人力资源部办理退房手续。由公司提出解除劳动合同的职员，临时确没有住房需租住公司住房的，必须与公司签定续租契约，租金按市价收取，租住时间不得超过一个月；</w:t>
      </w:r>
    </w:p>
    <w:p>
      <w:pPr>
        <w:pStyle w:val="Normal"/>
        <w:spacing w:lineRule="exact" w:line="500"/>
        <w:ind w:firstLine="360"/>
        <w:rPr>
          <w:sz w:val="24"/>
        </w:rPr>
      </w:pPr>
      <w:r>
        <w:rPr>
          <w:rFonts w:ascii="SimHei" w:hAnsi="SimHei" w:eastAsia="黑体"/>
          <w:sz w:val="24"/>
        </w:rPr>
        <w:t>（</w:t>
      </w:r>
      <w:r>
        <w:rPr>
          <w:rFonts w:ascii="SimHei" w:hAnsi="SimHei" w:eastAsia="黑体"/>
          <w:sz w:val="24"/>
        </w:rPr>
        <w:t>5</w:t>
      </w:r>
      <w:r>
        <w:rPr>
          <w:rFonts w:ascii="SimHei" w:hAnsi="SimHei" w:eastAsia="黑体"/>
          <w:sz w:val="24"/>
        </w:rPr>
        <w:t>）报销公司帐目，归还公司欠款；待所有离职手续完备后，领取离职当月实际工作天数薪金。</w:t>
      </w:r>
    </w:p>
    <w:p>
      <w:pPr>
        <w:pStyle w:val="Normal"/>
        <w:spacing w:lineRule="exact" w:line="500"/>
        <w:ind w:firstLine="360"/>
        <w:rPr>
          <w:sz w:val="24"/>
        </w:rPr>
      </w:pPr>
      <w:r>
        <w:rPr>
          <w:rFonts w:ascii="SimHei" w:hAnsi="SimHei" w:eastAsia="黑体"/>
          <w:sz w:val="24"/>
        </w:rPr>
        <w:t>（</w:t>
      </w:r>
      <w:r>
        <w:rPr>
          <w:rFonts w:ascii="SimHei" w:hAnsi="SimHei" w:eastAsia="黑体"/>
          <w:sz w:val="24"/>
        </w:rPr>
        <w:t>6</w:t>
      </w:r>
      <w:r>
        <w:rPr>
          <w:rFonts w:ascii="SimHei" w:hAnsi="SimHei" w:eastAsia="黑体"/>
          <w:sz w:val="24"/>
        </w:rPr>
        <w:t>）离职职员户口及人事档案关系在公司的，应在离职日将户口、档案及人事关系转离公司，不能马上转离的，需与公司签定《离职人员档案管理协议》。</w:t>
      </w:r>
    </w:p>
    <w:p>
      <w:pPr>
        <w:pStyle w:val="Normal"/>
        <w:spacing w:lineRule="exact" w:line="500"/>
        <w:ind w:firstLine="360"/>
        <w:rPr>
          <w:sz w:val="24"/>
        </w:rPr>
      </w:pPr>
      <w:r>
        <w:rPr>
          <w:rFonts w:ascii="SimHei" w:hAnsi="SimHei" w:eastAsia="黑体"/>
          <w:sz w:val="24"/>
        </w:rPr>
        <w:t>（</w:t>
      </w:r>
      <w:r>
        <w:rPr>
          <w:rFonts w:ascii="SimHei" w:hAnsi="SimHei" w:eastAsia="黑体"/>
          <w:sz w:val="24"/>
        </w:rPr>
        <w:t>7</w:t>
      </w:r>
      <w:r>
        <w:rPr>
          <w:rFonts w:ascii="SimHei" w:hAnsi="SimHei" w:eastAsia="黑体"/>
          <w:sz w:val="24"/>
        </w:rPr>
        <w:t>）职员违约或提出解除劳动合同时，职员应按合同规定，归还在劳动合同期限内的有关费用。</w:t>
      </w:r>
    </w:p>
    <w:p>
      <w:pPr>
        <w:pStyle w:val="Normal"/>
        <w:spacing w:lineRule="exact" w:line="500"/>
        <w:ind w:firstLine="360"/>
        <w:rPr>
          <w:sz w:val="24"/>
        </w:rPr>
      </w:pPr>
      <w:r>
        <w:rPr>
          <w:rFonts w:ascii="SimHei" w:hAnsi="SimHei" w:eastAsia="黑体"/>
          <w:sz w:val="24"/>
        </w:rPr>
        <w:t>（</w:t>
      </w:r>
      <w:r>
        <w:rPr>
          <w:rFonts w:ascii="SimHei" w:hAnsi="SimHei" w:eastAsia="黑体"/>
          <w:sz w:val="24"/>
        </w:rPr>
        <w:t>8</w:t>
      </w:r>
      <w:r>
        <w:rPr>
          <w:rFonts w:ascii="SimHei" w:hAnsi="SimHei" w:eastAsia="黑体"/>
          <w:sz w:val="24"/>
        </w:rPr>
        <w:t>）如与公司签定有其它合同（协议），按其它合同（协议）的约定办理。</w:t>
      </w:r>
    </w:p>
    <w:p>
      <w:pPr>
        <w:pStyle w:val="Normal"/>
        <w:spacing w:lineRule="exact" w:line="500"/>
        <w:rPr/>
      </w:pPr>
      <w:r>
        <w:rPr>
          <w:rFonts w:ascii="SimHei" w:hAnsi="SimHei" w:eastAsia="黑体"/>
          <w:sz w:val="24"/>
        </w:rPr>
        <w:t xml:space="preserve">7.4.2 </w:t>
      </w:r>
      <w:r>
        <w:rPr>
          <w:rFonts w:ascii="SimHei" w:hAnsi="SimHei" w:eastAsia="黑体"/>
          <w:sz w:val="24"/>
        </w:rPr>
        <w:t>第一负责人或重要岗位管理人员离职，公司将安排离职审计。</w:t>
      </w:r>
    </w:p>
    <w:p>
      <w:pPr>
        <w:pStyle w:val="Normal"/>
        <w:spacing w:lineRule="exact" w:line="500"/>
        <w:rPr>
          <w:sz w:val="24"/>
        </w:rPr>
      </w:pPr>
      <w:r>
        <w:rPr>
          <w:rFonts w:ascii="SimHei" w:hAnsi="SimHei" w:eastAsia="黑体"/>
          <w:sz w:val="24"/>
        </w:rPr>
      </w:r>
    </w:p>
    <w:p>
      <w:pPr>
        <w:pStyle w:val="Heading2"/>
        <w:rPr/>
      </w:pPr>
      <w:bookmarkStart w:id="55" w:name="__RefHeading___Toc427859458"/>
      <w:bookmarkEnd w:id="55"/>
      <w:r>
        <w:rPr>
          <w:rFonts w:ascii="SimHei" w:hAnsi="SimHei" w:eastAsia="黑体"/>
        </w:rPr>
        <w:t xml:space="preserve">7.5 </w:t>
      </w:r>
      <w:r>
        <w:rPr>
          <w:rFonts w:ascii="SimHei" w:hAnsi="SimHei" w:eastAsia="黑体"/>
        </w:rPr>
        <w:t>离职面谈</w:t>
      </w:r>
    </w:p>
    <w:p>
      <w:pPr>
        <w:pStyle w:val="Normal"/>
        <w:spacing w:lineRule="exact" w:line="500"/>
        <w:ind w:firstLine="600"/>
        <w:rPr>
          <w:sz w:val="24"/>
        </w:rPr>
      </w:pPr>
      <w:r>
        <w:rPr>
          <w:rFonts w:ascii="SimHei" w:hAnsi="SimHei" w:eastAsia="黑体"/>
          <w:sz w:val="24"/>
        </w:rPr>
        <w:t>离职前，公司可根据职员意愿安排总部人力资源部或职员上司进行离职面谈，听取职员意见。</w:t>
      </w:r>
    </w:p>
    <w:p>
      <w:pPr>
        <w:pStyle w:val="Normal"/>
        <w:spacing w:lineRule="exact" w:line="500"/>
        <w:rPr>
          <w:sz w:val="24"/>
        </w:rPr>
      </w:pPr>
      <w:r>
        <w:rPr>
          <w:rFonts w:ascii="SimHei" w:hAnsi="SimHei" w:eastAsia="黑体"/>
          <w:sz w:val="24"/>
        </w:rPr>
      </w:r>
    </w:p>
    <w:p>
      <w:pPr>
        <w:pStyle w:val="Heading2"/>
        <w:rPr/>
      </w:pPr>
      <w:bookmarkStart w:id="56" w:name="__RefHeading___Toc427859459"/>
      <w:bookmarkEnd w:id="56"/>
      <w:r>
        <w:rPr>
          <w:rFonts w:ascii="SimHei" w:hAnsi="SimHei" w:eastAsia="黑体"/>
        </w:rPr>
        <w:t xml:space="preserve">7.6 </w:t>
      </w:r>
      <w:r>
        <w:rPr>
          <w:rFonts w:ascii="SimHei" w:hAnsi="SimHei" w:eastAsia="黑体"/>
        </w:rPr>
        <w:t>纠纷处理</w:t>
      </w:r>
    </w:p>
    <w:p>
      <w:pPr>
        <w:pStyle w:val="Normal"/>
        <w:spacing w:lineRule="exact" w:line="500"/>
        <w:ind w:firstLine="720"/>
        <w:rPr>
          <w:sz w:val="24"/>
        </w:rPr>
      </w:pPr>
      <w:r>
        <w:rPr>
          <w:rFonts w:ascii="SimHei" w:hAnsi="SimHei" w:eastAsia="黑体"/>
          <w:sz w:val="24"/>
        </w:rPr>
        <w:t>合同过程中的任何劳动纠纷，职员可通过申诉程序向上级负责人或责任机构（职工委员会、人力资源部、劳动仲裁调解委员会）申诉，公司不能解决时可向当地劳动局劳动仲裁机构申请仲裁。</w:t>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Heading1"/>
        <w:rPr/>
      </w:pPr>
      <w:bookmarkStart w:id="57" w:name="__RefHeading___Toc427859460"/>
      <w:bookmarkEnd w:id="57"/>
      <w:r>
        <w:rPr>
          <w:rFonts w:ascii="SimHei" w:hAnsi="SimHei" w:eastAsia="黑体"/>
        </w:rPr>
        <w:t>第八章</w:t>
      </w:r>
      <w:r>
        <w:rPr>
          <w:rFonts w:eastAsia="黑体" w:ascii="SimHei" w:hAnsi="SimHei"/>
        </w:rPr>
        <w:t xml:space="preserve"> </w:t>
      </w:r>
      <w:r>
        <w:rPr>
          <w:rFonts w:ascii="SimHei" w:hAnsi="SimHei" w:eastAsia="黑体"/>
        </w:rPr>
        <w:t>员工关系与沟通</w:t>
      </w:r>
    </w:p>
    <w:p>
      <w:pPr>
        <w:pStyle w:val="Normal"/>
        <w:spacing w:lineRule="exact" w:line="500"/>
        <w:ind w:firstLine="480"/>
        <w:rPr>
          <w:sz w:val="24"/>
        </w:rPr>
      </w:pPr>
      <w:r>
        <w:rPr>
          <w:rFonts w:ascii="SimHei" w:hAnsi="SimHei" w:eastAsia="黑体"/>
          <w:sz w:val="24"/>
        </w:rPr>
        <w:t>公司一贯提倡良好、融洽、简单的人际关系；同时提倡个人与公司及个人与个人之间的沟通。公司提倡坦诚的沟通与合作，并相信职员在共同工作中会建立真挚的友谊。</w:t>
      </w:r>
    </w:p>
    <w:p>
      <w:pPr>
        <w:pStyle w:val="Heading2"/>
        <w:rPr/>
      </w:pPr>
      <w:bookmarkStart w:id="58" w:name="__RefHeading___Toc427859461"/>
      <w:bookmarkEnd w:id="58"/>
      <w:r>
        <w:rPr>
          <w:rFonts w:ascii="SimHei" w:hAnsi="SimHei" w:eastAsia="黑体"/>
        </w:rPr>
        <w:t>8.1</w:t>
      </w:r>
      <w:r>
        <w:rPr>
          <w:rFonts w:ascii="SimHei" w:hAnsi="SimHei" w:eastAsia="黑体"/>
        </w:rPr>
        <w:t>沟通渠道</w:t>
      </w:r>
    </w:p>
    <w:p>
      <w:pPr>
        <w:pStyle w:val="Normal"/>
        <w:spacing w:lineRule="exact" w:line="500"/>
        <w:ind w:firstLine="480"/>
        <w:rPr>
          <w:sz w:val="24"/>
        </w:rPr>
      </w:pPr>
      <w:r>
        <w:rPr>
          <w:rFonts w:ascii="SimHei" w:hAnsi="SimHei" w:eastAsia="黑体"/>
          <w:sz w:val="24"/>
        </w:rPr>
        <w:t>人力资源部门及职工委员会作为员工关系与沟通的主要责任机构，将为职员在工作满意度提升、劳动保障、职业心理辅导与申诉处理等方面提供帮助。同时各级管理人员同样负有相关责任义务。</w:t>
      </w:r>
    </w:p>
    <w:p>
      <w:pPr>
        <w:pStyle w:val="Normal"/>
        <w:spacing w:lineRule="exact" w:line="500"/>
        <w:ind w:firstLine="480"/>
        <w:rPr/>
      </w:pPr>
      <w:r>
        <w:rPr>
          <w:rFonts w:ascii="SimHei" w:hAnsi="SimHei" w:eastAsia="黑体"/>
          <w:sz w:val="24"/>
        </w:rPr>
        <w:t>具体沟通渠道包括：上级经理、高层管理人员（例如总经理接待日）、员工关系专员、职工委员会、工作面谈（新职员转正、职员调薪或岗位变动、进行工作评估、职业发展规划以及职员提出辞职等）、工作讨论和会议、</w:t>
      </w:r>
      <w:r>
        <w:rPr>
          <w:rFonts w:ascii="SimHei" w:hAnsi="SimHei" w:eastAsia="黑体"/>
          <w:sz w:val="24"/>
        </w:rPr>
        <w:t>E-MAIL</w:t>
      </w:r>
      <w:r>
        <w:rPr>
          <w:rFonts w:ascii="SimHei" w:hAnsi="SimHei" w:eastAsia="黑体"/>
          <w:sz w:val="24"/>
        </w:rPr>
        <w:t>给任何人、网上论坛发表意见和建议、职员申诉程序、员工满意度调查、公司的信息发布渠道（网站、内刊、公告板、宣传栏等）。</w:t>
      </w:r>
    </w:p>
    <w:p>
      <w:pPr>
        <w:pStyle w:val="Heading2"/>
        <w:rPr/>
      </w:pPr>
      <w:bookmarkStart w:id="59" w:name="__RefHeading___Toc427859462"/>
      <w:bookmarkEnd w:id="59"/>
      <w:r>
        <w:rPr>
          <w:rFonts w:ascii="SimHei" w:hAnsi="SimHei" w:eastAsia="黑体"/>
        </w:rPr>
        <w:t>8.2</w:t>
      </w:r>
      <w:r>
        <w:rPr>
          <w:rFonts w:ascii="SimHei" w:hAnsi="SimHei" w:eastAsia="黑体"/>
        </w:rPr>
        <w:t>意见调查</w:t>
      </w:r>
    </w:p>
    <w:p>
      <w:pPr>
        <w:pStyle w:val="Style16"/>
        <w:spacing w:lineRule="auto" w:line="360" w:before="0" w:after="0"/>
        <w:ind w:firstLine="480"/>
        <w:rPr>
          <w:rFonts w:ascii="Times New Roman" w:hAnsi="Times New Roman" w:cs="Times New Roman"/>
          <w:kern w:val="2"/>
        </w:rPr>
      </w:pPr>
      <w:r>
        <w:rPr>
          <w:rFonts w:ascii="SimHei" w:hAnsi="SimHei" w:cs="Times New Roman" w:eastAsia="黑体"/>
          <w:kern w:val="2"/>
        </w:rPr>
        <w:t>公司将通过定期的和不定期的书面或面谈式意见调查向员工征询对公司业务、管理等方面的意见，员工可完全凭自己的真实想法反馈而无须有任何顾虑。这些意见与建议将成为公司在经营管理决策过程中的考虑因素。公司虽不承诺员工的每一项想法均能实现，但公司会给员工以相应的答复。</w:t>
      </w:r>
      <w:r>
        <w:rPr>
          <w:rFonts w:ascii="SimHei" w:hAnsi="SimHei" w:cs="Times New Roman" w:eastAsia="黑体"/>
          <w:kern w:val="2"/>
        </w:rPr>
        <w:t>（提示：可建立系统的合理化建议制度）</w:t>
      </w:r>
    </w:p>
    <w:p>
      <w:pPr>
        <w:pStyle w:val="Heading2"/>
        <w:rPr/>
      </w:pPr>
      <w:bookmarkStart w:id="60" w:name="__RefHeading___Toc427859463"/>
      <w:bookmarkEnd w:id="60"/>
      <w:r>
        <w:rPr>
          <w:rFonts w:ascii="SimHei" w:hAnsi="SimHei" w:eastAsia="黑体"/>
        </w:rPr>
        <w:t xml:space="preserve">8.3 </w:t>
      </w:r>
      <w:r>
        <w:rPr>
          <w:rFonts w:ascii="SimHei" w:hAnsi="SimHei" w:eastAsia="黑体"/>
        </w:rPr>
        <w:t>信息沟通</w:t>
      </w:r>
    </w:p>
    <w:p>
      <w:pPr>
        <w:pStyle w:val="Normal"/>
        <w:spacing w:lineRule="exact" w:line="500"/>
        <w:ind w:firstLine="600"/>
        <w:rPr>
          <w:sz w:val="24"/>
        </w:rPr>
      </w:pPr>
      <w:r>
        <w:rPr>
          <w:rFonts w:ascii="SimHei" w:hAnsi="SimHei" w:eastAsia="黑体"/>
          <w:sz w:val="24"/>
        </w:rPr>
        <w:t>为达到充分沟通的目的，公司定期和不定期地采用公司内部网、公告板、会议等渠道向员工通报公司近期的经营管理信息，所有这些信息不仅有助于员工对公司的进一步了解，同时对这些信息的分析与判断也是帮助员工个人成长非常好的手段。</w:t>
      </w:r>
    </w:p>
    <w:p>
      <w:pPr>
        <w:pStyle w:val="Heading2"/>
        <w:rPr/>
      </w:pPr>
      <w:bookmarkStart w:id="61" w:name="__RefHeading___Toc427859464"/>
      <w:bookmarkEnd w:id="61"/>
      <w:r>
        <w:rPr>
          <w:rFonts w:ascii="SimHei" w:hAnsi="SimHei" w:eastAsia="黑体"/>
        </w:rPr>
        <w:t xml:space="preserve">8.4 </w:t>
      </w:r>
      <w:r>
        <w:rPr>
          <w:rFonts w:ascii="SimHei" w:hAnsi="SimHei" w:eastAsia="黑体"/>
        </w:rPr>
        <w:t>申诉程序</w:t>
      </w:r>
    </w:p>
    <w:p>
      <w:pPr>
        <w:pStyle w:val="Normal"/>
        <w:spacing w:lineRule="exact" w:line="500"/>
        <w:ind w:firstLine="600"/>
        <w:rPr>
          <w:sz w:val="24"/>
        </w:rPr>
      </w:pPr>
      <w:r>
        <w:rPr>
          <w:rFonts w:ascii="SimHei" w:hAnsi="SimHei" w:eastAsia="黑体"/>
          <w:sz w:val="24"/>
        </w:rPr>
        <w:t>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p>
    <w:p>
      <w:pPr>
        <w:pStyle w:val="Normal"/>
        <w:spacing w:lineRule="exact" w:line="500"/>
        <w:ind w:firstLine="600"/>
        <w:rPr>
          <w:sz w:val="24"/>
        </w:rPr>
      </w:pPr>
      <w:r>
        <w:rPr>
          <w:rFonts w:ascii="SimHei" w:hAnsi="SimHei" w:eastAsia="黑体"/>
          <w:sz w:val="24"/>
        </w:rPr>
        <w:t>原则上，员工的各层上级管理人员、人力资源部、工会（职工委员会）甚至公司总经理均是申诉对象。公司鼓励员工向直接上级反映情况；当员工认为不方便通过直接上级申诉时，可向人力资源部、工会（职工委员会）进行申诉。从解决问题的角度考虑，公司不提倡任何事情都直接向公司总经理申诉，但当员工坚持认为有必要直接向公司总经理申诉时，仍可以通过电子邮件、公司网页总经理信箱以及其它方式直接向公司总经理申诉。</w:t>
      </w:r>
    </w:p>
    <w:p>
      <w:pPr>
        <w:pStyle w:val="Normal"/>
        <w:spacing w:lineRule="exact" w:line="500"/>
        <w:ind w:firstLine="600"/>
        <w:rPr>
          <w:sz w:val="24"/>
        </w:rPr>
      </w:pPr>
      <w:r>
        <w:rPr>
          <w:rFonts w:ascii="SimHei" w:hAnsi="SimHei" w:eastAsia="黑体"/>
          <w:sz w:val="24"/>
        </w:rPr>
        <w:t>各级责任人或责任部门在接到员工申诉后将在申诉事件涉及的相关当事人中进行调查，并根据调查结果尽快做出处理决定。处理决定将通过书面或电子邮件的形式通报给申诉者、人力资源部，员工如果对处理决定不满意仍可以继续向更高一级负责人、人力资源部、工会（职工委员会）申诉。</w:t>
      </w:r>
    </w:p>
    <w:p>
      <w:pPr>
        <w:pStyle w:val="Normal"/>
        <w:spacing w:lineRule="exact" w:line="500"/>
        <w:ind w:firstLine="600"/>
        <w:rPr/>
      </w:pPr>
      <w:r>
        <w:rPr>
          <w:rFonts w:ascii="SimHei" w:hAnsi="SimHei" w:eastAsia="黑体"/>
          <w:sz w:val="24"/>
        </w:rPr>
        <w:t>除以上机构外，由工会（职工委员会）与人力资源部、法律事务成员组成的公司劳动仲裁调解委员会，负责受理员工在劳动纠纷方面的申诉。</w:t>
      </w:r>
    </w:p>
    <w:p>
      <w:pPr>
        <w:pStyle w:val="Normal"/>
        <w:spacing w:lineRule="exact" w:line="500"/>
        <w:rPr>
          <w:sz w:val="24"/>
        </w:rPr>
      </w:pPr>
      <w:r>
        <w:rPr>
          <w:rFonts w:ascii="SimHei" w:hAnsi="SimHei" w:eastAsia="黑体"/>
          <w:sz w:val="24"/>
        </w:rPr>
      </w:r>
    </w:p>
    <w:p>
      <w:pPr>
        <w:pStyle w:val="Normal"/>
        <w:spacing w:lineRule="exact" w:line="500"/>
        <w:rPr>
          <w:sz w:val="24"/>
        </w:rPr>
      </w:pPr>
      <w:r>
        <w:rPr>
          <w:rFonts w:ascii="SimHei" w:hAnsi="SimHei" w:eastAsia="黑体"/>
          <w:sz w:val="24"/>
        </w:rPr>
      </w:r>
    </w:p>
    <w:p>
      <w:pPr>
        <w:pStyle w:val="Heading1"/>
        <w:rPr/>
      </w:pPr>
      <w:bookmarkStart w:id="62" w:name="__RefHeading___Toc427859465"/>
      <w:bookmarkEnd w:id="62"/>
      <w:r>
        <w:rPr>
          <w:rFonts w:ascii="SimHei" w:hAnsi="SimHei" w:eastAsia="黑体"/>
        </w:rPr>
        <w:t>第九章</w:t>
      </w:r>
      <w:r>
        <w:rPr>
          <w:rFonts w:eastAsia="黑体" w:ascii="SimHei" w:hAnsi="SimHei"/>
        </w:rPr>
        <w:t xml:space="preserve"> </w:t>
      </w:r>
      <w:r>
        <w:rPr>
          <w:rFonts w:ascii="SimHei" w:hAnsi="SimHei" w:eastAsia="黑体"/>
        </w:rPr>
        <w:t>职工委员会</w:t>
      </w:r>
    </w:p>
    <w:p>
      <w:pPr>
        <w:pStyle w:val="Normal"/>
        <w:spacing w:lineRule="exact" w:line="500"/>
        <w:ind w:firstLine="517"/>
        <w:rPr>
          <w:b/>
          <w:b/>
          <w:szCs w:val="21"/>
        </w:rPr>
      </w:pPr>
      <w:r>
        <w:rPr>
          <w:rFonts w:ascii="SimHei" w:hAnsi="SimHei" w:eastAsia="黑体"/>
          <w:b/>
          <w:szCs w:val="21"/>
        </w:rPr>
        <w:t>注：该机构根据企业实际情况而设立，类似于国有企业中的工会组织，某集团。以下内容仅供参考。</w:t>
      </w:r>
    </w:p>
    <w:p>
      <w:pPr>
        <w:pStyle w:val="Normal"/>
        <w:spacing w:lineRule="exact" w:line="500"/>
        <w:ind w:firstLine="480"/>
        <w:rPr>
          <w:sz w:val="24"/>
        </w:rPr>
      </w:pPr>
      <w:r>
        <w:rPr>
          <w:rFonts w:ascii="SimHei" w:hAnsi="SimHei" w:eastAsia="黑体"/>
          <w:sz w:val="24"/>
        </w:rPr>
        <w:t>职工委员会是代表全体职员的利益并为之服务的机构。职工委员会的委员分布在公司各部门和各分公司，由职员投票选举产生。</w:t>
      </w:r>
    </w:p>
    <w:p>
      <w:pPr>
        <w:pStyle w:val="Normal"/>
        <w:spacing w:lineRule="exact" w:line="500"/>
        <w:ind w:firstLine="480"/>
        <w:rPr>
          <w:sz w:val="24"/>
        </w:rPr>
      </w:pPr>
      <w:r>
        <w:rPr>
          <w:rFonts w:ascii="SimHei" w:hAnsi="SimHei" w:eastAsia="黑体"/>
          <w:sz w:val="24"/>
        </w:rPr>
        <w:t>职工委员会由主席一名，执行委员、委员若干名组成，均为兼职；设专员和秘书各一名，负责日常工作。专员办公室设在公司总部。</w:t>
      </w:r>
    </w:p>
    <w:p>
      <w:pPr>
        <w:pStyle w:val="Normal"/>
        <w:spacing w:lineRule="exact" w:line="500"/>
        <w:ind w:firstLine="480"/>
        <w:rPr>
          <w:sz w:val="24"/>
        </w:rPr>
      </w:pPr>
      <w:r>
        <w:rPr>
          <w:rFonts w:ascii="SimHei" w:hAnsi="SimHei" w:eastAsia="黑体"/>
          <w:sz w:val="24"/>
        </w:rPr>
        <w:t>职工委员会的基本职能是：参与、沟通、监督。包括：</w:t>
      </w:r>
    </w:p>
    <w:p>
      <w:pPr>
        <w:pStyle w:val="Normal"/>
        <w:spacing w:lineRule="exact" w:line="500"/>
        <w:ind w:firstLine="480"/>
        <w:rPr>
          <w:sz w:val="24"/>
        </w:rPr>
      </w:pPr>
      <w:r>
        <w:rPr>
          <w:rFonts w:ascii="SimHei" w:hAnsi="SimHei" w:eastAsia="黑体"/>
          <w:sz w:val="24"/>
        </w:rPr>
        <w:t>（</w:t>
      </w:r>
      <w:r>
        <w:rPr>
          <w:rFonts w:ascii="SimHei" w:hAnsi="SimHei" w:eastAsia="黑体"/>
          <w:sz w:val="24"/>
        </w:rPr>
        <w:t>1</w:t>
      </w:r>
      <w:r>
        <w:rPr>
          <w:rFonts w:ascii="SimHei" w:hAnsi="SimHei" w:eastAsia="黑体"/>
          <w:sz w:val="24"/>
        </w:rPr>
        <w:t>）参与决定职员福利基金、住房公积金等的使用；</w:t>
      </w:r>
    </w:p>
    <w:p>
      <w:pPr>
        <w:pStyle w:val="Normal"/>
        <w:spacing w:lineRule="exact" w:line="500"/>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）参与决定企业职员集体股以及职员集资成立的专项基金的运作和分配方案；</w:t>
      </w:r>
    </w:p>
    <w:p>
      <w:pPr>
        <w:pStyle w:val="Normal"/>
        <w:spacing w:lineRule="exact" w:line="500"/>
        <w:ind w:firstLine="480"/>
        <w:rPr>
          <w:sz w:val="24"/>
        </w:rPr>
      </w:pPr>
      <w:r>
        <w:rPr>
          <w:rFonts w:ascii="SimHei" w:hAnsi="SimHei" w:eastAsia="黑体"/>
          <w:sz w:val="24"/>
        </w:rPr>
        <w:t>（</w:t>
      </w:r>
      <w:r>
        <w:rPr>
          <w:rFonts w:ascii="SimHei" w:hAnsi="SimHei" w:eastAsia="黑体"/>
          <w:sz w:val="24"/>
        </w:rPr>
        <w:t>3</w:t>
      </w:r>
      <w:r>
        <w:rPr>
          <w:rFonts w:ascii="SimHei" w:hAnsi="SimHei" w:eastAsia="黑体"/>
          <w:sz w:val="24"/>
        </w:rPr>
        <w:t>）参与公司住房制度改革、职员文化建设及培训方案的制订；</w:t>
      </w:r>
    </w:p>
    <w:p>
      <w:pPr>
        <w:pStyle w:val="Normal"/>
        <w:spacing w:lineRule="exact" w:line="500"/>
        <w:ind w:firstLine="480"/>
        <w:rPr>
          <w:sz w:val="24"/>
        </w:rPr>
      </w:pPr>
      <w:r>
        <w:rPr>
          <w:rFonts w:ascii="SimHei" w:hAnsi="SimHei" w:eastAsia="黑体"/>
          <w:sz w:val="24"/>
        </w:rPr>
        <w:t>（</w:t>
      </w:r>
      <w:r>
        <w:rPr>
          <w:rFonts w:ascii="SimHei" w:hAnsi="SimHei" w:eastAsia="黑体"/>
          <w:sz w:val="24"/>
        </w:rPr>
        <w:t>4</w:t>
      </w:r>
      <w:r>
        <w:rPr>
          <w:rFonts w:ascii="SimHei" w:hAnsi="SimHei" w:eastAsia="黑体"/>
          <w:sz w:val="24"/>
        </w:rPr>
        <w:t>）参与职员薪金、奖金分配方案、劳动用工制度、职员持股计划及劳保福利待遇的制定并监督实施过程；</w:t>
      </w:r>
    </w:p>
    <w:p>
      <w:pPr>
        <w:pStyle w:val="Normal"/>
        <w:spacing w:lineRule="exact" w:line="500"/>
        <w:ind w:firstLine="480"/>
        <w:rPr>
          <w:sz w:val="24"/>
        </w:rPr>
      </w:pPr>
      <w:r>
        <w:rPr>
          <w:rFonts w:ascii="SimHei" w:hAnsi="SimHei" w:eastAsia="黑体"/>
          <w:sz w:val="24"/>
        </w:rPr>
        <w:t>（</w:t>
      </w:r>
      <w:r>
        <w:rPr>
          <w:rFonts w:ascii="SimHei" w:hAnsi="SimHei" w:eastAsia="黑体"/>
          <w:sz w:val="24"/>
        </w:rPr>
        <w:t>5</w:t>
      </w:r>
      <w:r>
        <w:rPr>
          <w:rFonts w:ascii="SimHei" w:hAnsi="SimHei" w:eastAsia="黑体"/>
          <w:sz w:val="24"/>
        </w:rPr>
        <w:t>）维护职员的合法权益、监督职员医疗保险、待业保险以及养老保险方案的实施；</w:t>
      </w:r>
    </w:p>
    <w:p>
      <w:pPr>
        <w:pStyle w:val="Normal"/>
        <w:spacing w:lineRule="exact" w:line="500"/>
        <w:ind w:firstLine="480"/>
        <w:rPr>
          <w:sz w:val="24"/>
        </w:rPr>
      </w:pPr>
      <w:r>
        <w:rPr>
          <w:rFonts w:ascii="SimHei" w:hAnsi="SimHei" w:eastAsia="黑体"/>
          <w:sz w:val="24"/>
        </w:rPr>
        <w:t>（</w:t>
      </w:r>
      <w:r>
        <w:rPr>
          <w:rFonts w:ascii="SimHei" w:hAnsi="SimHei" w:eastAsia="黑体"/>
          <w:sz w:val="24"/>
        </w:rPr>
        <w:t>6</w:t>
      </w:r>
      <w:r>
        <w:rPr>
          <w:rFonts w:ascii="SimHei" w:hAnsi="SimHei" w:eastAsia="黑体"/>
          <w:sz w:val="24"/>
        </w:rPr>
        <w:t>）充分反映职员意见，接受职员为维护自身利益而提出的投诉，并与管理层交涉；</w:t>
      </w:r>
    </w:p>
    <w:p>
      <w:pPr>
        <w:pStyle w:val="Normal"/>
        <w:spacing w:lineRule="exact" w:line="500"/>
        <w:ind w:firstLine="480"/>
        <w:rPr>
          <w:sz w:val="24"/>
        </w:rPr>
      </w:pPr>
      <w:r>
        <w:rPr>
          <w:rFonts w:ascii="SimHei" w:hAnsi="SimHei" w:eastAsia="黑体"/>
          <w:sz w:val="24"/>
        </w:rPr>
        <w:t>（</w:t>
      </w:r>
      <w:r>
        <w:rPr>
          <w:rFonts w:ascii="SimHei" w:hAnsi="SimHei" w:eastAsia="黑体"/>
          <w:sz w:val="24"/>
        </w:rPr>
        <w:t>7</w:t>
      </w:r>
      <w:r>
        <w:rPr>
          <w:rFonts w:ascii="SimHei" w:hAnsi="SimHei" w:eastAsia="黑体"/>
          <w:sz w:val="24"/>
        </w:rPr>
        <w:t>）对侵犯公司利益和职员合法权益的管理人员提出弹劾；</w:t>
      </w:r>
    </w:p>
    <w:p>
      <w:pPr>
        <w:pStyle w:val="Normal"/>
        <w:spacing w:lineRule="exact" w:line="500"/>
        <w:ind w:firstLine="480"/>
        <w:rPr>
          <w:sz w:val="24"/>
        </w:rPr>
      </w:pPr>
      <w:r>
        <w:rPr>
          <w:rFonts w:ascii="SimHei" w:hAnsi="SimHei" w:eastAsia="黑体"/>
          <w:sz w:val="24"/>
        </w:rPr>
        <w:t>（</w:t>
      </w:r>
      <w:r>
        <w:rPr>
          <w:rFonts w:ascii="SimHei" w:hAnsi="SimHei" w:eastAsia="黑体"/>
          <w:sz w:val="24"/>
        </w:rPr>
        <w:t>8</w:t>
      </w:r>
      <w:r>
        <w:rPr>
          <w:rFonts w:ascii="SimHei" w:hAnsi="SimHei" w:eastAsia="黑体"/>
          <w:sz w:val="24"/>
        </w:rPr>
        <w:t>某集团内部的文化、娱乐、体育活动。</w:t>
      </w:r>
    </w:p>
    <w:p>
      <w:pPr>
        <w:pStyle w:val="Normal"/>
        <w:spacing w:lineRule="exact" w:line="500"/>
        <w:ind w:firstLine="480"/>
        <w:rPr>
          <w:sz w:val="24"/>
        </w:rPr>
      </w:pPr>
      <w:r>
        <w:rPr>
          <w:rFonts w:ascii="SimHei" w:hAnsi="SimHei" w:eastAsia="黑体"/>
          <w:sz w:val="24"/>
        </w:rPr>
        <w:t>（</w:t>
      </w:r>
      <w:r>
        <w:rPr>
          <w:rFonts w:ascii="SimHei" w:hAnsi="SimHei" w:eastAsia="黑体"/>
          <w:sz w:val="24"/>
        </w:rPr>
        <w:t>9</w:t>
      </w:r>
      <w:r>
        <w:rPr>
          <w:rFonts w:ascii="SimHei" w:hAnsi="SimHei" w:eastAsia="黑体"/>
          <w:sz w:val="24"/>
        </w:rPr>
        <w:t>）管理员工自发成立的各类组织（包括公益组织）。</w:t>
      </w:r>
    </w:p>
    <w:p>
      <w:pPr>
        <w:pStyle w:val="Normal"/>
        <w:spacing w:lineRule="exact" w:line="500"/>
        <w:rPr>
          <w:sz w:val="24"/>
        </w:rPr>
      </w:pPr>
      <w:r>
        <w:rPr>
          <w:rFonts w:eastAsia="黑体" w:ascii="SimHei" w:hAnsi="SimHei"/>
          <w:sz w:val="24"/>
        </w:rPr>
        <w:t xml:space="preserve"> </w:t>
      </w:r>
    </w:p>
    <w:p>
      <w:pPr>
        <w:pStyle w:val="Normal"/>
        <w:spacing w:lineRule="exact" w:line="500"/>
        <w:rPr>
          <w:sz w:val="24"/>
        </w:rPr>
      </w:pPr>
      <w:r>
        <w:rPr>
          <w:rFonts w:ascii="SimHei" w:hAnsi="SimHei" w:eastAsia="黑体"/>
          <w:sz w:val="24"/>
        </w:rPr>
      </w:r>
    </w:p>
    <w:p>
      <w:pPr>
        <w:pStyle w:val="Heading1"/>
        <w:rPr/>
      </w:pPr>
      <w:bookmarkStart w:id="63" w:name="__RefHeading___Toc427859466"/>
      <w:bookmarkEnd w:id="63"/>
      <w:r>
        <w:rPr>
          <w:rFonts w:ascii="SimHei" w:hAnsi="SimHei" w:eastAsia="黑体"/>
        </w:rPr>
        <w:t>第十章</w:t>
      </w:r>
      <w:r>
        <w:rPr>
          <w:rFonts w:eastAsia="黑体" w:ascii="SimHei" w:hAnsi="SimHei"/>
        </w:rPr>
        <w:t xml:space="preserve"> </w:t>
      </w:r>
      <w:r>
        <w:rPr>
          <w:rFonts w:ascii="SimHei" w:hAnsi="SimHei" w:eastAsia="黑体"/>
        </w:rPr>
        <w:t>其它</w:t>
      </w:r>
    </w:p>
    <w:p>
      <w:pPr>
        <w:pStyle w:val="Heading2"/>
        <w:rPr/>
      </w:pPr>
      <w:bookmarkStart w:id="64" w:name="__RefHeading___Toc427859467"/>
      <w:bookmarkEnd w:id="64"/>
      <w:r>
        <w:rPr>
          <w:rFonts w:ascii="SimHei" w:hAnsi="SimHei" w:eastAsia="黑体"/>
        </w:rPr>
        <w:t xml:space="preserve">10.1 </w:t>
      </w:r>
      <w:r>
        <w:rPr>
          <w:rFonts w:ascii="SimHei" w:hAnsi="SimHei" w:eastAsia="黑体"/>
        </w:rPr>
        <w:t>职员劳动安全</w:t>
      </w:r>
    </w:p>
    <w:p>
      <w:pPr>
        <w:pStyle w:val="Normal"/>
        <w:spacing w:lineRule="exact" w:line="400"/>
        <w:rPr>
          <w:b/>
          <w:b/>
          <w:szCs w:val="21"/>
        </w:rPr>
      </w:pPr>
      <w:r>
        <w:rPr>
          <w:rFonts w:ascii="SimHei" w:hAnsi="SimHei" w:eastAsia="黑体"/>
          <w:b/>
          <w:szCs w:val="21"/>
        </w:rPr>
        <w:t>注：部分企业应该有配套的安全管理制度，例如生产安全、施工安全等。</w:t>
      </w:r>
    </w:p>
    <w:p>
      <w:pPr>
        <w:pStyle w:val="Normal"/>
        <w:numPr>
          <w:ilvl w:val="2"/>
          <w:numId w:val="6"/>
        </w:numPr>
        <w:spacing w:lineRule="exact" w:line="500"/>
        <w:rPr>
          <w:sz w:val="24"/>
        </w:rPr>
      </w:pPr>
      <w:r>
        <w:rPr>
          <w:rFonts w:ascii="SimHei" w:hAnsi="SimHei" w:eastAsia="黑体"/>
          <w:sz w:val="24"/>
        </w:rPr>
        <w:t>公司遵守有关法律法规，为员工提供安全的工作环境。</w:t>
      </w:r>
    </w:p>
    <w:p>
      <w:pPr>
        <w:pStyle w:val="Normal"/>
        <w:numPr>
          <w:ilvl w:val="2"/>
          <w:numId w:val="6"/>
        </w:numPr>
        <w:spacing w:lineRule="exact" w:line="500"/>
        <w:rPr>
          <w:sz w:val="24"/>
        </w:rPr>
      </w:pPr>
      <w:r>
        <w:rPr>
          <w:rFonts w:ascii="SimHei" w:hAnsi="SimHei" w:eastAsia="黑体"/>
          <w:sz w:val="24"/>
        </w:rPr>
        <w:t>员工工作期间应遵守劳动纪律，认真执行安全生产规章制度和操作规程，服从管理，正确佩戴和使用劳动防护用品，阻止他人违章作业。</w:t>
      </w:r>
    </w:p>
    <w:p>
      <w:pPr>
        <w:pStyle w:val="Normal"/>
        <w:numPr>
          <w:ilvl w:val="2"/>
          <w:numId w:val="6"/>
        </w:numPr>
        <w:spacing w:lineRule="exact" w:line="500"/>
        <w:rPr>
          <w:sz w:val="24"/>
        </w:rPr>
      </w:pPr>
      <w:r>
        <w:rPr>
          <w:rFonts w:ascii="SimHei" w:hAnsi="SimHei" w:eastAsia="黑体"/>
          <w:sz w:val="24"/>
        </w:rPr>
        <w:t>员工需要学习必要的急救知识，接受必要的安全生产教育和培训，掌握本职工作所需的安全生产知识，提高安全生产技能，增强事故预防和应急处理能力，对安全生产工作提出合理化建议。</w:t>
      </w:r>
    </w:p>
    <w:p>
      <w:pPr>
        <w:pStyle w:val="Normal"/>
        <w:numPr>
          <w:ilvl w:val="2"/>
          <w:numId w:val="6"/>
        </w:numPr>
        <w:spacing w:lineRule="exact" w:line="500"/>
        <w:rPr>
          <w:sz w:val="24"/>
        </w:rPr>
      </w:pPr>
      <w:r>
        <w:rPr>
          <w:rFonts w:ascii="SimHei" w:hAnsi="SimHei" w:eastAsia="黑体"/>
          <w:sz w:val="24"/>
        </w:rPr>
        <w:t>员工有权拒绝接受上司的违章指挥和强令冒险作业，但应及时向更上一级管理者反映。</w:t>
      </w:r>
    </w:p>
    <w:p>
      <w:pPr>
        <w:pStyle w:val="Normal"/>
        <w:numPr>
          <w:ilvl w:val="2"/>
          <w:numId w:val="6"/>
        </w:numPr>
        <w:spacing w:lineRule="exact" w:line="500"/>
        <w:rPr>
          <w:sz w:val="24"/>
        </w:rPr>
      </w:pPr>
      <w:r>
        <w:rPr>
          <w:rFonts w:ascii="SimHei" w:hAnsi="SimHei" w:eastAsia="黑体"/>
          <w:sz w:val="24"/>
        </w:rPr>
        <w:t>如发现直接危及人身安全的紧急情况时，员工有权停止工作或者在采取可能的应急措施后撤离工作场所，但需在停止工作或安全撤离后立即向直接上司汇报。</w:t>
      </w:r>
    </w:p>
    <w:p>
      <w:pPr>
        <w:pStyle w:val="Normal"/>
        <w:numPr>
          <w:ilvl w:val="2"/>
          <w:numId w:val="6"/>
        </w:numPr>
        <w:spacing w:lineRule="exact" w:line="500"/>
        <w:rPr/>
      </w:pPr>
      <w:r>
        <w:rPr>
          <w:rFonts w:ascii="SimHei" w:hAnsi="SimHei" w:eastAsia="黑体"/>
          <w:sz w:val="24"/>
        </w:rPr>
        <w:t>公司不主张员工以牺牲个人健康为代价承担超出个人能力之外的工作。</w:t>
      </w:r>
    </w:p>
    <w:p>
      <w:pPr>
        <w:pStyle w:val="Normal"/>
        <w:spacing w:lineRule="exact" w:line="500"/>
        <w:rPr>
          <w:sz w:val="24"/>
        </w:rPr>
      </w:pPr>
      <w:r>
        <w:rPr>
          <w:rFonts w:ascii="SimHei" w:hAnsi="SimHei" w:eastAsia="黑体"/>
          <w:sz w:val="24"/>
        </w:rPr>
      </w:r>
    </w:p>
    <w:p>
      <w:pPr>
        <w:pStyle w:val="Heading2"/>
        <w:rPr/>
      </w:pPr>
      <w:bookmarkStart w:id="65" w:name="__RefHeading___Toc427859468"/>
      <w:bookmarkEnd w:id="65"/>
      <w:r>
        <w:rPr>
          <w:rFonts w:ascii="SimHei" w:hAnsi="SimHei" w:eastAsia="黑体"/>
        </w:rPr>
        <w:t>10.2</w:t>
      </w:r>
      <w:r>
        <w:rPr>
          <w:rFonts w:ascii="SimHei" w:hAnsi="SimHei" w:eastAsia="黑体"/>
        </w:rPr>
        <w:t>安全与防灾措施</w:t>
      </w:r>
    </w:p>
    <w:p>
      <w:pPr>
        <w:pStyle w:val="Normal"/>
        <w:spacing w:lineRule="exact" w:line="400"/>
        <w:ind w:firstLine="360"/>
        <w:rPr>
          <w:sz w:val="24"/>
        </w:rPr>
      </w:pPr>
      <w:r>
        <w:rPr>
          <w:rFonts w:ascii="SimHei" w:hAnsi="SimHei" w:eastAsia="黑体"/>
          <w:sz w:val="24"/>
        </w:rPr>
        <w:t>公司根据当地实际情况及政府有关规定，参照制定应对台风、暴雨、地震、高温、暴风雪等安全措施。（详细内容略，可重点突出公司必须预防或者当地经常出现的天气灾害所需要的安全措施及规定）</w:t>
      </w:r>
    </w:p>
    <w:p>
      <w:pPr>
        <w:pStyle w:val="Normal"/>
        <w:spacing w:lineRule="exact" w:line="500"/>
        <w:ind w:firstLine="465"/>
        <w:rPr>
          <w:sz w:val="24"/>
        </w:rPr>
      </w:pPr>
      <w:r>
        <w:rPr>
          <w:rFonts w:ascii="SimHei" w:hAnsi="SimHei" w:eastAsia="黑体"/>
          <w:sz w:val="24"/>
        </w:rPr>
        <w:t>例如防火：</w:t>
      </w:r>
    </w:p>
    <w:p>
      <w:pPr>
        <w:pStyle w:val="Normal"/>
        <w:numPr>
          <w:ilvl w:val="0"/>
          <w:numId w:val="25"/>
        </w:numPr>
        <w:spacing w:lineRule="exact" w:line="500"/>
        <w:rPr>
          <w:sz w:val="24"/>
        </w:rPr>
      </w:pPr>
      <w:r>
        <w:rPr>
          <w:rFonts w:ascii="SimHei" w:hAnsi="SimHei" w:eastAsia="黑体"/>
          <w:sz w:val="24"/>
        </w:rPr>
        <w:t>公司内严禁吸烟，严禁带入并存放易燃易爆物品。</w:t>
      </w:r>
    </w:p>
    <w:p>
      <w:pPr>
        <w:pStyle w:val="Normal"/>
        <w:numPr>
          <w:ilvl w:val="0"/>
          <w:numId w:val="25"/>
        </w:numPr>
        <w:spacing w:lineRule="exact" w:line="500"/>
        <w:rPr>
          <w:sz w:val="24"/>
        </w:rPr>
      </w:pPr>
      <w:r>
        <w:rPr>
          <w:rFonts w:ascii="SimHei" w:hAnsi="SimHei" w:eastAsia="黑体"/>
          <w:sz w:val="24"/>
        </w:rPr>
        <w:t>公司内的电器和供配电设备，应由有关技术人员安装、维修，其他人员一律不得随意改动。电子设备接入电源板时不得超过电源板和供电线路额定负荷，电源板周围不得有易燃物品。</w:t>
      </w:r>
    </w:p>
    <w:p>
      <w:pPr>
        <w:pStyle w:val="Normal"/>
        <w:spacing w:lineRule="exact" w:line="500"/>
        <w:ind w:start="525" w:hanging="0"/>
        <w:rPr>
          <w:sz w:val="24"/>
        </w:rPr>
      </w:pPr>
      <w:r>
        <w:rPr>
          <w:rFonts w:ascii="SimHei" w:hAnsi="SimHei" w:eastAsia="黑体"/>
          <w:sz w:val="24"/>
        </w:rPr>
      </w:r>
    </w:p>
    <w:p>
      <w:pPr>
        <w:pStyle w:val="Heading2"/>
        <w:rPr/>
      </w:pPr>
      <w:bookmarkStart w:id="66" w:name="__RefHeading___Toc427859469"/>
      <w:r>
        <w:rPr>
          <w:rFonts w:ascii="SimHei" w:hAnsi="SimHei" w:eastAsia="黑体"/>
        </w:rPr>
        <w:t xml:space="preserve">10.3 </w:t>
      </w:r>
      <w:r>
        <w:rPr>
          <w:rFonts w:ascii="SimHei" w:hAnsi="SimHei" w:eastAsia="黑体"/>
        </w:rPr>
        <w:t>保护知识产权政策</w:t>
      </w:r>
      <w:bookmarkEnd w:id="66"/>
      <w:r>
        <w:rPr>
          <w:rFonts w:eastAsia="黑体" w:ascii="SimHei" w:hAnsi="SimHei"/>
        </w:rPr>
        <w:t xml:space="preserve"> </w:t>
      </w:r>
    </w:p>
    <w:p>
      <w:pPr>
        <w:pStyle w:val="Normal"/>
        <w:spacing w:lineRule="exact" w:line="400"/>
        <w:ind w:firstLine="480"/>
        <w:rPr>
          <w:sz w:val="24"/>
        </w:rPr>
      </w:pPr>
      <w:r>
        <w:rPr>
          <w:rFonts w:ascii="SimHei" w:hAnsi="SimHei" w:eastAsia="黑体"/>
          <w:sz w:val="24"/>
        </w:rPr>
        <w:t>职员必须遵守关于保护知识产权的各项政策及规定。</w:t>
      </w:r>
      <w:r>
        <w:rPr>
          <w:rFonts w:eastAsia="黑体" w:ascii="SimHei" w:hAnsi="SimHei"/>
          <w:sz w:val="24"/>
        </w:rPr>
        <w:t xml:space="preserve"> </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30"/>
        </w:numPr>
        <w:snapToGrid w:val="true"/>
        <w:spacing w:lineRule="auto" w:line="415" w:before="260" w:after="260"/>
        <w:jc w:val="both"/>
        <w:rPr/>
      </w:pPr>
      <w:r>
        <w:rPr>
          <w:rFonts w:eastAsia="黑体" w:ascii="SimHei" w:hAnsi="SimHei"/>
        </w:rPr>
        <w:t xml:space="preserve"> </w:t>
      </w:r>
      <w:bookmarkStart w:id="67" w:name="__RefHeading___Toc427859470"/>
      <w:r>
        <w:rPr>
          <w:rFonts w:ascii="SimHei" w:hAnsi="SimHei" w:eastAsia="黑体"/>
        </w:rPr>
        <w:t>权利保障</w:t>
      </w:r>
      <w:bookmarkEnd w:id="67"/>
    </w:p>
    <w:p>
      <w:pPr>
        <w:pStyle w:val="Normal"/>
        <w:numPr>
          <w:ilvl w:val="2"/>
          <w:numId w:val="30"/>
        </w:numPr>
        <w:spacing w:lineRule="exact" w:line="500"/>
        <w:rPr>
          <w:sz w:val="24"/>
        </w:rPr>
      </w:pPr>
      <w:r>
        <w:rPr>
          <w:rFonts w:ascii="SimHei" w:hAnsi="SimHei" w:eastAsia="黑体"/>
          <w:sz w:val="24"/>
        </w:rPr>
        <w:t>员工享有法律规定和公司制度赋予的权利，公司对这些权利予以尊重和保障。</w:t>
      </w:r>
    </w:p>
    <w:p>
      <w:pPr>
        <w:pStyle w:val="Normal"/>
        <w:numPr>
          <w:ilvl w:val="2"/>
          <w:numId w:val="30"/>
        </w:numPr>
        <w:spacing w:lineRule="exact" w:line="500"/>
        <w:rPr>
          <w:sz w:val="24"/>
        </w:rPr>
      </w:pPr>
      <w:r>
        <w:rPr>
          <w:rFonts w:ascii="SimHei" w:hAnsi="SimHei" w:eastAsia="黑体"/>
          <w:sz w:val="24"/>
        </w:rPr>
        <w:t>对于明显违反《员工手册》的指令，职员有权拒绝执行并有越级上报的责任和权力。</w:t>
      </w:r>
    </w:p>
    <w:p>
      <w:pPr>
        <w:pStyle w:val="Normal"/>
        <w:numPr>
          <w:ilvl w:val="2"/>
          <w:numId w:val="30"/>
        </w:numPr>
        <w:spacing w:lineRule="exact" w:line="500"/>
        <w:rPr>
          <w:sz w:val="24"/>
        </w:rPr>
      </w:pPr>
      <w:r>
        <w:rPr>
          <w:rFonts w:ascii="SimHei" w:hAnsi="SimHei" w:eastAsia="黑体"/>
          <w:sz w:val="24"/>
        </w:rPr>
        <w:t>对违反人事管理制度，使职员自身利益受到侵犯的行为，职员有权向公司职工委员会提出申诉以得到公正待遇。</w:t>
      </w:r>
    </w:p>
    <w:p>
      <w:pPr>
        <w:pStyle w:val="Normal"/>
        <w:spacing w:lineRule="exact" w:line="500"/>
        <w:rPr>
          <w:sz w:val="24"/>
        </w:rPr>
      </w:pPr>
      <w:r>
        <w:rPr>
          <w:rFonts w:ascii="SimHei" w:hAnsi="SimHei" w:eastAsia="黑体"/>
          <w:sz w:val="24"/>
        </w:rPr>
      </w:r>
    </w:p>
    <w:p>
      <w:pPr>
        <w:pStyle w:val="Heading2"/>
        <w:keepNext w:val="true"/>
        <w:keepLines/>
        <w:widowControl w:val="false"/>
        <w:numPr>
          <w:ilvl w:val="1"/>
          <w:numId w:val="30"/>
        </w:numPr>
        <w:snapToGrid w:val="true"/>
        <w:spacing w:lineRule="auto" w:line="415" w:before="260" w:after="260"/>
        <w:jc w:val="both"/>
        <w:rPr/>
      </w:pPr>
      <w:bookmarkStart w:id="68" w:name="__RefHeading___Toc427859471"/>
      <w:bookmarkEnd w:id="68"/>
      <w:r>
        <w:rPr>
          <w:rFonts w:ascii="SimHei" w:hAnsi="SimHei" w:eastAsia="黑体"/>
        </w:rPr>
        <w:t>批准、修改与解释</w:t>
      </w:r>
    </w:p>
    <w:p>
      <w:pPr>
        <w:pStyle w:val="Normal"/>
        <w:numPr>
          <w:ilvl w:val="2"/>
          <w:numId w:val="30"/>
        </w:numPr>
        <w:spacing w:lineRule="exact" w:line="500"/>
        <w:rPr>
          <w:sz w:val="24"/>
        </w:rPr>
      </w:pPr>
      <w:r>
        <w:rPr>
          <w:rFonts w:ascii="SimHei" w:hAnsi="SimHei" w:eastAsia="黑体"/>
          <w:sz w:val="24"/>
        </w:rPr>
        <w:t>本手册内容经职工委员会（工会）讨论通过，并经公司高层办公会议批准实施。</w:t>
      </w:r>
    </w:p>
    <w:p>
      <w:pPr>
        <w:pStyle w:val="Normal"/>
        <w:numPr>
          <w:ilvl w:val="2"/>
          <w:numId w:val="30"/>
        </w:numPr>
        <w:spacing w:lineRule="exact" w:line="500"/>
        <w:rPr>
          <w:sz w:val="24"/>
        </w:rPr>
      </w:pPr>
      <w:r>
        <w:rPr>
          <w:rFonts w:ascii="SimHei" w:hAnsi="SimHei" w:eastAsia="黑体"/>
          <w:sz w:val="24"/>
        </w:rPr>
        <w:t>本手册同时以文本版和电子网络版形式与职员见面，两者具有同等效力。职员可通过个人专用或公司公用电脑查阅公司网页上的《员工手册》相关内容。</w:t>
      </w:r>
    </w:p>
    <w:p>
      <w:pPr>
        <w:pStyle w:val="Normal"/>
        <w:numPr>
          <w:ilvl w:val="2"/>
          <w:numId w:val="30"/>
        </w:numPr>
        <w:spacing w:lineRule="exact" w:line="500"/>
        <w:rPr>
          <w:sz w:val="24"/>
        </w:rPr>
      </w:pPr>
      <w:r>
        <w:rPr>
          <w:rFonts w:ascii="SimHei" w:hAnsi="SimHei" w:eastAsia="黑体"/>
          <w:sz w:val="24"/>
        </w:rPr>
        <w:t>本手册视实施情况，经职工委员会（工会）及公司高层办公会议批准后，可以修改。</w:t>
      </w:r>
    </w:p>
    <w:p>
      <w:pPr>
        <w:pStyle w:val="Normal"/>
        <w:numPr>
          <w:ilvl w:val="2"/>
          <w:numId w:val="30"/>
        </w:numPr>
        <w:spacing w:lineRule="exact" w:line="500"/>
        <w:rPr>
          <w:sz w:val="24"/>
        </w:rPr>
      </w:pPr>
      <w:r>
        <w:rPr>
          <w:rFonts w:ascii="SimHei" w:hAnsi="SimHei" w:eastAsia="黑体"/>
          <w:sz w:val="24"/>
        </w:rPr>
        <w:t>本手册未提及事宜，按公司及当地政府有关政策或者相关法律规定执行。</w:t>
      </w:r>
    </w:p>
    <w:p>
      <w:pPr>
        <w:pStyle w:val="Normal"/>
        <w:numPr>
          <w:ilvl w:val="2"/>
          <w:numId w:val="30"/>
        </w:numPr>
        <w:spacing w:lineRule="exact" w:line="500"/>
        <w:rPr>
          <w:vanish/>
        </w:rPr>
      </w:pPr>
      <w:r>
        <w:rPr>
          <w:rFonts w:ascii="SimHei" w:hAnsi="SimHei" w:eastAsia="黑体"/>
          <w:sz w:val="24"/>
        </w:rPr>
        <w:t>本手册的解释权归公司人力资源部，如有不明事项，请向人力资源部咨询。</w:t>
      </w:r>
      <w:bookmarkStart w:id="69" w:name="_PictureBullets"/>
      <w:bookmarkEnd w:id="69"/>
    </w:p>
    <w:sectPr>
      <w:headerReference w:type="default" r:id="rId3"/>
      <w:headerReference w:type="first" r:id="rId4"/>
      <w:footerReference w:type="default" r:id="rId5"/>
      <w:footerReference w:type="first" r:id="rId6"/>
      <w:type w:val="nextPage"/>
      <w:pgSz w:w="11906" w:h="16838"/>
      <w:pgMar w:left="1701" w:right="1701" w:header="567" w:top="1440" w:footer="992" w:bottom="1048"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Cambria">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 w:name="微软雅黑">
    <w:charset w:val="86"/>
    <w:family w:val="swiss"/>
    <w:pitch w:val="variable"/>
  </w:font>
  <w:font w:name="黑体">
    <w:altName w:val="SimHei"/>
    <w:charset w:val="86"/>
    <w:family w:val="modern"/>
    <w:pitch w:val="default"/>
  </w:font>
  <w:font w:name="楷体_GB2312">
    <w:altName w:val="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color w:val="333333"/>
        <w:u w:val="single"/>
      </w:rPr>
      <w:t xml:space="preserve">                                                                                                                                                                   </w:t>
    </w:r>
  </w:p>
  <w:p>
    <w:pPr>
      <w:pStyle w:val="Footer"/>
      <w:ind w:end="-1" w:hanging="0"/>
      <w:jc w:val="end"/>
      <w:rPr>
        <w:color w:val="333333"/>
        <w:lang w:val="en-US" w:eastAsia="en-US"/>
      </w:rPr>
    </w:pPr>
    <w:r>
      <w:rPr>
        <w:color w:val="333333"/>
        <w:lang w:val="en-US" w:eastAsia="en-US"/>
      </w:rPr>
      <w:drawing>
        <wp:inline distT="0" distB="0" distL="0" distR="0">
          <wp:extent cx="1379855" cy="463550"/>
          <wp:effectExtent l="0" t="0" r="0" b="0"/>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1"/>
                  <a:srcRect l="3825" t="18339" r="3825" b="17708"/>
                  <a:stretch>
                    <a:fillRect/>
                  </a:stretch>
                </pic:blipFill>
                <pic:spPr bwMode="auto">
                  <a:xfrm>
                    <a:off x="0" y="0"/>
                    <a:ext cx="1379855" cy="463550"/>
                  </a:xfrm>
                  <a:prstGeom prst="rect">
                    <a:avLst/>
                  </a:prstGeom>
                </pic:spPr>
              </pic:pic>
            </a:graphicData>
          </a:graphic>
        </wp:inline>
      </w:drawing>
    </w:r>
    <w:r>
      <mc:AlternateContent>
        <mc:Choice Requires="wps">
          <w:drawing>
            <wp:anchor behindDoc="1" distT="0" distB="0" distL="114935" distR="114935" simplePos="0" locked="0" layoutInCell="0" allowOverlap="1" relativeHeight="105">
              <wp:simplePos x="0" y="0"/>
              <wp:positionH relativeFrom="column">
                <wp:posOffset>1184910</wp:posOffset>
              </wp:positionH>
              <wp:positionV relativeFrom="paragraph">
                <wp:posOffset>135890</wp:posOffset>
              </wp:positionV>
              <wp:extent cx="2548255" cy="222885"/>
              <wp:effectExtent l="0" t="0" r="0" b="0"/>
              <wp:wrapNone/>
              <wp:docPr id="11" name="Frame4"/>
              <a:graphic xmlns:a="http://schemas.openxmlformats.org/drawingml/2006/main">
                <a:graphicData uri="http://schemas.microsoft.com/office/word/2010/wordprocessingShape">
                  <wps:wsp>
                    <wps:cNvSpPr txBox="1"/>
                    <wps:spPr>
                      <a:xfrm>
                        <a:off x="0" y="0"/>
                        <a:ext cx="2548255" cy="222885"/>
                      </a:xfrm>
                      <a:prstGeom prst="rect"/>
                      <a:solidFill>
                        <a:srgbClr val="FFFFFF"/>
                      </a:solidFill>
                    </wps:spPr>
                    <wps:txbx>
                      <w:txbxContent>
                        <w:p>
                          <w:pPr>
                            <w:pStyle w:val="Footer"/>
                            <w:ind w:end="90" w:hanging="0"/>
                            <w:jc w:val="center"/>
                            <w:rPr/>
                          </w:pPr>
                          <w:r>
                            <w:rPr>
                              <w:color w:val="333333"/>
                            </w:rPr>
                            <w:t>版权所有：北京未名潮管理顾问有限公司</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00.65pt;height:17.55pt;mso-wrap-distance-left:9.05pt;mso-wrap-distance-right:9.05pt;mso-wrap-distance-top:0pt;mso-wrap-distance-bottom:0pt;margin-top:10.7pt;mso-position-vertical-relative:text;margin-left:93.3pt;mso-position-horizontal-relative:text">
              <v:textbox inset="0.100694444444444in,0.0506944444444444in,0.100694444444444in,0.0506944444444444in">
                <w:txbxContent>
                  <w:p>
                    <w:pPr>
                      <w:pStyle w:val="Footer"/>
                      <w:ind w:end="90" w:hanging="0"/>
                      <w:jc w:val="center"/>
                      <w:rPr/>
                    </w:pPr>
                    <w:r>
                      <w:rPr>
                        <w:color w:val="333333"/>
                      </w:rPr>
                      <w:t>版权所有：北京未名潮管理顾问有限公司</w:t>
                    </w:r>
                  </w:p>
                  <w:p>
                    <w:pPr>
                      <w:pStyle w:val="Normal"/>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pPr>
    <w:r>
      <w:rPr>
        <w:rFonts w:ascii="黑体;SimHei" w:hAnsi="黑体;SimHei" w:cs="宋体;SimSun" w:eastAsia="黑体;SimHei"/>
        <w:bCs/>
        <w:kern w:val="0"/>
      </w:rPr>
      <w:t>人力资源管理实用工具——员工关系管理——制度、规范与流程</w:t>
    </w: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0"/>
        </w:tabs>
        <w:ind w:start="480" w:hanging="480"/>
      </w:pPr>
      <w:rPr/>
    </w:lvl>
    <w:lvl w:ilvl="1">
      <w:start w:val="3"/>
      <w:numFmt w:val="decimal"/>
      <w:lvlText w:val="%1.%2"/>
      <w:lvlJc w:val="start"/>
      <w:pPr>
        <w:tabs>
          <w:tab w:val="num" w:pos="0"/>
        </w:tabs>
        <w:ind w:start="480" w:hanging="48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4"/>
      <w:numFmt w:val="decimal"/>
      <w:lvlText w:val="%1"/>
      <w:lvlJc w:val="start"/>
      <w:pPr>
        <w:tabs>
          <w:tab w:val="num" w:pos="0"/>
        </w:tabs>
        <w:ind w:start="600" w:hanging="600"/>
      </w:pPr>
      <w:rPr>
        <w:sz w:val="24"/>
      </w:rPr>
    </w:lvl>
    <w:lvl w:ilvl="1">
      <w:start w:val="12"/>
      <w:numFmt w:val="decimal"/>
      <w:lvlText w:val="%1.%2"/>
      <w:lvlJc w:val="start"/>
      <w:pPr>
        <w:tabs>
          <w:tab w:val="num" w:pos="0"/>
        </w:tabs>
        <w:ind w:start="600" w:hanging="600"/>
      </w:pPr>
      <w:rPr>
        <w:sz w:val="24"/>
      </w:rPr>
    </w:lvl>
    <w:lvl w:ilvl="2">
      <w:start w:val="2"/>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4">
    <w:lvl w:ilvl="0">
      <w:start w:val="5"/>
      <w:numFmt w:val="decimal"/>
      <w:lvlText w:val="%1"/>
      <w:lvlJc w:val="start"/>
      <w:pPr>
        <w:tabs>
          <w:tab w:val="num" w:pos="0"/>
        </w:tabs>
        <w:ind w:start="450" w:hanging="450"/>
      </w:pPr>
      <w:rPr>
        <w:sz w:val="24"/>
      </w:rPr>
    </w:lvl>
    <w:lvl w:ilvl="1">
      <w:start w:val="2"/>
      <w:numFmt w:val="decimal"/>
      <w:lvlText w:val="%1.%2"/>
      <w:lvlJc w:val="start"/>
      <w:pPr>
        <w:tabs>
          <w:tab w:val="num" w:pos="0"/>
        </w:tabs>
        <w:ind w:start="450" w:hanging="45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5">
    <w:lvl w:ilvl="0">
      <w:start w:val="1"/>
      <w:numFmt w:val="lowerLetter"/>
      <w:lvlText w:val="%1)"/>
      <w:lvlJc w:val="start"/>
      <w:pPr>
        <w:tabs>
          <w:tab w:val="num" w:pos="0"/>
        </w:tabs>
        <w:ind w:start="420" w:hanging="420"/>
      </w:pPr>
      <w:rPr>
        <w:sz w:val="24"/>
      </w:rPr>
    </w:lvl>
  </w:abstractNum>
  <w:abstractNum w:abstractNumId="6">
    <w:lvl w:ilvl="0">
      <w:start w:val="10"/>
      <w:numFmt w:val="decimal"/>
      <w:lvlText w:val="%1"/>
      <w:lvlJc w:val="start"/>
      <w:pPr>
        <w:tabs>
          <w:tab w:val="num" w:pos="0"/>
        </w:tabs>
        <w:ind w:start="600" w:hanging="600"/>
      </w:pPr>
      <w:rPr>
        <w:sz w:val="24"/>
      </w:rPr>
    </w:lvl>
    <w:lvl w:ilvl="1">
      <w:start w:val="1"/>
      <w:numFmt w:val="decimal"/>
      <w:lvlText w:val="%1.%2"/>
      <w:lvlJc w:val="start"/>
      <w:pPr>
        <w:tabs>
          <w:tab w:val="num" w:pos="0"/>
        </w:tabs>
        <w:ind w:start="600" w:hanging="60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7">
    <w:lvl w:ilvl="0">
      <w:start w:val="7"/>
      <w:numFmt w:val="decimal"/>
      <w:lvlText w:val="%1"/>
      <w:lvlJc w:val="start"/>
      <w:pPr>
        <w:tabs>
          <w:tab w:val="num" w:pos="0"/>
        </w:tabs>
        <w:ind w:start="480" w:hanging="480"/>
      </w:pPr>
      <w:rPr/>
    </w:lvl>
    <w:lvl w:ilvl="1">
      <w:start w:val="3"/>
      <w:numFmt w:val="decimal"/>
      <w:lvlText w:val="%1.%2"/>
      <w:lvlJc w:val="start"/>
      <w:pPr>
        <w:tabs>
          <w:tab w:val="num" w:pos="0"/>
        </w:tabs>
        <w:ind w:start="480" w:hanging="48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3"/>
      <w:numFmt w:val="decimal"/>
      <w:lvlText w:val="%1"/>
      <w:lvlJc w:val="start"/>
      <w:pPr>
        <w:tabs>
          <w:tab w:val="num" w:pos="0"/>
        </w:tabs>
        <w:ind w:start="480" w:hanging="480"/>
      </w:pPr>
      <w:rPr>
        <w:sz w:val="24"/>
        <w:rFonts w:ascii="宋体;SimSun" w:hAnsi="宋体;SimSun" w:cs="宋体;SimSun"/>
      </w:rPr>
    </w:lvl>
    <w:lvl w:ilvl="1">
      <w:start w:val="1"/>
      <w:numFmt w:val="decimal"/>
      <w:lvlText w:val="%1.%2"/>
      <w:lvlJc w:val="start"/>
      <w:pPr>
        <w:tabs>
          <w:tab w:val="num" w:pos="0"/>
        </w:tabs>
        <w:ind w:start="480" w:hanging="480"/>
      </w:pPr>
      <w:rPr>
        <w:sz w:val="24"/>
        <w:rFonts w:ascii="宋体;SimSun" w:hAnsi="宋体;SimSun" w:cs="宋体;SimSun"/>
      </w:rPr>
    </w:lvl>
    <w:lvl w:ilvl="2">
      <w:start w:val="1"/>
      <w:numFmt w:val="decimal"/>
      <w:lvlText w:val="%1.%2.%3"/>
      <w:lvlJc w:val="start"/>
      <w:pPr>
        <w:tabs>
          <w:tab w:val="num" w:pos="0"/>
        </w:tabs>
        <w:ind w:start="720" w:hanging="720"/>
      </w:pPr>
      <w:rPr>
        <w:sz w:val="24"/>
        <w:rFonts w:ascii="宋体;SimSun" w:hAnsi="宋体;SimSun" w:cs="宋体;SimSun"/>
      </w:rPr>
    </w:lvl>
    <w:lvl w:ilvl="3">
      <w:start w:val="1"/>
      <w:numFmt w:val="decimal"/>
      <w:lvlText w:val="%1.%2.%3.%4"/>
      <w:lvlJc w:val="start"/>
      <w:pPr>
        <w:tabs>
          <w:tab w:val="num" w:pos="0"/>
        </w:tabs>
        <w:ind w:start="720" w:hanging="720"/>
      </w:pPr>
      <w:rPr>
        <w:sz w:val="24"/>
        <w:rFonts w:ascii="宋体;SimSun" w:hAnsi="宋体;SimSun" w:cs="宋体;SimSun"/>
      </w:rPr>
    </w:lvl>
    <w:lvl w:ilvl="4">
      <w:start w:val="1"/>
      <w:numFmt w:val="decimal"/>
      <w:lvlText w:val="%1.%2.%3.%4.%5"/>
      <w:lvlJc w:val="start"/>
      <w:pPr>
        <w:tabs>
          <w:tab w:val="num" w:pos="0"/>
        </w:tabs>
        <w:ind w:start="1080" w:hanging="1080"/>
      </w:pPr>
      <w:rPr>
        <w:sz w:val="24"/>
        <w:rFonts w:ascii="宋体;SimSun" w:hAnsi="宋体;SimSun" w:cs="宋体;SimSun"/>
      </w:rPr>
    </w:lvl>
    <w:lvl w:ilvl="5">
      <w:start w:val="1"/>
      <w:numFmt w:val="decimal"/>
      <w:lvlText w:val="%1.%2.%3.%4.%5.%6"/>
      <w:lvlJc w:val="start"/>
      <w:pPr>
        <w:tabs>
          <w:tab w:val="num" w:pos="0"/>
        </w:tabs>
        <w:ind w:start="1080" w:hanging="1080"/>
      </w:pPr>
      <w:rPr>
        <w:sz w:val="24"/>
        <w:rFonts w:ascii="宋体;SimSun" w:hAnsi="宋体;SimSun" w:cs="宋体;SimSun"/>
      </w:rPr>
    </w:lvl>
    <w:lvl w:ilvl="6">
      <w:start w:val="1"/>
      <w:numFmt w:val="decimal"/>
      <w:lvlText w:val="%1.%2.%3.%4.%5.%6.%7"/>
      <w:lvlJc w:val="start"/>
      <w:pPr>
        <w:tabs>
          <w:tab w:val="num" w:pos="0"/>
        </w:tabs>
        <w:ind w:start="1440" w:hanging="1440"/>
      </w:pPr>
      <w:rPr>
        <w:sz w:val="24"/>
        <w:rFonts w:ascii="宋体;SimSun" w:hAnsi="宋体;SimSun" w:cs="宋体;SimSun"/>
      </w:rPr>
    </w:lvl>
    <w:lvl w:ilvl="7">
      <w:start w:val="1"/>
      <w:numFmt w:val="decimal"/>
      <w:lvlText w:val="%1.%2.%3.%4.%5.%6.%7.%8"/>
      <w:lvlJc w:val="start"/>
      <w:pPr>
        <w:tabs>
          <w:tab w:val="num" w:pos="0"/>
        </w:tabs>
        <w:ind w:start="1440" w:hanging="1440"/>
      </w:pPr>
      <w:rPr>
        <w:sz w:val="24"/>
        <w:rFonts w:ascii="宋体;SimSun" w:hAnsi="宋体;SimSun" w:cs="宋体;SimSun"/>
      </w:rPr>
    </w:lvl>
    <w:lvl w:ilvl="8">
      <w:start w:val="1"/>
      <w:numFmt w:val="decimal"/>
      <w:lvlText w:val="%1.%2.%3.%4.%5.%6.%7.%8.%9"/>
      <w:lvlJc w:val="start"/>
      <w:pPr>
        <w:tabs>
          <w:tab w:val="num" w:pos="0"/>
        </w:tabs>
        <w:ind w:start="1800" w:hanging="1800"/>
      </w:pPr>
      <w:rPr>
        <w:sz w:val="24"/>
        <w:rFonts w:ascii="宋体;SimSun" w:hAnsi="宋体;SimSun" w:cs="宋体;SimSun"/>
      </w:rPr>
    </w:lvl>
  </w:abstractNum>
  <w:abstractNum w:abstractNumId="9">
    <w:lvl w:ilvl="0">
      <w:start w:val="4"/>
      <w:numFmt w:val="decimal"/>
      <w:lvlText w:val="%1"/>
      <w:lvlJc w:val="start"/>
      <w:pPr>
        <w:tabs>
          <w:tab w:val="num" w:pos="0"/>
        </w:tabs>
        <w:ind w:start="450" w:hanging="450"/>
      </w:pPr>
      <w:rPr>
        <w:sz w:val="24"/>
      </w:rPr>
    </w:lvl>
    <w:lvl w:ilvl="1">
      <w:start w:val="8"/>
      <w:numFmt w:val="decimal"/>
      <w:lvlText w:val="%1.%2"/>
      <w:lvlJc w:val="start"/>
      <w:pPr>
        <w:tabs>
          <w:tab w:val="num" w:pos="0"/>
        </w:tabs>
        <w:ind w:start="720" w:hanging="72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1080" w:hanging="1080"/>
      </w:pPr>
      <w:rPr>
        <w:sz w:val="24"/>
      </w:rPr>
    </w:lvl>
    <w:lvl w:ilvl="4">
      <w:start w:val="1"/>
      <w:numFmt w:val="decimal"/>
      <w:lvlText w:val="%1.%2.%3.%4.%5"/>
      <w:lvlJc w:val="start"/>
      <w:pPr>
        <w:tabs>
          <w:tab w:val="num" w:pos="0"/>
        </w:tabs>
        <w:ind w:start="1440" w:hanging="1440"/>
      </w:pPr>
      <w:rPr>
        <w:sz w:val="24"/>
      </w:rPr>
    </w:lvl>
    <w:lvl w:ilvl="5">
      <w:start w:val="1"/>
      <w:numFmt w:val="decimal"/>
      <w:lvlText w:val="%1.%2.%3.%4.%5.%6"/>
      <w:lvlJc w:val="start"/>
      <w:pPr>
        <w:tabs>
          <w:tab w:val="num" w:pos="0"/>
        </w:tabs>
        <w:ind w:start="1800" w:hanging="1800"/>
      </w:pPr>
      <w:rPr>
        <w:sz w:val="24"/>
      </w:rPr>
    </w:lvl>
    <w:lvl w:ilvl="6">
      <w:start w:val="1"/>
      <w:numFmt w:val="decimal"/>
      <w:lvlText w:val="%1.%2.%3.%4.%5.%6.%7"/>
      <w:lvlJc w:val="start"/>
      <w:pPr>
        <w:tabs>
          <w:tab w:val="num" w:pos="0"/>
        </w:tabs>
        <w:ind w:start="1800" w:hanging="1800"/>
      </w:pPr>
      <w:rPr>
        <w:sz w:val="24"/>
      </w:rPr>
    </w:lvl>
    <w:lvl w:ilvl="7">
      <w:start w:val="1"/>
      <w:numFmt w:val="decimal"/>
      <w:lvlText w:val="%1.%2.%3.%4.%5.%6.%7.%8"/>
      <w:lvlJc w:val="start"/>
      <w:pPr>
        <w:tabs>
          <w:tab w:val="num" w:pos="0"/>
        </w:tabs>
        <w:ind w:start="2160" w:hanging="2160"/>
      </w:pPr>
      <w:rPr>
        <w:sz w:val="24"/>
      </w:rPr>
    </w:lvl>
    <w:lvl w:ilvl="8">
      <w:start w:val="1"/>
      <w:numFmt w:val="decimal"/>
      <w:lvlText w:val="%1.%2.%3.%4.%5.%6.%7.%8.%9"/>
      <w:lvlJc w:val="start"/>
      <w:pPr>
        <w:tabs>
          <w:tab w:val="num" w:pos="0"/>
        </w:tabs>
        <w:ind w:start="2520" w:hanging="2520"/>
      </w:pPr>
      <w:rPr>
        <w:sz w:val="24"/>
      </w:rPr>
    </w:lvl>
  </w:abstractNum>
  <w:abstractNum w:abstractNumId="10">
    <w:lvl w:ilvl="0">
      <w:start w:val="4"/>
      <w:numFmt w:val="decimal"/>
      <w:lvlText w:val="%1"/>
      <w:lvlJc w:val="start"/>
      <w:pPr>
        <w:tabs>
          <w:tab w:val="num" w:pos="0"/>
        </w:tabs>
        <w:ind w:start="450" w:hanging="450"/>
      </w:pPr>
      <w:rPr>
        <w:sz w:val="24"/>
      </w:rPr>
    </w:lvl>
    <w:lvl w:ilvl="1">
      <w:start w:val="1"/>
      <w:numFmt w:val="decimal"/>
      <w:lvlText w:val="%1.%2"/>
      <w:lvlJc w:val="start"/>
      <w:pPr>
        <w:tabs>
          <w:tab w:val="num" w:pos="0"/>
        </w:tabs>
        <w:ind w:start="450" w:hanging="45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11">
    <w:lvl w:ilvl="0">
      <w:start w:val="1"/>
      <w:numFmt w:val="decimal"/>
      <w:lvlText w:val="（%1）"/>
      <w:lvlJc w:val="start"/>
      <w:pPr>
        <w:tabs>
          <w:tab w:val="num" w:pos="0"/>
        </w:tabs>
        <w:ind w:start="1320" w:hanging="720"/>
      </w:pPr>
      <w:rPr/>
    </w:lvl>
  </w:abstractNum>
  <w:abstractNum w:abstractNumId="12">
    <w:lvl w:ilvl="0">
      <w:start w:val="1"/>
      <w:numFmt w:val="decimal"/>
      <w:lvlText w:val="（%1）"/>
      <w:lvlJc w:val="start"/>
      <w:pPr>
        <w:tabs>
          <w:tab w:val="num" w:pos="420"/>
        </w:tabs>
        <w:ind w:start="1440" w:hanging="720"/>
      </w:pPr>
      <w:rPr>
        <w:sz w:val="24"/>
      </w:rPr>
    </w:lvl>
  </w:abstractNum>
  <w:abstractNum w:abstractNumId="13">
    <w:lvl w:ilvl="0">
      <w:start w:val="1"/>
      <w:numFmt w:val="chineseCountingThousand"/>
      <w:lvlText w:val="第%1章"/>
      <w:lvlJc w:val="start"/>
      <w:pPr>
        <w:tabs>
          <w:tab w:val="num" w:pos="0"/>
        </w:tabs>
        <w:ind w:start="1650" w:hanging="1440"/>
      </w:pPr>
      <w:rPr>
        <w:szCs w:val="20"/>
      </w:rPr>
    </w:lvl>
  </w:abstractNum>
  <w:abstractNum w:abstractNumId="14">
    <w:lvl w:ilvl="0">
      <w:start w:val="4"/>
      <w:numFmt w:val="decimal"/>
      <w:lvlText w:val="%1"/>
      <w:lvlJc w:val="start"/>
      <w:pPr>
        <w:tabs>
          <w:tab w:val="num" w:pos="0"/>
        </w:tabs>
        <w:ind w:start="600" w:hanging="600"/>
      </w:pPr>
      <w:rPr>
        <w:sz w:val="24"/>
      </w:rPr>
    </w:lvl>
    <w:lvl w:ilvl="1">
      <w:start w:val="10"/>
      <w:numFmt w:val="decimal"/>
      <w:lvlText w:val="%1.%2"/>
      <w:lvlJc w:val="start"/>
      <w:pPr>
        <w:tabs>
          <w:tab w:val="num" w:pos="0"/>
        </w:tabs>
        <w:ind w:start="720" w:hanging="720"/>
      </w:pPr>
      <w:rPr>
        <w:sz w:val="24"/>
      </w:rPr>
    </w:lvl>
    <w:lvl w:ilvl="2">
      <w:start w:val="4"/>
      <w:numFmt w:val="decimal"/>
      <w:lvlText w:val="%1.%2.%3"/>
      <w:lvlJc w:val="start"/>
      <w:pPr>
        <w:tabs>
          <w:tab w:val="num" w:pos="0"/>
        </w:tabs>
        <w:ind w:start="720" w:hanging="720"/>
      </w:pPr>
      <w:rPr>
        <w:sz w:val="24"/>
      </w:rPr>
    </w:lvl>
    <w:lvl w:ilvl="3">
      <w:start w:val="1"/>
      <w:numFmt w:val="decimal"/>
      <w:lvlText w:val="%1.%2.%3.%4"/>
      <w:lvlJc w:val="start"/>
      <w:pPr>
        <w:tabs>
          <w:tab w:val="num" w:pos="0"/>
        </w:tabs>
        <w:ind w:start="1080" w:hanging="1080"/>
      </w:pPr>
      <w:rPr>
        <w:sz w:val="24"/>
      </w:rPr>
    </w:lvl>
    <w:lvl w:ilvl="4">
      <w:start w:val="1"/>
      <w:numFmt w:val="decimal"/>
      <w:lvlText w:val="%1.%2.%3.%4.%5"/>
      <w:lvlJc w:val="start"/>
      <w:pPr>
        <w:tabs>
          <w:tab w:val="num" w:pos="0"/>
        </w:tabs>
        <w:ind w:start="1440" w:hanging="1440"/>
      </w:pPr>
      <w:rPr>
        <w:sz w:val="24"/>
      </w:rPr>
    </w:lvl>
    <w:lvl w:ilvl="5">
      <w:start w:val="1"/>
      <w:numFmt w:val="decimal"/>
      <w:lvlText w:val="%1.%2.%3.%4.%5.%6"/>
      <w:lvlJc w:val="start"/>
      <w:pPr>
        <w:tabs>
          <w:tab w:val="num" w:pos="0"/>
        </w:tabs>
        <w:ind w:start="1800" w:hanging="1800"/>
      </w:pPr>
      <w:rPr>
        <w:sz w:val="24"/>
      </w:rPr>
    </w:lvl>
    <w:lvl w:ilvl="6">
      <w:start w:val="1"/>
      <w:numFmt w:val="decimal"/>
      <w:lvlText w:val="%1.%2.%3.%4.%5.%6.%7"/>
      <w:lvlJc w:val="start"/>
      <w:pPr>
        <w:tabs>
          <w:tab w:val="num" w:pos="0"/>
        </w:tabs>
        <w:ind w:start="1800" w:hanging="1800"/>
      </w:pPr>
      <w:rPr>
        <w:sz w:val="24"/>
      </w:rPr>
    </w:lvl>
    <w:lvl w:ilvl="7">
      <w:start w:val="1"/>
      <w:numFmt w:val="decimal"/>
      <w:lvlText w:val="%1.%2.%3.%4.%5.%6.%7.%8"/>
      <w:lvlJc w:val="start"/>
      <w:pPr>
        <w:tabs>
          <w:tab w:val="num" w:pos="0"/>
        </w:tabs>
        <w:ind w:start="2160" w:hanging="2160"/>
      </w:pPr>
      <w:rPr>
        <w:sz w:val="24"/>
      </w:rPr>
    </w:lvl>
    <w:lvl w:ilvl="8">
      <w:start w:val="1"/>
      <w:numFmt w:val="decimal"/>
      <w:lvlText w:val="%1.%2.%3.%4.%5.%6.%7.%8.%9"/>
      <w:lvlJc w:val="start"/>
      <w:pPr>
        <w:tabs>
          <w:tab w:val="num" w:pos="0"/>
        </w:tabs>
        <w:ind w:start="2520" w:hanging="2520"/>
      </w:pPr>
      <w:rPr>
        <w:sz w:val="24"/>
      </w:rPr>
    </w:lvl>
  </w:abstractNum>
  <w:abstractNum w:abstractNumId="15">
    <w:lvl w:ilvl="0">
      <w:start w:val="1"/>
      <w:numFmt w:val="lowerLetter"/>
      <w:lvlText w:val="%1)"/>
      <w:lvlJc w:val="start"/>
      <w:pPr>
        <w:tabs>
          <w:tab w:val="num" w:pos="0"/>
        </w:tabs>
        <w:ind w:start="420" w:hanging="420"/>
      </w:pPr>
      <w:rPr>
        <w:sz w:val="24"/>
      </w:rPr>
    </w:lvl>
  </w:abstractNum>
  <w:abstractNum w:abstractNumId="16">
    <w:lvl w:ilvl="0">
      <w:start w:val="6"/>
      <w:numFmt w:val="decimal"/>
      <w:lvlText w:val="%1"/>
      <w:lvlJc w:val="start"/>
      <w:pPr>
        <w:tabs>
          <w:tab w:val="num" w:pos="0"/>
        </w:tabs>
        <w:ind w:start="480" w:hanging="480"/>
      </w:pPr>
      <w:rPr>
        <w:sz w:val="24"/>
      </w:rPr>
    </w:lvl>
    <w:lvl w:ilvl="1">
      <w:start w:val="4"/>
      <w:numFmt w:val="decimal"/>
      <w:lvlText w:val="%1.%2"/>
      <w:lvlJc w:val="start"/>
      <w:pPr>
        <w:tabs>
          <w:tab w:val="num" w:pos="0"/>
        </w:tabs>
        <w:ind w:start="480" w:hanging="48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17">
    <w:lvl w:ilvl="0">
      <w:start w:val="4"/>
      <w:numFmt w:val="decimal"/>
      <w:lvlText w:val="%1"/>
      <w:lvlJc w:val="start"/>
      <w:pPr>
        <w:tabs>
          <w:tab w:val="num" w:pos="0"/>
        </w:tabs>
        <w:ind w:start="480" w:hanging="480"/>
      </w:pPr>
      <w:rPr>
        <w:sz w:val="24"/>
      </w:rPr>
    </w:lvl>
    <w:lvl w:ilvl="1">
      <w:start w:val="3"/>
      <w:numFmt w:val="decimal"/>
      <w:lvlText w:val="%1.%2"/>
      <w:lvlJc w:val="start"/>
      <w:pPr>
        <w:tabs>
          <w:tab w:val="num" w:pos="0"/>
        </w:tabs>
        <w:ind w:start="480" w:hanging="48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18">
    <w:lvl w:ilvl="0">
      <w:start w:val="4"/>
      <w:numFmt w:val="decimal"/>
      <w:lvlText w:val="%1"/>
      <w:lvlJc w:val="start"/>
      <w:pPr>
        <w:tabs>
          <w:tab w:val="num" w:pos="0"/>
        </w:tabs>
        <w:ind w:start="480" w:hanging="480"/>
      </w:pPr>
      <w:rPr>
        <w:sz w:val="24"/>
      </w:rPr>
    </w:lvl>
    <w:lvl w:ilvl="1">
      <w:start w:val="9"/>
      <w:numFmt w:val="decimal"/>
      <w:lvlText w:val="%1.%2"/>
      <w:lvlJc w:val="start"/>
      <w:pPr>
        <w:tabs>
          <w:tab w:val="num" w:pos="0"/>
        </w:tabs>
        <w:ind w:start="480" w:hanging="480"/>
      </w:pPr>
      <w:rPr>
        <w:sz w:val="24"/>
      </w:rPr>
    </w:lvl>
    <w:lvl w:ilvl="2">
      <w:start w:val="8"/>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19">
    <w:lvl w:ilvl="0">
      <w:start w:val="3"/>
      <w:numFmt w:val="decimal"/>
      <w:lvlText w:val="%1"/>
      <w:lvlJc w:val="start"/>
      <w:pPr>
        <w:tabs>
          <w:tab w:val="num" w:pos="0"/>
        </w:tabs>
        <w:ind w:start="480" w:hanging="480"/>
      </w:pPr>
      <w:rPr>
        <w:sz w:val="24"/>
      </w:rPr>
    </w:lvl>
    <w:lvl w:ilvl="1">
      <w:start w:val="2"/>
      <w:numFmt w:val="decimal"/>
      <w:lvlText w:val="%1.%2"/>
      <w:lvlJc w:val="start"/>
      <w:pPr>
        <w:tabs>
          <w:tab w:val="num" w:pos="0"/>
        </w:tabs>
        <w:ind w:start="480" w:hanging="48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20">
    <w:lvl w:ilvl="0">
      <w:start w:val="1"/>
      <w:numFmt w:val="decimal"/>
      <w:lvlText w:val="%1)"/>
      <w:lvlJc w:val="start"/>
      <w:pPr>
        <w:tabs>
          <w:tab w:val="num" w:pos="0"/>
        </w:tabs>
        <w:ind w:start="420" w:hanging="420"/>
      </w:pPr>
      <w:rPr>
        <w:sz w:val="24"/>
      </w:rPr>
    </w:lvl>
  </w:abstractNum>
  <w:abstractNum w:abstractNumId="21">
    <w:lvl w:ilvl="0">
      <w:start w:val="4"/>
      <w:numFmt w:val="decimal"/>
      <w:lvlText w:val="%1"/>
      <w:lvlJc w:val="start"/>
      <w:pPr>
        <w:tabs>
          <w:tab w:val="num" w:pos="0"/>
        </w:tabs>
        <w:ind w:start="660" w:hanging="660"/>
      </w:pPr>
      <w:rPr>
        <w:sz w:val="24"/>
      </w:rPr>
    </w:lvl>
    <w:lvl w:ilvl="1">
      <w:start w:val="2"/>
      <w:numFmt w:val="decimal"/>
      <w:lvlText w:val="%1.%2"/>
      <w:lvlJc w:val="start"/>
      <w:pPr>
        <w:tabs>
          <w:tab w:val="num" w:pos="0"/>
        </w:tabs>
        <w:ind w:start="660" w:hanging="660"/>
      </w:pPr>
      <w:rPr>
        <w:sz w:val="24"/>
      </w:rPr>
    </w:lvl>
    <w:lvl w:ilvl="2">
      <w:start w:val="2"/>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22">
    <w:lvl w:ilvl="0">
      <w:start w:val="1"/>
      <w:numFmt w:val="decimal"/>
      <w:lvlText w:val="（%1）"/>
      <w:lvlJc w:val="start"/>
      <w:pPr>
        <w:tabs>
          <w:tab w:val="num" w:pos="0"/>
        </w:tabs>
        <w:ind w:start="2025" w:hanging="1305"/>
      </w:pPr>
      <w:rPr>
        <w:sz w:val="24"/>
      </w:rPr>
    </w:lvl>
  </w:abstractNum>
  <w:abstractNum w:abstractNumId="23">
    <w:lvl w:ilvl="0">
      <w:start w:val="6"/>
      <w:numFmt w:val="decimal"/>
      <w:lvlText w:val="%1"/>
      <w:lvlJc w:val="start"/>
      <w:pPr>
        <w:tabs>
          <w:tab w:val="num" w:pos="0"/>
        </w:tabs>
        <w:ind w:start="480" w:hanging="480"/>
      </w:pPr>
      <w:rPr>
        <w:sz w:val="24"/>
      </w:rPr>
    </w:lvl>
    <w:lvl w:ilvl="1">
      <w:start w:val="1"/>
      <w:numFmt w:val="decimal"/>
      <w:lvlText w:val="%1.%2"/>
      <w:lvlJc w:val="start"/>
      <w:pPr>
        <w:tabs>
          <w:tab w:val="num" w:pos="0"/>
        </w:tabs>
        <w:ind w:start="480" w:hanging="48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24">
    <w:lvl w:ilvl="0">
      <w:start w:val="1"/>
      <w:numFmt w:val="decimal"/>
      <w:lvlText w:val="（%1）"/>
      <w:lvlJc w:val="start"/>
      <w:pPr>
        <w:tabs>
          <w:tab w:val="num" w:pos="0"/>
        </w:tabs>
        <w:ind w:start="1438" w:hanging="720"/>
      </w:pPr>
      <w:rPr>
        <w:sz w:val="24"/>
      </w:rPr>
    </w:lvl>
  </w:abstractNum>
  <w:abstractNum w:abstractNumId="25">
    <w:lvl w:ilvl="0">
      <w:start w:val="1"/>
      <w:numFmt w:val="decimal"/>
      <w:lvlText w:val="（%1）"/>
      <w:lvlJc w:val="start"/>
      <w:pPr>
        <w:tabs>
          <w:tab w:val="num" w:pos="0"/>
        </w:tabs>
        <w:ind w:start="1245" w:hanging="720"/>
      </w:pPr>
      <w:rPr/>
    </w:lvl>
  </w:abstractNum>
  <w:abstractNum w:abstractNumId="26">
    <w:lvl w:ilvl="0">
      <w:start w:val="4"/>
      <w:numFmt w:val="decimal"/>
      <w:lvlText w:val="%1"/>
      <w:lvlJc w:val="start"/>
      <w:pPr>
        <w:tabs>
          <w:tab w:val="num" w:pos="0"/>
        </w:tabs>
        <w:ind w:start="585" w:hanging="585"/>
      </w:pPr>
      <w:rPr>
        <w:sz w:val="24"/>
      </w:rPr>
    </w:lvl>
    <w:lvl w:ilvl="1">
      <w:start w:val="11"/>
      <w:numFmt w:val="decimal"/>
      <w:lvlText w:val="%1.%2"/>
      <w:lvlJc w:val="start"/>
      <w:pPr>
        <w:tabs>
          <w:tab w:val="num" w:pos="0"/>
        </w:tabs>
        <w:ind w:start="585" w:hanging="585"/>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abstractNum w:abstractNumId="27">
    <w:lvl w:ilvl="0">
      <w:start w:val="1"/>
      <w:numFmt w:val="decimal"/>
      <w:lvlText w:val="（%1）"/>
      <w:lvlJc w:val="start"/>
      <w:pPr>
        <w:tabs>
          <w:tab w:val="num" w:pos="0"/>
        </w:tabs>
        <w:ind w:start="1320" w:hanging="720"/>
      </w:pPr>
      <w:rPr/>
    </w:lvl>
  </w:abstractNum>
  <w:abstractNum w:abstractNumId="28">
    <w:lvl w:ilvl="0">
      <w:start w:val="1"/>
      <w:numFmt w:val="decimal"/>
      <w:lvlText w:val="%1"/>
      <w:lvlJc w:val="start"/>
      <w:pPr>
        <w:tabs>
          <w:tab w:val="num" w:pos="504"/>
        </w:tabs>
        <w:ind w:start="504" w:hanging="504"/>
      </w:pPr>
      <w:rPr/>
    </w:lvl>
    <w:lvl w:ilvl="1">
      <w:start w:val="1"/>
      <w:numFmt w:val="decimal"/>
      <w:lvlText w:val="%1.%2"/>
      <w:lvlJc w:val="start"/>
      <w:pPr>
        <w:tabs>
          <w:tab w:val="num" w:pos="504"/>
        </w:tabs>
        <w:ind w:start="504" w:hanging="504"/>
      </w:pPr>
      <w:rPr/>
    </w:lvl>
    <w:lvl w:ilvl="2">
      <w:start w:val="1"/>
      <w:numFmt w:val="decimal"/>
      <w:lvlText w:val="%1.%2.%3"/>
      <w:lvlJc w:val="start"/>
      <w:pPr>
        <w:tabs>
          <w:tab w:val="num" w:pos="1512"/>
        </w:tabs>
        <w:ind w:start="1512" w:hanging="1512"/>
      </w:pPr>
      <w:rPr/>
    </w:lvl>
    <w:lvl w:ilvl="3">
      <w:start w:val="1"/>
      <w:numFmt w:val="decimal"/>
      <w:lvlText w:val="%1.%2.%3.%4"/>
      <w:lvlJc w:val="start"/>
      <w:pPr>
        <w:tabs>
          <w:tab w:val="num" w:pos="2232"/>
        </w:tabs>
        <w:ind w:start="2232" w:hanging="2232"/>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0"/>
        </w:tabs>
        <w:ind w:start="420" w:hanging="420"/>
      </w:pPr>
      <w:rPr/>
    </w:lvl>
  </w:abstractNum>
  <w:abstractNum w:abstractNumId="30">
    <w:lvl w:ilvl="0">
      <w:start w:val="10"/>
      <w:numFmt w:val="decimal"/>
      <w:lvlText w:val="%1"/>
      <w:lvlJc w:val="start"/>
      <w:pPr>
        <w:tabs>
          <w:tab w:val="num" w:pos="0"/>
        </w:tabs>
        <w:ind w:start="630" w:hanging="630"/>
      </w:pPr>
      <w:rPr>
        <w:sz w:val="24"/>
        <w:vanish/>
      </w:rPr>
    </w:lvl>
    <w:lvl w:ilvl="1">
      <w:start w:val="4"/>
      <w:numFmt w:val="decimal"/>
      <w:lvlText w:val="%1.%2"/>
      <w:lvlJc w:val="start"/>
      <w:pPr>
        <w:tabs>
          <w:tab w:val="num" w:pos="0"/>
        </w:tabs>
        <w:ind w:start="630" w:hanging="630"/>
      </w:pPr>
      <w:rPr>
        <w:sz w:val="24"/>
        <w:vanish/>
      </w:rPr>
    </w:lvl>
    <w:lvl w:ilvl="2">
      <w:start w:val="1"/>
      <w:numFmt w:val="decimal"/>
      <w:lvlText w:val="%1.%2.%3"/>
      <w:lvlJc w:val="start"/>
      <w:pPr>
        <w:tabs>
          <w:tab w:val="num" w:pos="0"/>
        </w:tabs>
        <w:ind w:start="720" w:hanging="720"/>
      </w:pPr>
      <w:rPr>
        <w:sz w:val="24"/>
        <w:vanish/>
      </w:rPr>
    </w:lvl>
    <w:lvl w:ilvl="3">
      <w:start w:val="1"/>
      <w:numFmt w:val="decimal"/>
      <w:lvlText w:val="%1.%2.%3.%4"/>
      <w:lvlJc w:val="start"/>
      <w:pPr>
        <w:tabs>
          <w:tab w:val="num" w:pos="0"/>
        </w:tabs>
        <w:ind w:start="720" w:hanging="720"/>
      </w:pPr>
      <w:rPr>
        <w:sz w:val="24"/>
        <w:vanish/>
      </w:rPr>
    </w:lvl>
    <w:lvl w:ilvl="4">
      <w:start w:val="1"/>
      <w:numFmt w:val="decimal"/>
      <w:lvlText w:val="%1.%2.%3.%4.%5"/>
      <w:lvlJc w:val="start"/>
      <w:pPr>
        <w:tabs>
          <w:tab w:val="num" w:pos="0"/>
        </w:tabs>
        <w:ind w:start="1080" w:hanging="1080"/>
      </w:pPr>
      <w:rPr>
        <w:sz w:val="24"/>
        <w:vanish/>
      </w:rPr>
    </w:lvl>
    <w:lvl w:ilvl="5">
      <w:start w:val="1"/>
      <w:numFmt w:val="decimal"/>
      <w:lvlText w:val="%1.%2.%3.%4.%5.%6"/>
      <w:lvlJc w:val="start"/>
      <w:pPr>
        <w:tabs>
          <w:tab w:val="num" w:pos="0"/>
        </w:tabs>
        <w:ind w:start="1080" w:hanging="1080"/>
      </w:pPr>
      <w:rPr>
        <w:sz w:val="24"/>
        <w:vanish/>
      </w:rPr>
    </w:lvl>
    <w:lvl w:ilvl="6">
      <w:start w:val="1"/>
      <w:numFmt w:val="decimal"/>
      <w:lvlText w:val="%1.%2.%3.%4.%5.%6.%7"/>
      <w:lvlJc w:val="start"/>
      <w:pPr>
        <w:tabs>
          <w:tab w:val="num" w:pos="0"/>
        </w:tabs>
        <w:ind w:start="1440" w:hanging="1440"/>
      </w:pPr>
      <w:rPr>
        <w:sz w:val="24"/>
        <w:vanish/>
      </w:rPr>
    </w:lvl>
    <w:lvl w:ilvl="7">
      <w:start w:val="1"/>
      <w:numFmt w:val="decimal"/>
      <w:lvlText w:val="%1.%2.%3.%4.%5.%6.%7.%8"/>
      <w:lvlJc w:val="start"/>
      <w:pPr>
        <w:tabs>
          <w:tab w:val="num" w:pos="0"/>
        </w:tabs>
        <w:ind w:start="1440" w:hanging="1440"/>
      </w:pPr>
      <w:rPr>
        <w:sz w:val="24"/>
        <w:vanish/>
      </w:rPr>
    </w:lvl>
    <w:lvl w:ilvl="8">
      <w:start w:val="1"/>
      <w:numFmt w:val="decimal"/>
      <w:lvlText w:val="%1.%2.%3.%4.%5.%6.%7.%8.%9"/>
      <w:lvlJc w:val="start"/>
      <w:pPr>
        <w:tabs>
          <w:tab w:val="num" w:pos="0"/>
        </w:tabs>
        <w:ind w:start="1800" w:hanging="1800"/>
      </w:pPr>
      <w:rPr>
        <w:sz w:val="24"/>
        <w:vanish/>
      </w:rPr>
    </w:lvl>
  </w:abstractNum>
  <w:abstractNum w:abstractNumId="31">
    <w:lvl w:ilvl="0">
      <w:start w:val="5"/>
      <w:numFmt w:val="decimal"/>
      <w:lvlText w:val="%1"/>
      <w:lvlJc w:val="start"/>
      <w:pPr>
        <w:tabs>
          <w:tab w:val="num" w:pos="0"/>
        </w:tabs>
        <w:ind w:start="480" w:hanging="480"/>
      </w:pPr>
      <w:rPr>
        <w:sz w:val="24"/>
      </w:rPr>
    </w:lvl>
    <w:lvl w:ilvl="1">
      <w:start w:val="5"/>
      <w:numFmt w:val="decimal"/>
      <w:lvlText w:val="%1.%2"/>
      <w:lvlJc w:val="start"/>
      <w:pPr>
        <w:tabs>
          <w:tab w:val="num" w:pos="0"/>
        </w:tabs>
        <w:ind w:start="480" w:hanging="480"/>
      </w:pPr>
      <w:rPr>
        <w:sz w:val="24"/>
      </w:rPr>
    </w:lvl>
    <w:lvl w:ilvl="2">
      <w:start w:val="1"/>
      <w:numFmt w:val="decimal"/>
      <w:lvlText w:val="%1.%2.%3"/>
      <w:lvlJc w:val="start"/>
      <w:pPr>
        <w:tabs>
          <w:tab w:val="num" w:pos="0"/>
        </w:tabs>
        <w:ind w:start="720" w:hanging="720"/>
      </w:pPr>
      <w:rPr>
        <w:sz w:val="24"/>
      </w:rPr>
    </w:lvl>
    <w:lvl w:ilvl="3">
      <w:start w:val="1"/>
      <w:numFmt w:val="decimal"/>
      <w:lvlText w:val="%1.%2.%3.%4"/>
      <w:lvlJc w:val="start"/>
      <w:pPr>
        <w:tabs>
          <w:tab w:val="num" w:pos="0"/>
        </w:tabs>
        <w:ind w:start="720" w:hanging="720"/>
      </w:pPr>
      <w:rPr>
        <w:sz w:val="24"/>
      </w:rPr>
    </w:lvl>
    <w:lvl w:ilvl="4">
      <w:start w:val="1"/>
      <w:numFmt w:val="decimal"/>
      <w:lvlText w:val="%1.%2.%3.%4.%5"/>
      <w:lvlJc w:val="start"/>
      <w:pPr>
        <w:tabs>
          <w:tab w:val="num" w:pos="0"/>
        </w:tabs>
        <w:ind w:start="1080" w:hanging="1080"/>
      </w:pPr>
      <w:rPr>
        <w:sz w:val="24"/>
      </w:rPr>
    </w:lvl>
    <w:lvl w:ilvl="5">
      <w:start w:val="1"/>
      <w:numFmt w:val="decimal"/>
      <w:lvlText w:val="%1.%2.%3.%4.%5.%6"/>
      <w:lvlJc w:val="start"/>
      <w:pPr>
        <w:tabs>
          <w:tab w:val="num" w:pos="0"/>
        </w:tabs>
        <w:ind w:start="1080" w:hanging="1080"/>
      </w:pPr>
      <w:rPr>
        <w:sz w:val="24"/>
      </w:rPr>
    </w:lvl>
    <w:lvl w:ilvl="6">
      <w:start w:val="1"/>
      <w:numFmt w:val="decimal"/>
      <w:lvlText w:val="%1.%2.%3.%4.%5.%6.%7"/>
      <w:lvlJc w:val="start"/>
      <w:pPr>
        <w:tabs>
          <w:tab w:val="num" w:pos="0"/>
        </w:tabs>
        <w:ind w:start="1440" w:hanging="1440"/>
      </w:pPr>
      <w:rPr>
        <w:sz w:val="24"/>
      </w:rPr>
    </w:lvl>
    <w:lvl w:ilvl="7">
      <w:start w:val="1"/>
      <w:numFmt w:val="decimal"/>
      <w:lvlText w:val="%1.%2.%3.%4.%5.%6.%7.%8"/>
      <w:lvlJc w:val="start"/>
      <w:pPr>
        <w:tabs>
          <w:tab w:val="num" w:pos="0"/>
        </w:tabs>
        <w:ind w:start="1440" w:hanging="1440"/>
      </w:pPr>
      <w:rPr>
        <w:sz w:val="24"/>
      </w:rPr>
    </w:lvl>
    <w:lvl w:ilvl="8">
      <w:start w:val="1"/>
      <w:numFmt w:val="decimal"/>
      <w:lvlText w:val="%1.%2.%3.%4.%5.%6.%7.%8.%9"/>
      <w:lvlJc w:val="start"/>
      <w:pPr>
        <w:tabs>
          <w:tab w:val="num" w:pos="0"/>
        </w:tabs>
        <w:ind w:start="1800" w:hanging="180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TextBody"/>
    <w:qFormat/>
    <w:pPr>
      <w:widowControl/>
      <w:numPr>
        <w:ilvl w:val="1"/>
        <w:numId w:val="1"/>
      </w:numPr>
      <w:snapToGrid w:val="false"/>
      <w:spacing w:lineRule="auto" w:line="420" w:before="240" w:after="240"/>
      <w:jc w:val="start"/>
      <w:outlineLvl w:val="1"/>
    </w:pPr>
    <w:rPr>
      <w:rFonts w:ascii="Arial" w:hAnsi="Arial" w:eastAsia="黑体;SimHei" w:cs="Arial"/>
      <w:b/>
      <w:kern w:val="2"/>
      <w:sz w:val="32"/>
      <w:szCs w:val="20"/>
    </w:rPr>
  </w:style>
  <w:style w:type="paragraph" w:styleId="Heading3">
    <w:name w:val="Heading 3"/>
    <w:basedOn w:val="Normal"/>
    <w:next w:val="TextBody"/>
    <w:qFormat/>
    <w:pPr>
      <w:keepNext w:val="true"/>
      <w:widowControl/>
      <w:numPr>
        <w:ilvl w:val="2"/>
        <w:numId w:val="1"/>
      </w:numPr>
      <w:snapToGrid w:val="false"/>
      <w:spacing w:lineRule="atLeast" w:line="220" w:before="140" w:after="120"/>
      <w:ind w:start="624" w:hanging="624"/>
      <w:outlineLvl w:val="2"/>
    </w:pPr>
    <w:rPr>
      <w:rFonts w:ascii="Arial" w:hAnsi="Arial" w:eastAsia="楷体_GB2312;楷体" w:cs="Arial"/>
      <w:spacing w:val="-4"/>
      <w:kern w:val="2"/>
      <w:sz w:val="32"/>
      <w:szCs w:val="20"/>
    </w:rPr>
  </w:style>
  <w:style w:type="paragraph" w:styleId="Heading4">
    <w:name w:val="Heading 4"/>
    <w:basedOn w:val="Normal"/>
    <w:next w:val="TextBody"/>
    <w:qFormat/>
    <w:pPr>
      <w:widowControl/>
      <w:numPr>
        <w:ilvl w:val="3"/>
        <w:numId w:val="1"/>
      </w:numPr>
      <w:snapToGrid w:val="false"/>
      <w:spacing w:lineRule="atLeast" w:line="220" w:before="140" w:after="120"/>
      <w:ind w:start="964" w:hanging="397"/>
      <w:outlineLvl w:val="3"/>
    </w:pPr>
    <w:rPr>
      <w:rFonts w:ascii="Arial" w:hAnsi="Arial" w:eastAsia="黑体;SimHei" w:cs="Arial"/>
      <w:b/>
      <w:spacing w:val="-4"/>
      <w:kern w:val="2"/>
      <w:sz w:val="28"/>
      <w:szCs w:val="20"/>
    </w:rPr>
  </w:style>
  <w:style w:type="paragraph" w:styleId="Heading5">
    <w:name w:val="Heading 5"/>
    <w:basedOn w:val="Normal"/>
    <w:next w:val="TextBody"/>
    <w:qFormat/>
    <w:pPr>
      <w:widowControl/>
      <w:numPr>
        <w:ilvl w:val="4"/>
        <w:numId w:val="1"/>
      </w:numPr>
      <w:snapToGrid w:val="false"/>
      <w:spacing w:lineRule="exact" w:line="440" w:before="120" w:after="120"/>
      <w:ind w:start="907" w:hanging="453"/>
      <w:outlineLvl w:val="4"/>
    </w:pPr>
    <w:rPr>
      <w:b/>
      <w:spacing w:val="-4"/>
      <w:kern w:val="2"/>
      <w:sz w:val="24"/>
      <w:szCs w:val="20"/>
    </w:rPr>
  </w:style>
  <w:style w:type="paragraph" w:styleId="Heading6">
    <w:name w:val="Heading 6"/>
    <w:basedOn w:val="Normal"/>
    <w:next w:val="TextBody"/>
    <w:qFormat/>
    <w:pPr>
      <w:widowControl/>
      <w:numPr>
        <w:ilvl w:val="5"/>
        <w:numId w:val="1"/>
      </w:numPr>
      <w:snapToGrid w:val="false"/>
      <w:spacing w:lineRule="auto" w:line="360" w:before="120" w:after="120"/>
      <w:ind w:start="1474" w:hanging="623"/>
      <w:outlineLvl w:val="5"/>
    </w:pPr>
    <w:rPr>
      <w:spacing w:val="-4"/>
      <w:kern w:val="0"/>
      <w:sz w:val="24"/>
      <w:szCs w:val="20"/>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character" w:styleId="WW8Num1z0">
    <w:name w:val="WW8Num1z0"/>
    <w:qFormat/>
    <w:rPr/>
  </w:style>
  <w:style w:type="character" w:styleId="WW8Num2z0">
    <w:name w:val="WW8Num2z0"/>
    <w:qFormat/>
    <w:rPr>
      <w:sz w:val="24"/>
    </w:rPr>
  </w:style>
  <w:style w:type="character" w:styleId="WW8Num3z0">
    <w:name w:val="WW8Num3z0"/>
    <w:qFormat/>
    <w:rPr>
      <w:sz w:val="24"/>
    </w:rPr>
  </w:style>
  <w:style w:type="character" w:styleId="WW8Num4z0">
    <w:name w:val="WW8Num4z0"/>
    <w:qFormat/>
    <w:rPr>
      <w:sz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4"/>
    </w:rPr>
  </w:style>
  <w:style w:type="character" w:styleId="WW8Num6z0">
    <w:name w:val="WW8Num6z0"/>
    <w:qFormat/>
    <w:rPr/>
  </w:style>
  <w:style w:type="character" w:styleId="WW8Num7z0">
    <w:name w:val="WW8Num7z0"/>
    <w:qFormat/>
    <w:rPr>
      <w:rFonts w:ascii="宋体;SimSun" w:hAnsi="宋体;SimSun" w:cs="宋体;SimSun"/>
      <w:sz w:val="24"/>
    </w:rPr>
  </w:style>
  <w:style w:type="character" w:styleId="WW8Num8z0">
    <w:name w:val="WW8Num8z0"/>
    <w:qFormat/>
    <w:rPr>
      <w:sz w:val="24"/>
    </w:rPr>
  </w:style>
  <w:style w:type="character" w:styleId="WW8Num9z0">
    <w:name w:val="WW8Num9z0"/>
    <w:qFormat/>
    <w:rPr>
      <w:sz w:val="24"/>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Cs w:val="2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z w:val="24"/>
    </w:rPr>
  </w:style>
  <w:style w:type="character" w:styleId="WW8Num16z0">
    <w:name w:val="WW8Num16z0"/>
    <w:qFormat/>
    <w:rPr>
      <w:sz w:val="24"/>
    </w:rPr>
  </w:style>
  <w:style w:type="character" w:styleId="WW8Num17z0">
    <w:name w:val="WW8Num17z0"/>
    <w:qFormat/>
    <w:rPr>
      <w:sz w:val="24"/>
    </w:rPr>
  </w:style>
  <w:style w:type="character" w:styleId="WW8Num18z0">
    <w:name w:val="WW8Num18z0"/>
    <w:qFormat/>
    <w:rPr>
      <w:sz w:val="24"/>
    </w:rPr>
  </w:style>
  <w:style w:type="character" w:styleId="WW8Num19z0">
    <w:name w:val="WW8Num19z0"/>
    <w:qFormat/>
    <w:rPr>
      <w:sz w:val="24"/>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z w:val="24"/>
    </w:rPr>
  </w:style>
  <w:style w:type="character" w:styleId="WW8Num21z0">
    <w:name w:val="WW8Num21z0"/>
    <w:qFormat/>
    <w:rPr>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z w:val="24"/>
    </w:rPr>
  </w:style>
  <w:style w:type="character" w:styleId="WW8Num23z0">
    <w:name w:val="WW8Num23z0"/>
    <w:qFormat/>
    <w:rPr>
      <w:sz w:val="24"/>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z w:val="24"/>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3">
    <w:name w:val="WW8Num27z3"/>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vanish/>
      <w:sz w:val="24"/>
    </w:rPr>
  </w:style>
  <w:style w:type="character" w:styleId="WW8Num30z0">
    <w:name w:val="WW8Num30z0"/>
    <w:qFormat/>
    <w:rPr>
      <w:sz w:val="24"/>
    </w:rPr>
  </w:style>
  <w:style w:type="character" w:styleId="Style7">
    <w:name w:val="默认段落字体"/>
    <w:qFormat/>
    <w:rPr/>
  </w:style>
  <w:style w:type="character" w:styleId="1Char">
    <w:name w:val="标题 1 Char"/>
    <w:qFormat/>
    <w:rPr>
      <w:b/>
      <w:bCs/>
      <w:kern w:val="2"/>
      <w:sz w:val="44"/>
      <w:szCs w:val="44"/>
    </w:rPr>
  </w:style>
  <w:style w:type="character" w:styleId="Char">
    <w:name w:val="正文文本 Char"/>
    <w:qFormat/>
    <w:rPr>
      <w:rFonts w:ascii="宋体;SimSun" w:hAnsi="宋体;SimSun"/>
      <w:kern w:val="2"/>
      <w:sz w:val="24"/>
    </w:rPr>
  </w:style>
  <w:style w:type="character" w:styleId="2Char">
    <w:name w:val="标题 2 Char"/>
    <w:qFormat/>
    <w:rPr>
      <w:rFonts w:ascii="Arial" w:hAnsi="Arial" w:eastAsia="黑体;SimHei" w:cs="Arial"/>
      <w:b/>
      <w:kern w:val="2"/>
      <w:sz w:val="32"/>
    </w:rPr>
  </w:style>
  <w:style w:type="character" w:styleId="3Char">
    <w:name w:val="标题 3 Char"/>
    <w:qFormat/>
    <w:rPr>
      <w:rFonts w:ascii="Arial" w:hAnsi="Arial" w:eastAsia="楷体_GB2312;楷体" w:cs="Arial"/>
      <w:spacing w:val="-4"/>
      <w:kern w:val="2"/>
      <w:sz w:val="32"/>
    </w:rPr>
  </w:style>
  <w:style w:type="character" w:styleId="4Char">
    <w:name w:val="标题 4 Char"/>
    <w:qFormat/>
    <w:rPr>
      <w:rFonts w:ascii="Arial" w:hAnsi="Arial" w:eastAsia="黑体;SimHei" w:cs="Arial"/>
      <w:b/>
      <w:spacing w:val="-4"/>
      <w:kern w:val="2"/>
      <w:sz w:val="28"/>
    </w:rPr>
  </w:style>
  <w:style w:type="character" w:styleId="5Char">
    <w:name w:val="标题 5 Char"/>
    <w:qFormat/>
    <w:rPr>
      <w:b/>
      <w:spacing w:val="-4"/>
      <w:kern w:val="2"/>
      <w:sz w:val="24"/>
    </w:rPr>
  </w:style>
  <w:style w:type="character" w:styleId="6Char">
    <w:name w:val="标题 6 Char"/>
    <w:qFormat/>
    <w:rPr>
      <w:spacing w:val="-4"/>
      <w:sz w:val="24"/>
    </w:rPr>
  </w:style>
  <w:style w:type="character" w:styleId="InternetLink">
    <w:name w:val="Hyperlink"/>
    <w:rPr>
      <w:color w:val="0000FF"/>
      <w:u w:val="single"/>
    </w:rPr>
  </w:style>
  <w:style w:type="character" w:styleId="Char1">
    <w:name w:val="称呼 Char"/>
    <w:qFormat/>
    <w:rPr>
      <w:kern w:val="2"/>
      <w:sz w:val="28"/>
      <w:szCs w:val="28"/>
    </w:rPr>
  </w:style>
  <w:style w:type="character" w:styleId="Char2">
    <w:name w:val="结束语 Char"/>
    <w:qFormat/>
    <w:rPr>
      <w:kern w:val="2"/>
      <w:sz w:val="28"/>
      <w:szCs w:val="28"/>
    </w:rPr>
  </w:style>
  <w:style w:type="character" w:styleId="2Char1">
    <w:name w:val="正文文本 2 Char"/>
    <w:qFormat/>
    <w:rPr>
      <w:kern w:val="2"/>
      <w:sz w:val="21"/>
      <w:szCs w:val="24"/>
    </w:rPr>
  </w:style>
  <w:style w:type="character" w:styleId="Char3">
    <w:name w:val="脚注文本 Char"/>
    <w:qFormat/>
    <w:rPr>
      <w:kern w:val="2"/>
      <w:sz w:val="18"/>
      <w:szCs w:val="18"/>
    </w:rPr>
  </w:style>
  <w:style w:type="character" w:styleId="FootnoteCharacters">
    <w:name w:val="Footnote Characters"/>
    <w:qFormat/>
    <w:rPr>
      <w:vertAlign w:val="superscript"/>
    </w:rPr>
  </w:style>
  <w:style w:type="character" w:styleId="3Char1">
    <w:name w:val="正文文本 3 Char"/>
    <w:qFormat/>
    <w:rPr>
      <w:kern w:val="2"/>
      <w:sz w:val="16"/>
      <w:szCs w:val="16"/>
    </w:rPr>
  </w:style>
  <w:style w:type="character" w:styleId="7Char">
    <w:name w:val="标题 7 Char"/>
    <w:qFormat/>
    <w:rPr>
      <w:b/>
      <w:bCs/>
      <w:kern w:val="2"/>
      <w:sz w:val="24"/>
      <w:szCs w:val="24"/>
    </w:rPr>
  </w:style>
  <w:style w:type="character" w:styleId="Emphasis">
    <w:name w:val="Emphasis"/>
    <w:qFormat/>
    <w:rPr>
      <w:i w:val="false"/>
      <w:iCs w:val="false"/>
      <w:color w:val="CC0000"/>
    </w:rPr>
  </w:style>
  <w:style w:type="character" w:styleId="Char4">
    <w:name w:val="表头 Char"/>
    <w:qFormat/>
    <w:rPr>
      <w:rFonts w:ascii="Arial" w:hAnsi="Arial" w:eastAsia="黑体;SimHei" w:cs="Arial"/>
      <w:kern w:val="2"/>
      <w:sz w:val="28"/>
      <w:szCs w:val="28"/>
    </w:rPr>
  </w:style>
  <w:style w:type="character" w:styleId="2Char2">
    <w:name w:val="表文2 Char"/>
    <w:qFormat/>
    <w:rPr>
      <w:rFonts w:eastAsia="方正书宋_GBK;Arial Unicode MS"/>
      <w:kern w:val="2"/>
      <w:sz w:val="21"/>
      <w:szCs w:val="21"/>
    </w:rPr>
  </w:style>
  <w:style w:type="character" w:styleId="Char5">
    <w:name w:val="正文文本缩进 Char"/>
    <w:qFormat/>
    <w:rPr>
      <w:kern w:val="2"/>
      <w:sz w:val="21"/>
      <w:szCs w:val="24"/>
    </w:rPr>
  </w:style>
  <w:style w:type="character" w:styleId="Char6">
    <w:name w:val="标题 Char"/>
    <w:qFormat/>
    <w:rPr>
      <w:rFonts w:ascii="Cambria" w:hAnsi="Cambria" w:cs="Cambria"/>
      <w:b/>
      <w:bCs/>
      <w:kern w:val="2"/>
      <w:sz w:val="28"/>
      <w:szCs w:val="32"/>
    </w:rPr>
  </w:style>
  <w:style w:type="character" w:styleId="Char7">
    <w:name w:val="副标题 Char"/>
    <w:qFormat/>
    <w:rPr>
      <w:rFonts w:ascii="Cambria" w:hAnsi="Cambria" w:cs="Cambria"/>
      <w:b/>
      <w:bCs/>
      <w:kern w:val="2"/>
      <w:sz w:val="24"/>
      <w:szCs w:val="32"/>
    </w:rPr>
  </w:style>
  <w:style w:type="character" w:styleId="HTMLChar">
    <w:name w:val="HTML 预设格式 Char"/>
    <w:qFormat/>
    <w:rPr>
      <w:rFonts w:ascii="Arial" w:hAnsi="Arial" w:cs="Arial"/>
      <w:sz w:val="24"/>
      <w:szCs w:val="24"/>
    </w:rPr>
  </w:style>
  <w:style w:type="character" w:styleId="2Char3">
    <w:name w:val="正文文本缩进 2 Char"/>
    <w:qFormat/>
    <w:rPr>
      <w:rFonts w:ascii="Calibri" w:hAnsi="Calibri" w:cs="Calibri"/>
      <w:kern w:val="2"/>
      <w:sz w:val="21"/>
      <w:szCs w:val="22"/>
    </w:rPr>
  </w:style>
  <w:style w:type="character" w:styleId="StrongEmphasis">
    <w:name w:val="Strong Emphasis"/>
    <w:qFormat/>
    <w:rPr>
      <w:b/>
      <w:bCs/>
    </w:rPr>
  </w:style>
  <w:style w:type="character" w:styleId="Char8">
    <w:name w:val="日期 Char"/>
    <w:qFormat/>
    <w:rPr>
      <w:kern w:val="2"/>
      <w:sz w:val="21"/>
      <w:szCs w:val="24"/>
    </w:rPr>
  </w:style>
  <w:style w:type="character" w:styleId="Char9">
    <w:name w:val="纯文本 Char"/>
    <w:qFormat/>
    <w:rPr>
      <w:rFonts w:ascii="宋体;SimSun" w:hAnsi="宋体;SimSun" w:cs="Courier New"/>
      <w:kern w:val="2"/>
      <w:sz w:val="21"/>
      <w:szCs w:val="21"/>
    </w:rPr>
  </w:style>
  <w:style w:type="character" w:styleId="3Char2">
    <w:name w:val="正文文本缩进 3 Char"/>
    <w:qFormat/>
    <w:rPr>
      <w:kern w:val="2"/>
      <w:sz w:val="16"/>
      <w:szCs w:val="16"/>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Cambria" w:hAnsi="Cambria" w:cs="Cambria"/>
      <w:b/>
      <w:bCs/>
      <w:sz w:val="28"/>
      <w:szCs w:val="32"/>
    </w:rPr>
  </w:style>
  <w:style w:type="paragraph" w:styleId="TextBody">
    <w:name w:val="Body Text"/>
    <w:basedOn w:val="Normal"/>
    <w:pPr>
      <w:widowControl/>
      <w:jc w:val="center"/>
    </w:pPr>
    <w:rPr>
      <w:rFonts w:ascii="宋体;SimSun" w:hAnsi="宋体;SimSun"/>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8">
    <w:name w:val="批注框文本"/>
    <w:basedOn w:val="Normal"/>
    <w:qFormat/>
    <w:pPr/>
    <w:rPr>
      <w:sz w:val="18"/>
      <w:szCs w:val="18"/>
    </w:rPr>
  </w:style>
  <w:style w:type="paragraph" w:styleId="ParaCharCharCharCharCharCharChar">
    <w:name w:val="默认段落字体 Para Char Char Char Char Char Char Char"/>
    <w:basedOn w:val="Normal"/>
    <w:qFormat/>
    <w:pPr>
      <w:tabs>
        <w:tab w:val="clear" w:pos="420"/>
        <w:tab w:val="left" w:pos="4665" w:leader="none"/>
        <w:tab w:val="left" w:pos="8970" w:leader="none"/>
      </w:tabs>
      <w:ind w:firstLine="400"/>
    </w:pPr>
    <w:rPr>
      <w:rFonts w:ascii="Tahoma" w:hAnsi="Tahoma" w:cs="Tahoma"/>
      <w:sz w:val="24"/>
      <w:szCs w:val="20"/>
    </w:rPr>
  </w:style>
  <w:style w:type="paragraph" w:styleId="Style9">
    <w:name w:val="称呼"/>
    <w:basedOn w:val="Normal"/>
    <w:next w:val="Normal"/>
    <w:qFormat/>
    <w:pPr/>
    <w:rPr>
      <w:sz w:val="28"/>
      <w:szCs w:val="28"/>
    </w:rPr>
  </w:style>
  <w:style w:type="paragraph" w:styleId="Style10">
    <w:name w:val="结束语"/>
    <w:basedOn w:val="Normal"/>
    <w:qFormat/>
    <w:pPr>
      <w:ind w:start="100" w:hanging="0"/>
    </w:pPr>
    <w:rPr>
      <w:sz w:val="28"/>
      <w:szCs w:val="28"/>
    </w:rPr>
  </w:style>
  <w:style w:type="paragraph" w:styleId="NormalDS">
    <w:name w:val="Normal DS"/>
    <w:basedOn w:val="Normal"/>
    <w:qFormat/>
    <w:pPr>
      <w:widowControl/>
      <w:spacing w:before="0" w:after="260"/>
      <w:jc w:val="start"/>
    </w:pPr>
    <w:rPr>
      <w:rFonts w:ascii="Times" w:hAnsi="Times" w:cs="Times"/>
      <w:kern w:val="0"/>
      <w:sz w:val="23"/>
      <w:szCs w:val="20"/>
    </w:rPr>
  </w:style>
  <w:style w:type="paragraph" w:styleId="2">
    <w:name w:val="正文文本 2"/>
    <w:basedOn w:val="Normal"/>
    <w:qFormat/>
    <w:pPr>
      <w:spacing w:lineRule="auto" w:line="480" w:before="0" w:after="120"/>
    </w:pPr>
    <w:rPr/>
  </w:style>
  <w:style w:type="paragraph" w:styleId="140">
    <w:name w:val="正文140"/>
    <w:basedOn w:val="Normal"/>
    <w:qFormat/>
    <w:pPr>
      <w:widowControl/>
      <w:spacing w:before="280" w:after="280"/>
      <w:jc w:val="start"/>
    </w:pPr>
    <w:rPr>
      <w:rFonts w:ascii="宋体;SimSun" w:hAnsi="宋体;SimSun" w:cs="宋体;SimSun"/>
      <w:kern w:val="0"/>
      <w:sz w:val="24"/>
    </w:rPr>
  </w:style>
  <w:style w:type="paragraph" w:styleId="Footnote">
    <w:name w:val="Footnote Text"/>
    <w:basedOn w:val="Normal"/>
    <w:pPr>
      <w:snapToGrid w:val="false"/>
      <w:jc w:val="start"/>
    </w:pPr>
    <w:rPr>
      <w:sz w:val="18"/>
      <w:szCs w:val="18"/>
    </w:rPr>
  </w:style>
  <w:style w:type="paragraph" w:styleId="3">
    <w:name w:val="正文文本 3"/>
    <w:basedOn w:val="Normal"/>
    <w:qFormat/>
    <w:pPr>
      <w:spacing w:before="0" w:after="120"/>
    </w:pPr>
    <w:rPr>
      <w:sz w:val="16"/>
      <w:szCs w:val="16"/>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cs="Cambria"/>
      <w:color w:val="365F91"/>
      <w:kern w:val="0"/>
      <w:sz w:val="28"/>
      <w:szCs w:val="28"/>
    </w:rPr>
  </w:style>
  <w:style w:type="paragraph" w:styleId="Contents1">
    <w:name w:val="TOC 1"/>
    <w:basedOn w:val="Normal"/>
    <w:next w:val="Normal"/>
    <w:pPr/>
    <w:rPr/>
  </w:style>
  <w:style w:type="paragraph" w:styleId="Style11">
    <w:name w:val="表头"/>
    <w:basedOn w:val="Normal"/>
    <w:qFormat/>
    <w:pPr>
      <w:pageBreakBefore/>
      <w:spacing w:lineRule="atLeast" w:line="360" w:before="240" w:after="120"/>
      <w:jc w:val="center"/>
    </w:pPr>
    <w:rPr>
      <w:rFonts w:ascii="Arial" w:hAnsi="Arial" w:eastAsia="黑体;SimHei" w:cs="Arial"/>
      <w:sz w:val="28"/>
      <w:szCs w:val="28"/>
    </w:rPr>
  </w:style>
  <w:style w:type="paragraph" w:styleId="21">
    <w:name w:val="表文2"/>
    <w:basedOn w:val="Normal"/>
    <w:qFormat/>
    <w:pPr>
      <w:spacing w:lineRule="atLeast" w:line="360"/>
      <w:ind w:start="100" w:end="100" w:hanging="0"/>
    </w:pPr>
    <w:rPr>
      <w:rFonts w:eastAsia="方正书宋_GBK;Arial Unicode MS"/>
      <w:szCs w:val="21"/>
    </w:rPr>
  </w:style>
  <w:style w:type="paragraph" w:styleId="Style12">
    <w:name w:val="正文缩进"/>
    <w:basedOn w:val="Normal"/>
    <w:qFormat/>
    <w:pPr>
      <w:ind w:firstLine="420"/>
    </w:pPr>
    <w:rPr/>
  </w:style>
  <w:style w:type="paragraph" w:styleId="Style13">
    <w:name w:val="表文"/>
    <w:basedOn w:val="Style12"/>
    <w:qFormat/>
    <w:pPr>
      <w:snapToGrid w:val="false"/>
      <w:spacing w:lineRule="atLeast" w:line="280"/>
      <w:ind w:hanging="0"/>
    </w:pPr>
    <w:rPr>
      <w:szCs w:val="20"/>
    </w:rPr>
  </w:style>
  <w:style w:type="paragraph" w:styleId="TextBodyIndent">
    <w:name w:val="Body Text Indent"/>
    <w:basedOn w:val="Normal"/>
    <w:pPr>
      <w:spacing w:before="0" w:after="120"/>
      <w:ind w:start="420" w:hanging="0"/>
    </w:pPr>
    <w:rPr/>
  </w:style>
  <w:style w:type="paragraph" w:styleId="Subtitle">
    <w:name w:val="Subtitle"/>
    <w:basedOn w:val="Normal"/>
    <w:next w:val="Normal"/>
    <w:qFormat/>
    <w:pPr>
      <w:spacing w:lineRule="auto" w:line="312" w:before="240" w:after="60"/>
      <w:jc w:val="start"/>
      <w:outlineLvl w:val="1"/>
    </w:pPr>
    <w:rPr>
      <w:rFonts w:ascii="Cambria" w:hAnsi="Cambria" w:cs="Cambria"/>
      <w:b/>
      <w:bCs/>
      <w:kern w:val="2"/>
      <w:sz w:val="24"/>
      <w:szCs w:val="32"/>
    </w:rPr>
  </w:style>
  <w:style w:type="paragraph" w:styleId="Contents2">
    <w:name w:val="TOC 2"/>
    <w:basedOn w:val="Normal"/>
    <w:next w:val="Normal"/>
    <w:pPr>
      <w:ind w:start="420" w:hanging="0"/>
    </w:pPr>
    <w:rPr/>
  </w:style>
  <w:style w:type="paragraph" w:styleId="Style14">
    <w:name w:val="列出段落"/>
    <w:basedOn w:val="Normal"/>
    <w:qFormat/>
    <w:pPr>
      <w:ind w:firstLine="420"/>
    </w:pPr>
    <w:rPr/>
  </w:style>
  <w:style w:type="paragraph" w:styleId="Style15">
    <w:name w:val="列表项目符号"/>
    <w:basedOn w:val="Normal"/>
    <w:qFormat/>
    <w:pPr>
      <w:keepNext w:val="true"/>
      <w:keepLines/>
      <w:widowControl/>
      <w:numPr>
        <w:ilvl w:val="0"/>
        <w:numId w:val="28"/>
      </w:numPr>
      <w:tabs>
        <w:tab w:val="clear" w:pos="420"/>
        <w:tab w:val="left" w:pos="284" w:leader="none"/>
        <w:tab w:val="left" w:pos="1134" w:leader="none"/>
      </w:tabs>
      <w:spacing w:lineRule="auto" w:line="360" w:before="120" w:after="120"/>
      <w:jc w:val="start"/>
    </w:pPr>
    <w:rPr>
      <w:rFonts w:ascii="宋体;SimSun" w:hAnsi="宋体;SimSun" w:cs="Book Antiqua"/>
      <w:kern w:val="0"/>
      <w:sz w:val="24"/>
      <w:szCs w:val="20"/>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kern w:val="0"/>
      <w:sz w:val="24"/>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22">
    <w:name w:val="正文文本缩进 2"/>
    <w:basedOn w:val="Normal"/>
    <w:qFormat/>
    <w:pPr>
      <w:spacing w:lineRule="auto" w:line="480" w:before="0" w:after="120"/>
      <w:ind w:start="420" w:hanging="0"/>
    </w:pPr>
    <w:rPr>
      <w:rFonts w:ascii="Calibri" w:hAnsi="Calibri" w:cs="Calibri"/>
      <w:szCs w:val="22"/>
    </w:rPr>
  </w:style>
  <w:style w:type="paragraph" w:styleId="Contents3">
    <w:name w:val="TOC 3"/>
    <w:basedOn w:val="Normal"/>
    <w:next w:val="Normal"/>
    <w:pPr>
      <w:ind w:start="840" w:hanging="0"/>
    </w:pPr>
    <w:rPr/>
  </w:style>
  <w:style w:type="paragraph" w:styleId="Style17">
    <w:name w:val="日期"/>
    <w:basedOn w:val="Normal"/>
    <w:next w:val="Normal"/>
    <w:qFormat/>
    <w:pPr>
      <w:ind w:start="100" w:hanging="0"/>
    </w:pPr>
    <w:rPr/>
  </w:style>
  <w:style w:type="paragraph" w:styleId="Style18">
    <w:name w:val="纯文本"/>
    <w:basedOn w:val="Normal"/>
    <w:qFormat/>
    <w:pPr/>
    <w:rPr>
      <w:rFonts w:ascii="宋体;SimSun" w:hAnsi="宋体;SimSun" w:cs="Courier New"/>
      <w:szCs w:val="21"/>
    </w:rPr>
  </w:style>
  <w:style w:type="paragraph" w:styleId="31">
    <w:name w:val="正文文本缩进 3"/>
    <w:basedOn w:val="Normal"/>
    <w:qFormat/>
    <w:pPr>
      <w:spacing w:before="0" w:after="120"/>
      <w:ind w:start="420" w:hanging="0"/>
    </w:pPr>
    <w:rPr>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2015-10-19T16:15:00Z</dcterms:created>
  <dc:creator>何建湘</dc:creator>
  <dc:description/>
  <cp:keywords> </cp:keywords>
  <dc:language>en-US</dc:language>
  <cp:lastModifiedBy>admin</cp:lastModifiedBy>
  <cp:lastPrinted>2009-02-17T13:21:00Z</cp:lastPrinted>
  <dcterms:modified xsi:type="dcterms:W3CDTF">2015-10-19T16:15:00Z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631497</vt:lpwstr>
  </property>
  <property fmtid="{D5CDD505-2E9C-101B-9397-08002B2CF9AE}" pid="3" name="name">
    <vt:lpwstr>员工手册范本（标准、全面、完整、系统、实用）.doc</vt:lpwstr>
  </property>
</Properties>
</file>