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2.0 -->
  <w:body>
    <w:p>
      <w:pPr>
        <w:rPr>
          <w:rFonts w:ascii="SimHei" w:hAnsi="SimHei" w:eastAsia="黑体" w:cs="SimHei"/>
          <w:sz w:val="52"/>
          <w:szCs w:val="52"/>
        </w:rPr>
      </w:pPr>
    </w:p>
    <w:p>
      <w:pPr>
        <w:jc w:val="center"/>
        <w:rPr>
          <w:rFonts w:ascii="SimHei" w:hAnsi="SimHei" w:eastAsia="黑体" w:cs="SimHei"/>
          <w:sz w:val="52"/>
          <w:szCs w:val="52"/>
          <w:lang w:val="en-US" w:eastAsia="zh-CN"/>
        </w:rPr>
      </w:pPr>
      <w:r>
        <w:rPr>
          <w:rFonts w:ascii="SimHei" w:hAnsi="SimHei" w:eastAsia="黑体" w:cs="SimHei"/>
          <w:sz w:val="52"/>
          <w:szCs w:val="52"/>
        </w:rPr>
        <w:t>集团总部组织结构优化草案</w:t>
      </w:r>
      <w:r>
        <w:rPr>
          <w:rFonts w:ascii="SimHei" w:hAnsi="SimHei" w:eastAsia="黑体" w:cs="SimHei"/>
          <w:sz w:val="52"/>
          <w:szCs w:val="52"/>
          <w:lang w:val="en-US" w:eastAsia="zh-CN"/>
        </w:rPr>
        <w:t xml:space="preserve"> </w:t>
      </w:r>
      <w:bookmarkStart w:id="0" w:name="_GoBack"/>
      <w:bookmarkEnd w:id="0"/>
    </w:p>
    <w:p>
      <w:pPr>
        <w:jc w:val="center"/>
        <w:rPr>
          <w:rFonts w:ascii="SimHei" w:hAnsi="SimHei" w:eastAsia="黑体" w:cs="SimHei"/>
          <w:sz w:val="36"/>
          <w:szCs w:val="36"/>
        </w:rPr>
      </w:pPr>
    </w:p>
    <w:sdt>
      <w:sdtPr>
        <w:rPr>
          <w:rFonts w:ascii="SimHei" w:hAnsi="SimHei" w:eastAsia="黑体" w:cs="SimHei"/>
          <w:b w:val="0"/>
          <w:bCs w:val="0"/>
          <w:color w:val="auto"/>
          <w:kern w:val="2"/>
          <w:sz w:val="21"/>
          <w:szCs w:val="22"/>
          <w:lang w:val="zh-CN"/>
        </w:rPr>
        <w:id w:val="23878980"/>
        <w:docPartObj>
          <w:docPartGallery w:val="Table of Contents"/>
          <w:docPartUnique/>
        </w:docPartObj>
      </w:sdtPr>
      <w:sdtEndPr>
        <w:rPr>
          <w:rFonts w:ascii="SimHei" w:hAnsi="SimHei" w:eastAsia="黑体" w:cs="SimHei"/>
          <w:b w:val="0"/>
          <w:bCs w:val="0"/>
          <w:color w:val="auto"/>
          <w:kern w:val="2"/>
          <w:sz w:val="21"/>
          <w:szCs w:val="22"/>
          <w:lang w:val="en-US"/>
        </w:rPr>
      </w:sdtEndPr>
      <w:sdtContent>
        <w:p>
          <w:pPr>
            <w:pStyle w:val="TOCHeading"/>
          </w:pPr>
          <w:r>
            <w:rPr>
              <w:lang w:val="zh-CN"/>
            </w:rPr>
            <w:t>目录</w:t>
          </w:r>
        </w:p>
        <w:p>
          <w:pPr>
            <w:pStyle w:val="TOC1"/>
          </w:pPr>
          <w:r>
            <w:fldChar w:fldCharType="begin"/>
          </w:r>
          <w:r>
            <w:instrText xml:space="preserve"> TOC \o "1-3" \h \z \u </w:instrText>
          </w:r>
          <w:r>
            <w:fldChar w:fldCharType="separate"/>
          </w:r>
          <w:hyperlink w:anchor="_Toc5121385" w:history="1">
            <w:r>
              <w:rPr>
                <w:rStyle w:val="Hyperlink"/>
              </w:rPr>
              <w:t>一、现有组织结构内部分析</w:t>
            </w:r>
            <w:r>
              <w:tab/>
            </w:r>
            <w:r>
              <w:fldChar w:fldCharType="begin"/>
            </w:r>
            <w:r>
              <w:instrText xml:space="preserve"> PAGEREF _Toc5121385 \h </w:instrText>
            </w:r>
            <w:r>
              <w:fldChar w:fldCharType="separate"/>
            </w:r>
            <w:r>
              <w:t>1</w:t>
            </w:r>
            <w:r>
              <w:fldChar w:fldCharType="end"/>
            </w:r>
          </w:hyperlink>
        </w:p>
        <w:p>
          <w:pPr>
            <w:pStyle w:val="TOC1"/>
          </w:pPr>
          <w:hyperlink w:anchor="_Toc5121386" w:history="1">
            <w:r>
              <w:rPr>
                <w:rStyle w:val="Hyperlink"/>
              </w:rPr>
              <w:t>二、集团总部功能定位</w:t>
            </w:r>
            <w:r>
              <w:tab/>
            </w:r>
            <w:r>
              <w:fldChar w:fldCharType="begin"/>
            </w:r>
            <w:r>
              <w:instrText xml:space="preserve"> PAGEREF _Toc5121386 \h </w:instrText>
            </w:r>
            <w:r>
              <w:fldChar w:fldCharType="separate"/>
            </w:r>
            <w:r>
              <w:t>2</w:t>
            </w:r>
            <w:r>
              <w:fldChar w:fldCharType="end"/>
            </w:r>
          </w:hyperlink>
        </w:p>
        <w:p>
          <w:pPr>
            <w:pStyle w:val="TOC1"/>
          </w:pPr>
          <w:hyperlink w:anchor="_Toc5121387" w:history="1">
            <w:r>
              <w:rPr>
                <w:rStyle w:val="Hyperlink"/>
              </w:rPr>
              <w:t>三、集团总部部门组织结构设置</w:t>
            </w:r>
            <w:r>
              <w:tab/>
            </w:r>
            <w:r>
              <w:fldChar w:fldCharType="begin"/>
            </w:r>
            <w:r>
              <w:instrText xml:space="preserve"> PAGEREF _Toc5121387 \h </w:instrText>
            </w:r>
            <w:r>
              <w:fldChar w:fldCharType="separate"/>
            </w:r>
            <w:r>
              <w:t>2</w:t>
            </w:r>
            <w:r>
              <w:fldChar w:fldCharType="end"/>
            </w:r>
          </w:hyperlink>
        </w:p>
        <w:p>
          <w:pPr>
            <w:pStyle w:val="TOC1"/>
          </w:pPr>
          <w:hyperlink w:anchor="_Toc5121388" w:history="1">
            <w:r>
              <w:rPr>
                <w:rStyle w:val="Hyperlink"/>
              </w:rPr>
              <w:t>四、集团总部部门职责及权利说明</w:t>
            </w:r>
            <w:r>
              <w:tab/>
            </w:r>
            <w:r>
              <w:fldChar w:fldCharType="begin"/>
            </w:r>
            <w:r>
              <w:instrText xml:space="preserve"> PAGEREF _Toc5121388 \h </w:instrText>
            </w:r>
            <w:r>
              <w:fldChar w:fldCharType="separate"/>
            </w:r>
            <w:r>
              <w:t>3</w:t>
            </w:r>
            <w:r>
              <w:fldChar w:fldCharType="end"/>
            </w:r>
          </w:hyperlink>
        </w:p>
        <w:p>
          <w:pPr>
            <w:pStyle w:val="TOC1"/>
          </w:pPr>
          <w:hyperlink w:anchor="_Toc5121389" w:history="1">
            <w:r>
              <w:rPr>
                <w:rStyle w:val="Hyperlink"/>
              </w:rPr>
              <w:t>五、集团总部部门岗位设置及人员配置</w:t>
            </w:r>
            <w:r>
              <w:tab/>
            </w:r>
            <w:r>
              <w:fldChar w:fldCharType="begin"/>
            </w:r>
            <w:r>
              <w:instrText xml:space="preserve"> PAGEREF _Toc5121389 \h </w:instrText>
            </w:r>
            <w:r>
              <w:fldChar w:fldCharType="separate"/>
            </w:r>
            <w:r>
              <w:t>8</w:t>
            </w:r>
            <w:r>
              <w:fldChar w:fldCharType="end"/>
            </w:r>
          </w:hyperlink>
        </w:p>
        <w:p>
          <w:pPr>
            <w:pStyle w:val="TOC1"/>
          </w:pPr>
          <w:hyperlink w:anchor="_Toc5121390" w:history="1">
            <w:r>
              <w:rPr>
                <w:rStyle w:val="Hyperlink"/>
              </w:rPr>
              <w:t>六、关键岗位说明：***</w:t>
            </w:r>
            <w:r>
              <w:tab/>
            </w:r>
            <w:r>
              <w:fldChar w:fldCharType="begin"/>
            </w:r>
            <w:r>
              <w:instrText xml:space="preserve"> PAGEREF _Toc5121390 \h </w:instrText>
            </w:r>
            <w:r>
              <w:fldChar w:fldCharType="separate"/>
            </w:r>
            <w:r>
              <w:t>9</w:t>
            </w:r>
            <w:r>
              <w:fldChar w:fldCharType="end"/>
            </w:r>
          </w:hyperlink>
        </w:p>
        <w:p>
          <w:pPr>
            <w:pStyle w:val="TOC1"/>
          </w:pPr>
          <w:hyperlink w:anchor="_Toc5121391" w:history="1">
            <w:r>
              <w:rPr>
                <w:rStyle w:val="Hyperlink"/>
              </w:rPr>
              <w:t>七、管理体系和管理流程设计：***</w:t>
            </w:r>
            <w:r>
              <w:tab/>
            </w:r>
            <w:r>
              <w:fldChar w:fldCharType="begin"/>
            </w:r>
            <w:r>
              <w:instrText xml:space="preserve"> PAGEREF _Toc5121391 \h </w:instrText>
            </w:r>
            <w:r>
              <w:fldChar w:fldCharType="separate"/>
            </w:r>
            <w:r>
              <w:t>9</w:t>
            </w:r>
            <w:r>
              <w:fldChar w:fldCharType="end"/>
            </w:r>
          </w:hyperlink>
        </w:p>
        <w:p>
          <w:pPr>
            <w:spacing w:line="720" w:lineRule="auto"/>
          </w:pPr>
          <w:r>
            <w:fldChar w:fldCharType="end"/>
          </w:r>
        </w:p>
      </w:sdtContent>
    </w:sdt>
    <w:p>
      <w:pPr>
        <w:jc w:val="left"/>
        <w:rPr>
          <w:rFonts w:ascii="SimHei" w:hAnsi="SimHei" w:eastAsia="黑体" w:cs="SimHei"/>
          <w:color w:val="000000"/>
        </w:rPr>
      </w:pPr>
    </w:p>
    <w:p>
      <w:pPr>
        <w:jc w:val="center"/>
        <w:rPr>
          <w:rFonts w:ascii="SimHei" w:hAnsi="SimHei" w:eastAsia="黑体" w:cs="SimHei"/>
          <w:sz w:val="36"/>
          <w:szCs w:val="36"/>
        </w:rPr>
      </w:pPr>
    </w:p>
    <w:p>
      <w:pPr>
        <w:jc w:val="center"/>
        <w:rPr>
          <w:rFonts w:ascii="SimHei" w:hAnsi="SimHei" w:eastAsia="黑体" w:cs="SimHei"/>
          <w:sz w:val="36"/>
          <w:szCs w:val="36"/>
        </w:rPr>
      </w:pPr>
    </w:p>
    <w:p>
      <w:pPr>
        <w:jc w:val="center"/>
        <w:rPr>
          <w:rFonts w:ascii="SimHei" w:hAnsi="SimHei" w:eastAsia="黑体" w:cs="SimHei"/>
          <w:sz w:val="36"/>
          <w:szCs w:val="36"/>
        </w:rPr>
      </w:pPr>
    </w:p>
    <w:p>
      <w:pPr>
        <w:jc w:val="center"/>
        <w:rPr>
          <w:rFonts w:ascii="SimHei" w:hAnsi="SimHei" w:eastAsia="黑体" w:cs="SimHei"/>
          <w:sz w:val="36"/>
          <w:szCs w:val="36"/>
        </w:rPr>
      </w:pPr>
    </w:p>
    <w:p>
      <w:pPr>
        <w:jc w:val="center"/>
        <w:rPr>
          <w:rFonts w:ascii="SimHei" w:hAnsi="SimHei" w:eastAsia="黑体" w:cs="SimHei"/>
          <w:sz w:val="36"/>
          <w:szCs w:val="36"/>
        </w:rPr>
      </w:pPr>
    </w:p>
    <w:p>
      <w:pPr>
        <w:jc w:val="center"/>
        <w:rPr>
          <w:rFonts w:ascii="SimHei" w:hAnsi="SimHei" w:eastAsia="黑体" w:cs="SimHei"/>
          <w:sz w:val="36"/>
          <w:szCs w:val="36"/>
        </w:rPr>
      </w:pPr>
    </w:p>
    <w:p>
      <w:pPr>
        <w:jc w:val="center"/>
        <w:rPr>
          <w:rFonts w:ascii="SimHei" w:hAnsi="SimHei" w:eastAsia="黑体" w:cs="SimHei"/>
          <w:sz w:val="36"/>
          <w:szCs w:val="36"/>
        </w:rPr>
      </w:pPr>
    </w:p>
    <w:p>
      <w:pPr>
        <w:jc w:val="center"/>
        <w:rPr>
          <w:rFonts w:ascii="SimHei" w:hAnsi="SimHei" w:eastAsia="黑体" w:cs="SimHei"/>
          <w:sz w:val="36"/>
          <w:szCs w:val="36"/>
        </w:rPr>
      </w:pPr>
    </w:p>
    <w:p>
      <w:pPr>
        <w:rPr>
          <w:rFonts w:ascii="SimHei" w:hAnsi="SimHei" w:eastAsia="黑体" w:cs="SimHei"/>
          <w:sz w:val="36"/>
          <w:szCs w:val="36"/>
        </w:rPr>
      </w:pPr>
    </w:p>
    <w:p>
      <w:pPr>
        <w:pStyle w:val="Heading1"/>
        <w:rPr>
          <w:sz w:val="28"/>
          <w:szCs w:val="28"/>
        </w:rPr>
      </w:pPr>
      <w:bookmarkStart w:id="1" w:name="_Toc5121385"/>
      <w:r>
        <w:rPr>
          <w:rFonts w:ascii="SimHei" w:hAnsi="SimHei" w:eastAsia="黑体" w:cs="SimHei"/>
          <w:sz w:val="28"/>
          <w:szCs w:val="28"/>
        </w:rPr>
        <w:t>一、现有组织结构内部分析</w:t>
      </w:r>
      <w:bookmarkEnd w:id="1"/>
    </w:p>
    <w:p>
      <w:pPr>
        <w:pStyle w:val="ListParagraph"/>
        <w:numPr>
          <w:ilvl w:val="0"/>
          <w:numId w:val="1"/>
        </w:numPr>
        <w:autoSpaceDE w:val="0"/>
        <w:autoSpaceDN w:val="0"/>
        <w:adjustRightInd w:val="0"/>
        <w:ind w:firstLineChars="0"/>
        <w:rPr>
          <w:rFonts w:ascii="SimHei" w:hAnsi="SimHei" w:eastAsia="黑体" w:cs="SimHei"/>
          <w:b/>
          <w:color w:val="000000"/>
        </w:rPr>
      </w:pPr>
      <w:r>
        <w:rPr>
          <w:rFonts w:ascii="SimHei" w:hAnsi="SimHei" w:eastAsia="黑体" w:cs="SimHei"/>
          <w:b/>
          <w:color w:val="000000"/>
        </w:rPr>
        <w:t>总部功能定位不清，未能充分发挥战略导向作用</w:t>
      </w:r>
    </w:p>
    <w:p>
      <w:pPr>
        <w:autoSpaceDE w:val="0"/>
        <w:autoSpaceDN w:val="0"/>
        <w:adjustRightInd w:val="0"/>
        <w:ind w:left="960"/>
        <w:rPr>
          <w:color w:val="000000"/>
        </w:rPr>
      </w:pPr>
      <w:r>
        <w:rPr>
          <w:rFonts w:ascii="SimHei" w:hAnsi="SimHei" w:eastAsia="黑体" w:cs="SimHei"/>
          <w:color w:val="000000"/>
        </w:rPr>
        <w:t>现在对集团总部的定位似乎更多的是强调最高决策的功能，而发挥整体优势和共享资源的集中管理问题未得到强调，比如资金的统一调度、人力资源统筹的集中管理等。另外，</w:t>
      </w:r>
      <w:r>
        <w:rPr>
          <w:rFonts w:ascii="SimHei" w:hAnsi="SimHei" w:eastAsia="黑体" w:cs="SimHei"/>
          <w:color w:val="000000"/>
        </w:rPr>
        <w:t>由于集团总部部门、岗位和人员都比较弱，董事会对总部设计的职能都未能得到应有的发挥。</w:t>
      </w:r>
      <w:r>
        <w:rPr>
          <w:color w:val="000000"/>
        </w:rPr>
        <w:t xml:space="preserve"> </w:t>
      </w:r>
    </w:p>
    <w:p>
      <w:pPr>
        <w:pStyle w:val="ListParagraph"/>
        <w:numPr>
          <w:ilvl w:val="0"/>
          <w:numId w:val="1"/>
        </w:numPr>
        <w:autoSpaceDE w:val="0"/>
        <w:autoSpaceDN w:val="0"/>
        <w:adjustRightInd w:val="0"/>
        <w:ind w:firstLineChars="0"/>
        <w:rPr>
          <w:rFonts w:ascii="SimHei" w:hAnsi="SimHei" w:eastAsia="黑体" w:cs="SimHei"/>
          <w:b/>
          <w:color w:val="000000"/>
        </w:rPr>
      </w:pPr>
      <w:r>
        <w:rPr>
          <w:rFonts w:ascii="SimHei" w:hAnsi="SimHei" w:eastAsia="黑体" w:cs="SimHei"/>
          <w:b/>
          <w:color w:val="000000"/>
        </w:rPr>
        <w:t>抓不住管理重心和控制不好管理力度</w:t>
      </w:r>
    </w:p>
    <w:p>
      <w:pPr>
        <w:pStyle w:val="ListParagraph"/>
        <w:numPr>
          <w:ilvl w:val="0"/>
          <w:numId w:val="2"/>
        </w:numPr>
        <w:autoSpaceDE w:val="0"/>
        <w:autoSpaceDN w:val="0"/>
        <w:adjustRightInd w:val="0"/>
        <w:ind w:firstLineChars="0"/>
        <w:rPr>
          <w:rFonts w:ascii="SimHei" w:hAnsi="SimHei" w:eastAsia="黑体" w:cs="SimHei"/>
          <w:color w:val="000000"/>
        </w:rPr>
      </w:pPr>
      <w:r>
        <w:rPr>
          <w:rFonts w:ascii="SimHei" w:hAnsi="SimHei" w:eastAsia="黑体" w:cs="SimHei"/>
          <w:color w:val="000000"/>
        </w:rPr>
        <w:t>抓不住工作重点，导致处理关键职能问题人员和精力不足，大部分人员的精力被牵扯在一些琐碎闲杂事务，如：保卫、食堂、车辆登记等；承担了不应承担的职责，如：分公司的投标工作、环保手续问题等。</w:t>
      </w:r>
    </w:p>
    <w:p>
      <w:pPr>
        <w:pStyle w:val="ListParagraph"/>
        <w:numPr>
          <w:ilvl w:val="0"/>
          <w:numId w:val="2"/>
        </w:numPr>
        <w:autoSpaceDE w:val="0"/>
        <w:autoSpaceDN w:val="0"/>
        <w:adjustRightInd w:val="0"/>
        <w:ind w:firstLineChars="0"/>
        <w:rPr>
          <w:rFonts w:ascii="SimHei" w:hAnsi="SimHei" w:eastAsia="黑体" w:cs="SimHei"/>
          <w:color w:val="000000"/>
        </w:rPr>
      </w:pPr>
      <w:r>
        <w:rPr>
          <w:rFonts w:ascii="SimHei" w:hAnsi="SimHei" w:eastAsia="黑体" w:cs="SimHei"/>
          <w:color w:val="000000"/>
        </w:rPr>
        <w:t>管理层级不对等的问题：人事保障部充当了后勤保障的职责。</w:t>
      </w:r>
    </w:p>
    <w:p>
      <w:pPr>
        <w:pStyle w:val="ListParagraph"/>
        <w:numPr>
          <w:ilvl w:val="0"/>
          <w:numId w:val="1"/>
        </w:numPr>
        <w:autoSpaceDE w:val="0"/>
        <w:autoSpaceDN w:val="0"/>
        <w:adjustRightInd w:val="0"/>
        <w:ind w:firstLineChars="0"/>
        <w:rPr>
          <w:rFonts w:ascii="SimHei" w:hAnsi="SimHei" w:eastAsia="黑体" w:cs="SimHei"/>
          <w:b/>
          <w:color w:val="000000"/>
        </w:rPr>
      </w:pPr>
      <w:r>
        <w:rPr>
          <w:rFonts w:ascii="SimHei" w:hAnsi="SimHei" w:eastAsia="黑体" w:cs="SimHei"/>
          <w:b/>
          <w:color w:val="000000"/>
        </w:rPr>
        <w:t>职能划分造成管理不协调，组织功能有待加强</w:t>
      </w:r>
    </w:p>
    <w:p>
      <w:pPr>
        <w:pStyle w:val="ListParagraph"/>
        <w:autoSpaceDE w:val="0"/>
        <w:autoSpaceDN w:val="0"/>
        <w:adjustRightInd w:val="0"/>
        <w:ind w:left="960" w:firstLine="0" w:firstLineChars="0"/>
        <w:rPr>
          <w:rFonts w:ascii="SimHei" w:hAnsi="SimHei" w:eastAsia="黑体" w:cs="SimHei"/>
          <w:color w:val="000000"/>
        </w:rPr>
      </w:pPr>
      <w:r>
        <w:rPr>
          <w:rFonts w:ascii="SimHei" w:hAnsi="SimHei" w:eastAsia="黑体" w:cs="SimHei"/>
          <w:color w:val="000000"/>
        </w:rPr>
        <w:t>相对于集团追求卓越的远大目标来说，目前的组织中战略研究、产业规划、企业文化、信息管理、行政督导管理、人力资源开发等功能显得较为薄弱。而且在集团的组织结构设计中没有显含对这些功能的相应责任部门和相应责任岗位。</w:t>
      </w:r>
    </w:p>
    <w:p>
      <w:pPr>
        <w:pStyle w:val="ListParagraph"/>
        <w:numPr>
          <w:ilvl w:val="0"/>
          <w:numId w:val="1"/>
        </w:numPr>
        <w:autoSpaceDE w:val="0"/>
        <w:autoSpaceDN w:val="0"/>
        <w:adjustRightInd w:val="0"/>
        <w:ind w:firstLineChars="0"/>
        <w:rPr>
          <w:rFonts w:ascii="SimHei" w:hAnsi="SimHei" w:eastAsia="黑体" w:cs="SimHei"/>
          <w:b/>
          <w:color w:val="000000"/>
        </w:rPr>
      </w:pPr>
      <w:r>
        <w:rPr>
          <w:rFonts w:ascii="SimHei" w:hAnsi="SimHei" w:eastAsia="黑体" w:cs="SimHei"/>
          <w:b/>
          <w:color w:val="000000"/>
        </w:rPr>
        <w:t>责任不明，权限不清</w:t>
      </w:r>
    </w:p>
    <w:p>
      <w:pPr>
        <w:pStyle w:val="ListParagraph"/>
        <w:numPr>
          <w:ilvl w:val="0"/>
          <w:numId w:val="3"/>
        </w:numPr>
        <w:autoSpaceDE w:val="0"/>
        <w:autoSpaceDN w:val="0"/>
        <w:adjustRightInd w:val="0"/>
        <w:ind w:firstLineChars="0"/>
        <w:rPr>
          <w:rFonts w:ascii="SimHei" w:hAnsi="SimHei" w:eastAsia="黑体" w:cs="SimHei"/>
          <w:color w:val="000000"/>
        </w:rPr>
      </w:pPr>
      <w:r>
        <w:rPr>
          <w:rFonts w:ascii="SimHei" w:hAnsi="SimHei" w:eastAsia="黑体" w:cs="SimHei"/>
          <w:color w:val="000000"/>
        </w:rPr>
        <w:t>集团</w:t>
      </w:r>
      <w:r>
        <w:rPr>
          <w:rFonts w:ascii="SimHei" w:hAnsi="SimHei" w:eastAsia="黑体" w:cs="SimHei"/>
          <w:color w:val="000000"/>
        </w:rPr>
        <w:t>总部</w:t>
      </w:r>
      <w:r>
        <w:rPr>
          <w:rFonts w:ascii="SimHei" w:hAnsi="SimHei" w:eastAsia="黑体" w:cs="SimHei"/>
          <w:color w:val="000000"/>
        </w:rPr>
        <w:t>岗位设置不十分清晰、明确</w:t>
      </w:r>
      <w:r>
        <w:rPr>
          <w:rFonts w:ascii="SimHei" w:hAnsi="SimHei" w:eastAsia="黑体" w:cs="SimHei"/>
          <w:color w:val="000000"/>
        </w:rPr>
        <w:t>，</w:t>
      </w:r>
      <w:r>
        <w:rPr>
          <w:rFonts w:ascii="SimHei" w:hAnsi="SimHei" w:eastAsia="黑体" w:cs="SimHei"/>
          <w:color w:val="000000"/>
        </w:rPr>
        <w:t>缺少完整的岗位说明书</w:t>
      </w:r>
      <w:r>
        <w:rPr>
          <w:rFonts w:ascii="SimHei" w:hAnsi="SimHei" w:eastAsia="黑体" w:cs="SimHei"/>
          <w:color w:val="000000"/>
        </w:rPr>
        <w:t>， 导致管理部门的员工对应该做的工作并不十分清楚，主要依靠一种惯性和责任心在开展工作。</w:t>
      </w:r>
    </w:p>
    <w:p>
      <w:pPr>
        <w:pStyle w:val="ListParagraph"/>
        <w:numPr>
          <w:ilvl w:val="0"/>
          <w:numId w:val="3"/>
        </w:numPr>
        <w:autoSpaceDE w:val="0"/>
        <w:autoSpaceDN w:val="0"/>
        <w:adjustRightInd w:val="0"/>
        <w:ind w:firstLineChars="0"/>
        <w:rPr>
          <w:rFonts w:ascii="SimHei" w:hAnsi="SimHei" w:eastAsia="黑体" w:cs="SimHei"/>
          <w:color w:val="000000"/>
        </w:rPr>
      </w:pPr>
      <w:r>
        <w:rPr>
          <w:rFonts w:ascii="SimHei" w:hAnsi="SimHei" w:eastAsia="黑体" w:cs="SimHei"/>
          <w:color w:val="000000"/>
        </w:rPr>
        <w:t>集团</w:t>
      </w:r>
      <w:r>
        <w:rPr>
          <w:rFonts w:ascii="SimHei" w:hAnsi="SimHei" w:eastAsia="黑体" w:cs="SimHei"/>
          <w:color w:val="000000"/>
        </w:rPr>
        <w:t>总部</w:t>
      </w:r>
      <w:r>
        <w:rPr>
          <w:rFonts w:ascii="SimHei" w:hAnsi="SimHei" w:eastAsia="黑体" w:cs="SimHei"/>
          <w:color w:val="000000"/>
        </w:rPr>
        <w:t>缺少完整的部门职能说明书 ，不利于各部门顺利地开展工作， 也使高层领导难以准确评价各部门的工作。</w:t>
      </w:r>
    </w:p>
    <w:p>
      <w:pPr>
        <w:pStyle w:val="ListParagraph"/>
        <w:numPr>
          <w:ilvl w:val="0"/>
          <w:numId w:val="3"/>
        </w:numPr>
        <w:autoSpaceDE w:val="0"/>
        <w:autoSpaceDN w:val="0"/>
        <w:adjustRightInd w:val="0"/>
        <w:ind w:firstLineChars="0"/>
        <w:rPr>
          <w:rFonts w:ascii="SimHei" w:hAnsi="SimHei" w:eastAsia="黑体" w:cs="SimHei"/>
          <w:color w:val="000000"/>
        </w:rPr>
      </w:pPr>
      <w:r>
        <w:rPr>
          <w:rFonts w:ascii="SimHei" w:hAnsi="SimHei" w:eastAsia="黑体" w:cs="SimHei"/>
          <w:color w:val="000000"/>
        </w:rPr>
        <w:t>集团总部和子公司之间的管理关系没得到较清晰的界定和理顺，管理流程未能较完整的建立起来。</w:t>
      </w:r>
    </w:p>
    <w:p>
      <w:pPr>
        <w:pStyle w:val="ListParagraph"/>
        <w:numPr>
          <w:ilvl w:val="0"/>
          <w:numId w:val="1"/>
        </w:numPr>
        <w:autoSpaceDE w:val="0"/>
        <w:autoSpaceDN w:val="0"/>
        <w:adjustRightInd w:val="0"/>
        <w:ind w:firstLineChars="0"/>
        <w:rPr>
          <w:rFonts w:ascii="SimHei" w:hAnsi="SimHei" w:eastAsia="黑体" w:cs="SimHei"/>
          <w:b/>
          <w:color w:val="000000"/>
        </w:rPr>
      </w:pPr>
      <w:r>
        <w:rPr>
          <w:rFonts w:ascii="SimHei" w:hAnsi="SimHei" w:eastAsia="黑体" w:cs="SimHei"/>
          <w:b/>
          <w:color w:val="000000"/>
        </w:rPr>
        <w:t>企业文化和经营理念模糊，集团凝聚力下降，平台资源不能发挥</w:t>
      </w:r>
    </w:p>
    <w:p>
      <w:pPr>
        <w:pStyle w:val="BodyTextIndent2"/>
        <w:ind w:left="960" w:firstLine="0"/>
        <w:rPr>
          <w:rFonts w:ascii="SimHei" w:hAnsi="SimHei" w:eastAsia="黑体" w:cs="SimHei"/>
          <w:sz w:val="21"/>
          <w:szCs w:val="22"/>
        </w:rPr>
      </w:pPr>
      <w:r>
        <w:rPr>
          <w:rFonts w:ascii="SimHei" w:hAnsi="SimHei" w:eastAsia="黑体" w:cs="SimHei"/>
          <w:sz w:val="21"/>
          <w:szCs w:val="22"/>
        </w:rPr>
        <w:t>发展目标和经营理念并不太明确、企业文化感受不深，严重影响了集团凝聚力的形成。</w:t>
      </w:r>
    </w:p>
    <w:p>
      <w:pPr>
        <w:autoSpaceDE w:val="0"/>
        <w:autoSpaceDN w:val="0"/>
        <w:adjustRightInd w:val="0"/>
        <w:ind w:firstLine="420" w:firstLineChars="200"/>
        <w:rPr>
          <w:rFonts w:ascii="SimHei" w:hAnsi="SimHei" w:eastAsia="黑体" w:cs="SimHei"/>
          <w:color w:val="000000"/>
        </w:rPr>
      </w:pPr>
      <w:r>
        <w:rPr>
          <w:rFonts w:ascii="SimHei" w:hAnsi="SimHei" w:eastAsia="黑体" w:cs="SimHei"/>
          <w:color w:val="000000"/>
        </w:rPr>
        <w:t>由于上述问题的存在，使得大量重要的管理信息分割、滞后，部门间协调需求大；使总部对下属公司的支持、管理难以到位；使得总部产生工作随意化；使得总部人员的职责和绩效无法考核；使得下属公司对总部应该创造的附加值和贡献率产生疑问。</w:t>
      </w:r>
    </w:p>
    <w:p>
      <w:pPr>
        <w:pStyle w:val="Heading1"/>
        <w:rPr>
          <w:sz w:val="28"/>
          <w:szCs w:val="28"/>
        </w:rPr>
      </w:pPr>
      <w:bookmarkStart w:id="2" w:name="_Toc5121386"/>
      <w:r>
        <w:rPr>
          <w:rFonts w:ascii="SimHei" w:hAnsi="SimHei" w:eastAsia="黑体" w:cs="SimHei"/>
          <w:sz w:val="28"/>
          <w:szCs w:val="28"/>
        </w:rPr>
        <w:t>二、集团总部功能定位</w:t>
      </w:r>
      <w:bookmarkEnd w:id="2"/>
    </w:p>
    <w:p>
      <w:r>
        <w:t xml:space="preserve">    集团总部是集团的决策中心和管理中心，对集团重大和共性问题进行集中决策、集中管理或提供集中服务。集团的集中管理和提供集中服务都是建立在集团整体最佳利益的基础上的</w:t>
      </w:r>
      <w:r>
        <w:rPr>
          <w:rFonts w:ascii="SimHei" w:hAnsi="SimHei" w:eastAsia="黑体" w:cs="SimHei"/>
        </w:rPr>
        <w:t>；因此</w:t>
      </w:r>
      <w:r>
        <w:rPr>
          <w:rFonts w:ascii="SimHei" w:hAnsi="SimHei" w:eastAsia="黑体" w:cs="SimHei"/>
        </w:rPr>
        <w:t>集团总部的功能定位应遵循如下基本原则：</w:t>
      </w:r>
    </w:p>
    <w:p>
      <w:pPr>
        <w:pStyle w:val="ListParagraph"/>
        <w:numPr>
          <w:ilvl w:val="0"/>
          <w:numId w:val="4"/>
        </w:numPr>
        <w:ind w:firstLineChars="0"/>
        <w:jc w:val="left"/>
        <w:rPr>
          <w:rFonts w:ascii="SimHei" w:hAnsi="SimHei" w:eastAsia="黑体" w:cs="SimHei"/>
        </w:rPr>
      </w:pPr>
      <w:r>
        <w:rPr>
          <w:rFonts w:ascii="SimHei" w:hAnsi="SimHei" w:eastAsia="黑体" w:cs="SimHei"/>
        </w:rPr>
        <w:t>发挥整体优势和规模经济，共享资源</w:t>
      </w:r>
    </w:p>
    <w:p>
      <w:pPr>
        <w:pStyle w:val="ListParagraph"/>
        <w:numPr>
          <w:ilvl w:val="0"/>
          <w:numId w:val="4"/>
        </w:numPr>
        <w:ind w:firstLineChars="0"/>
        <w:jc w:val="left"/>
        <w:rPr>
          <w:rFonts w:ascii="SimHei" w:hAnsi="SimHei" w:eastAsia="黑体" w:cs="SimHei"/>
        </w:rPr>
      </w:pPr>
      <w:r>
        <w:rPr>
          <w:rFonts w:ascii="SimHei" w:hAnsi="SimHei" w:eastAsia="黑体" w:cs="SimHei"/>
        </w:rPr>
        <w:t>代表集团总体利益</w:t>
      </w:r>
    </w:p>
    <w:p>
      <w:pPr>
        <w:pStyle w:val="ListParagraph"/>
        <w:numPr>
          <w:ilvl w:val="0"/>
          <w:numId w:val="4"/>
        </w:numPr>
        <w:ind w:firstLineChars="0"/>
        <w:jc w:val="left"/>
        <w:rPr>
          <w:rFonts w:ascii="SimHei" w:hAnsi="SimHei" w:eastAsia="黑体" w:cs="SimHei"/>
        </w:rPr>
      </w:pPr>
      <w:r>
        <w:rPr>
          <w:rFonts w:ascii="SimHei" w:hAnsi="SimHei" w:eastAsia="黑体" w:cs="SimHei"/>
        </w:rPr>
        <w:t>降低交易成本，消除信息缺陷</w:t>
      </w:r>
    </w:p>
    <w:p>
      <w:pPr>
        <w:pStyle w:val="ListParagraph"/>
        <w:numPr>
          <w:ilvl w:val="0"/>
          <w:numId w:val="4"/>
        </w:numPr>
        <w:ind w:firstLineChars="0"/>
        <w:jc w:val="left"/>
        <w:rPr>
          <w:rFonts w:ascii="SimHei" w:hAnsi="SimHei" w:eastAsia="黑体" w:cs="SimHei"/>
        </w:rPr>
      </w:pPr>
      <w:r>
        <w:rPr>
          <w:rFonts w:ascii="SimHei" w:hAnsi="SimHei" w:eastAsia="黑体" w:cs="SimHei"/>
        </w:rPr>
        <w:t>充分发挥各成员企业的积极性和能动性</w:t>
      </w:r>
    </w:p>
    <w:p>
      <w:pPr>
        <w:pStyle w:val="ListParagraph"/>
        <w:ind w:left="420" w:firstLine="0" w:firstLineChars="0"/>
      </w:pPr>
      <w:r>
        <w:rPr>
          <w:rFonts w:ascii="SimHei" w:hAnsi="SimHei" w:eastAsia="黑体" w:cs="SimHei"/>
        </w:rPr>
        <w:t>遵循以上原则，根据5、6月份两次高层工作例会中董事长讲话精神，把集团总部定位为五大中心，即投融资中心、企业监控中心、服务支持中心、宏观调控中心、价值创造中心、制度输出中心。</w:t>
      </w:r>
    </w:p>
    <w:p>
      <w:pPr>
        <w:pStyle w:val="Heading1"/>
        <w:rPr>
          <w:sz w:val="28"/>
          <w:szCs w:val="28"/>
        </w:rPr>
      </w:pPr>
      <w:bookmarkStart w:id="3" w:name="_Toc5121387"/>
      <w:r>
        <w:rPr>
          <w:rFonts w:ascii="SimHei" w:hAnsi="SimHei" w:eastAsia="黑体" w:cs="SimHei"/>
          <w:sz w:val="28"/>
          <w:szCs w:val="28"/>
        </w:rPr>
        <w:t>三、集团总部部门组织结构设置</w:t>
      </w:r>
      <w:bookmarkEnd w:id="3"/>
    </w:p>
    <w:p>
      <w:pPr>
        <w:ind w:firstLine="420" w:firstLineChars="200"/>
      </w:pPr>
      <w:r>
        <w:rPr>
          <w:rFonts w:ascii="SimHei" w:hAnsi="SimHei" w:eastAsia="黑体" w:cs="SimHei"/>
        </w:rPr>
        <w:t>根据集团总部定位，规划总部主要职权和职责如下：</w:t>
      </w:r>
    </w:p>
    <w:p>
      <w:pPr>
        <w:pStyle w:val="ListParagraph"/>
        <w:numPr>
          <w:ilvl w:val="0"/>
          <w:numId w:val="5"/>
        </w:numPr>
        <w:ind w:firstLineChars="0"/>
      </w:pPr>
      <w:r>
        <w:rPr>
          <w:rFonts w:ascii="SimHei" w:hAnsi="SimHei" w:eastAsia="黑体" w:cs="SimHei"/>
        </w:rPr>
        <w:t>确立集团的核心理念体系及企业精神体系。</w:t>
      </w:r>
      <w:r>
        <w:t xml:space="preserve"> </w:t>
      </w:r>
    </w:p>
    <w:p>
      <w:pPr>
        <w:pStyle w:val="ListParagraph"/>
        <w:numPr>
          <w:ilvl w:val="1"/>
          <w:numId w:val="6"/>
        </w:numPr>
        <w:ind w:firstLineChars="0"/>
      </w:pPr>
      <w:r>
        <w:rPr>
          <w:rFonts w:ascii="SimHei" w:hAnsi="SimHei" w:eastAsia="黑体" w:cs="SimHei"/>
        </w:rPr>
        <w:t>确定集团的长期战略目标及中长期发展规划。</w:t>
      </w:r>
      <w:r>
        <w:t xml:space="preserve"> </w:t>
      </w:r>
    </w:p>
    <w:p>
      <w:pPr>
        <w:pStyle w:val="ListParagraph"/>
        <w:numPr>
          <w:ilvl w:val="1"/>
          <w:numId w:val="6"/>
        </w:numPr>
        <w:ind w:firstLineChars="0"/>
      </w:pPr>
      <w:r>
        <w:rPr>
          <w:rFonts w:ascii="SimHei" w:hAnsi="SimHei" w:eastAsia="黑体" w:cs="SimHei"/>
        </w:rPr>
        <w:t>确定集团的管理模式和组织机构方案。</w:t>
      </w:r>
      <w:r>
        <w:t xml:space="preserve"> </w:t>
      </w:r>
    </w:p>
    <w:p>
      <w:pPr>
        <w:pStyle w:val="ListParagraph"/>
        <w:numPr>
          <w:ilvl w:val="1"/>
          <w:numId w:val="6"/>
        </w:numPr>
        <w:ind w:firstLineChars="0"/>
      </w:pPr>
      <w:r>
        <w:rPr>
          <w:rFonts w:ascii="SimHei" w:hAnsi="SimHei" w:eastAsia="黑体" w:cs="SimHei"/>
        </w:rPr>
        <w:t>确定集团各部门以及子公司的职责和权利。</w:t>
      </w:r>
      <w:r>
        <w:t xml:space="preserve"> </w:t>
      </w:r>
    </w:p>
    <w:p>
      <w:pPr>
        <w:pStyle w:val="ListParagraph"/>
        <w:numPr>
          <w:ilvl w:val="1"/>
          <w:numId w:val="6"/>
        </w:numPr>
        <w:ind w:firstLineChars="0"/>
      </w:pPr>
      <w:r>
        <w:rPr>
          <w:rFonts w:ascii="SimHei" w:hAnsi="SimHei" w:eastAsia="黑体" w:cs="SimHei"/>
        </w:rPr>
        <w:t>批准集团和分公司的投资计划和方案，集中管理投资项目的工程建设。</w:t>
      </w:r>
      <w:r>
        <w:t xml:space="preserve"> </w:t>
      </w:r>
    </w:p>
    <w:p>
      <w:pPr>
        <w:pStyle w:val="ListParagraph"/>
        <w:numPr>
          <w:ilvl w:val="1"/>
          <w:numId w:val="6"/>
        </w:numPr>
        <w:ind w:firstLineChars="0"/>
      </w:pPr>
      <w:r>
        <w:rPr>
          <w:rFonts w:ascii="SimHei" w:hAnsi="SimHei" w:eastAsia="黑体" w:cs="SimHei"/>
        </w:rPr>
        <w:t>批准集团及分公司的年度财务预算。</w:t>
      </w:r>
      <w:r>
        <w:t xml:space="preserve"> </w:t>
      </w:r>
    </w:p>
    <w:p>
      <w:pPr>
        <w:pStyle w:val="ListParagraph"/>
        <w:numPr>
          <w:ilvl w:val="1"/>
          <w:numId w:val="6"/>
        </w:numPr>
        <w:ind w:firstLineChars="0"/>
      </w:pPr>
      <w:r>
        <w:rPr>
          <w:rFonts w:ascii="SimHei" w:hAnsi="SimHei" w:eastAsia="黑体" w:cs="SimHei"/>
        </w:rPr>
        <w:t>确定集团全局性的政策、标准和制度。</w:t>
      </w:r>
      <w:r>
        <w:t xml:space="preserve"> </w:t>
      </w:r>
    </w:p>
    <w:p>
      <w:pPr>
        <w:pStyle w:val="ListParagraph"/>
        <w:numPr>
          <w:ilvl w:val="1"/>
          <w:numId w:val="6"/>
        </w:numPr>
        <w:ind w:firstLineChars="0"/>
      </w:pPr>
      <w:r>
        <w:rPr>
          <w:rFonts w:ascii="SimHei" w:hAnsi="SimHei" w:eastAsia="黑体" w:cs="SimHei"/>
        </w:rPr>
        <w:t>依靠决策支持系统确定其他的一些重大方案。</w:t>
      </w:r>
      <w:r>
        <w:t xml:space="preserve"> </w:t>
      </w:r>
    </w:p>
    <w:p>
      <w:pPr>
        <w:ind w:left="420" w:firstLine="420" w:leftChars="200" w:firstLineChars="200"/>
      </w:pPr>
      <w:r>
        <w:rPr>
          <w:rFonts w:ascii="SimHei" w:hAnsi="SimHei" w:eastAsia="黑体" w:cs="SimHei"/>
        </w:rPr>
        <w:t>按照集团总部的定位及其职责，集团总部职能部门设定为五个部门，即集团办公室、企划发展部、投资融资部、人力资源部、审计监察部。</w:t>
      </w:r>
    </w:p>
    <w:p>
      <w:pPr>
        <w:ind w:firstLine="420" w:firstLineChars="200"/>
      </w:pPr>
      <w:r>
        <w:rPr>
          <w:rFonts w:ascii="SimHei" w:hAnsi="SimHei" w:eastAsia="黑体" w:cs="SimHei"/>
        </w:rPr>
        <w:t>各部门基本职能为：</w:t>
      </w:r>
    </w:p>
    <w:p>
      <w:pPr>
        <w:pStyle w:val="ListParagraph"/>
        <w:numPr>
          <w:ilvl w:val="0"/>
          <w:numId w:val="7"/>
        </w:numPr>
        <w:ind w:firstLineChars="0"/>
      </w:pPr>
      <w:r>
        <w:rPr>
          <w:rFonts w:ascii="SimHei" w:hAnsi="SimHei" w:eastAsia="黑体" w:cs="SimHei"/>
        </w:rPr>
        <w:t>集团办公室：承担集团行政、企业文化、企业形象、公关外联、文秘、后勤保障、安全保卫等工作</w:t>
      </w:r>
    </w:p>
    <w:p>
      <w:pPr>
        <w:pStyle w:val="ListParagraph"/>
        <w:numPr>
          <w:ilvl w:val="0"/>
          <w:numId w:val="7"/>
        </w:numPr>
        <w:ind w:firstLineChars="0"/>
      </w:pPr>
      <w:r>
        <w:rPr>
          <w:rFonts w:ascii="SimHei" w:hAnsi="SimHei" w:eastAsia="黑体" w:cs="SimHei"/>
        </w:rPr>
        <w:t>企划发展部：负责公司战略管理、信息管理、产业规划、集团各阶段管理模式设计和优化等工作</w:t>
      </w:r>
    </w:p>
    <w:p>
      <w:pPr>
        <w:pStyle w:val="ListParagraph"/>
        <w:numPr>
          <w:ilvl w:val="0"/>
          <w:numId w:val="7"/>
        </w:numPr>
        <w:ind w:firstLineChars="0"/>
      </w:pPr>
      <w:r>
        <w:rPr>
          <w:rFonts w:ascii="SimHei" w:hAnsi="SimHei" w:eastAsia="黑体" w:cs="SimHei"/>
        </w:rPr>
        <w:t>人力资源部：负责集团人力资源的开发、人员的招聘和培训、劳资管理、考核评价管理、人力资源激励机制设计等</w:t>
      </w:r>
    </w:p>
    <w:p>
      <w:pPr>
        <w:pStyle w:val="ListParagraph"/>
        <w:numPr>
          <w:ilvl w:val="0"/>
          <w:numId w:val="7"/>
        </w:numPr>
        <w:ind w:firstLineChars="0"/>
      </w:pPr>
      <w:r>
        <w:rPr>
          <w:rFonts w:ascii="SimHei" w:hAnsi="SimHei" w:eastAsia="黑体" w:cs="SimHei"/>
        </w:rPr>
        <w:t>投资融资部：负责集团的财务控制、财务预决算、成本管理、会计管理、资金管理、内部结算、资金筹集与平衡、公司理财、财务分析、子公司和分支机构财务控制等。</w:t>
      </w:r>
    </w:p>
    <w:p>
      <w:pPr>
        <w:pStyle w:val="ListParagraph"/>
        <w:numPr>
          <w:ilvl w:val="0"/>
          <w:numId w:val="7"/>
        </w:numPr>
        <w:ind w:firstLineChars="0"/>
      </w:pPr>
      <w:r>
        <w:rPr>
          <w:rFonts w:ascii="SimHei" w:hAnsi="SimHei" w:eastAsia="黑体" w:cs="SimHei"/>
        </w:rPr>
        <w:t xml:space="preserve">审计监察部：发挥集团的监督控制功能，对成员企业的经济活动、财务开支、制度执行等情况进行审计监督，同时负责集团相关法务工作。 </w:t>
      </w:r>
    </w:p>
    <w:p>
      <w:pPr>
        <w:pStyle w:val="ListParagraph"/>
        <w:ind w:left="840" w:firstLine="0" w:firstLineChars="0"/>
      </w:pPr>
    </w:p>
    <w:p>
      <w:pPr>
        <w:pStyle w:val="ListParagraph"/>
        <w:ind w:left="840" w:firstLine="0" w:firstLineChars="0"/>
      </w:pPr>
      <w:r>
        <w:pict>
          <v:group id="_x0000_s1051" o:spid="_x0000_s1025" style="width:224.75pt;height:215.35pt;margin-top:6.65pt;margin-left:90.85pt;mso-height-relative:page;mso-width-relative:page;position:absolute;z-index:251660288" coordorigin="3617,10794" coordsize="4495,4307">
            <v:shapetype id="_x0000_t32" coordsize="21600,21600" o:spt="32" o:oned="t" path="m,l21600,21600e" filled="f">
              <v:path arrowok="t" fillok="f" o:connecttype="none"/>
              <o:lock v:ext="edit" shapetype="t"/>
            </v:shapetype>
            <v:shape id="_x0000_s1028" o:spid="_x0000_s1026" type="#_x0000_t32" style="width:3907;height:12;flip:y;left:3919;position:absolute;top:13036" coordsize="21600,21600" o:connectortype="straight" filled="f">
              <v:path arrowok="t"/>
            </v:shape>
            <v:roundrect id="_x0000_s1034" o:spid="_x0000_s1027" style="width:588;height:1778;left:3617;position:absolute;top:13311" arcsize="10923f" coordsize="21600,21600">
              <v:textbox>
                <w:txbxContent>
                  <w:p>
                    <w:r>
                      <w:rPr>
                        <w:rFonts w:ascii="SimHei" w:hAnsi="SimHei" w:eastAsia="黑体" w:cs="SimHei"/>
                      </w:rPr>
                      <w:t>集团办公室</w:t>
                    </w:r>
                  </w:p>
                </w:txbxContent>
              </v:textbox>
            </v:roundrect>
            <v:group id="_x0000_s1037" o:spid="_x0000_s1028" style="width:1203;height:2242;left:5338;position:absolute;top:10794" coordorigin="4633,10806" coordsize="1203,2242">
              <v:roundrect id="_x0000_s1026" o:spid="_x0000_s1029" style="width:1190;height:426;left:4633;position:absolute;top:10806" arcsize="10923f" coordsize="21600,21600">
                <v:textbox>
                  <w:txbxContent>
                    <w:p>
                      <w:pPr>
                        <w:jc w:val="center"/>
                      </w:pPr>
                      <w:r>
                        <w:rPr>
                          <w:rFonts w:ascii="SimHei" w:hAnsi="SimHei" w:eastAsia="黑体" w:cs="SimHei"/>
                        </w:rPr>
                        <w:t>股东大会</w:t>
                      </w:r>
                    </w:p>
                  </w:txbxContent>
                </v:textbox>
              </v:roundrect>
              <v:shape id="_x0000_s1027" o:spid="_x0000_s1030" type="#_x0000_t32" style="width:13;height:326;left:5234;position:absolute;top:11232" coordsize="21600,21600" o:connectortype="straight" filled="f">
                <v:path arrowok="t"/>
              </v:shape>
              <v:shape id="_x0000_s1032" o:spid="_x0000_s1031" type="#_x0000_t32" style="width:0;height:338;left:5247;position:absolute;top:12710" coordsize="21600,21600" o:connectortype="straight" filled="f">
                <v:path arrowok="t"/>
              </v:shape>
              <v:roundrect id="_x0000_s1035" o:spid="_x0000_s1032" style="width:1190;height:426;left:4646;position:absolute;top:11558" arcsize="10923f" coordsize="21600,21600">
                <v:textbox>
                  <w:txbxContent>
                    <w:p>
                      <w:pPr>
                        <w:jc w:val="center"/>
                      </w:pPr>
                      <w:r>
                        <w:rPr>
                          <w:rFonts w:ascii="SimHei" w:hAnsi="SimHei" w:eastAsia="黑体" w:cs="SimHei"/>
                        </w:rPr>
                        <w:t>董事会</w:t>
                      </w:r>
                    </w:p>
                  </w:txbxContent>
                </v:textbox>
              </v:roundrect>
              <v:roundrect id="_x0000_s1036" o:spid="_x0000_s1033" style="width:1190;height:426;left:4633;position:absolute;top:12284" arcsize="10923f" coordsize="21600,21600">
                <v:textbox>
                  <w:txbxContent>
                    <w:p>
                      <w:pPr>
                        <w:jc w:val="center"/>
                      </w:pPr>
                      <w:r>
                        <w:rPr>
                          <w:rFonts w:ascii="SimHei" w:hAnsi="SimHei" w:eastAsia="黑体" w:cs="SimHei"/>
                        </w:rPr>
                        <w:t>董事长</w:t>
                      </w:r>
                    </w:p>
                  </w:txbxContent>
                </v:textbox>
              </v:roundrect>
            </v:group>
            <v:group id="_x0000_s1050" o:spid="_x0000_s1034" style="width:588;height:2053;left:4646;position:absolute;top:13040" coordorigin="3857,13276" coordsize="588,2053">
              <v:roundrect id="_x0000_s1038" o:spid="_x0000_s1035" style="width:588;height:1778;left:3857;position:absolute;top:13551" arcsize="10923f" coordsize="21600,21600">
                <v:textbox>
                  <w:txbxContent>
                    <w:p>
                      <w:r>
                        <w:rPr>
                          <w:rFonts w:ascii="SimHei" w:hAnsi="SimHei" w:eastAsia="黑体" w:cs="SimHei"/>
                        </w:rPr>
                        <w:t>企划发展部团办公室</w:t>
                      </w:r>
                    </w:p>
                  </w:txbxContent>
                </v:textbox>
              </v:roundrect>
              <v:shape id="_x0000_s1042" o:spid="_x0000_s1036" type="#_x0000_t32" style="width:0;height:275;left:4159;position:absolute;top:13276" coordsize="21600,21600" o:connectortype="straight" filled="f">
                <v:path arrowok="t"/>
              </v:shape>
            </v:group>
            <v:group id="_x0000_s1049" o:spid="_x0000_s1037" style="width:588;height:2053;left:5658;position:absolute;top:13048" coordorigin="4097,13516" coordsize="588,2053">
              <v:roundrect id="_x0000_s1039" o:spid="_x0000_s1038" style="width:588;height:1778;left:4097;position:absolute;top:13791" arcsize="10923f" coordsize="21600,21600">
                <v:textbox>
                  <w:txbxContent>
                    <w:p>
                      <w:r>
                        <w:rPr>
                          <w:rFonts w:ascii="SimHei" w:hAnsi="SimHei" w:eastAsia="黑体" w:cs="SimHei"/>
                        </w:rPr>
                        <w:t>人力资源部</w:t>
                      </w:r>
                    </w:p>
                  </w:txbxContent>
                </v:textbox>
              </v:roundrect>
              <v:shape id="_x0000_s1043" o:spid="_x0000_s1039" type="#_x0000_t32" style="width:0;height:275;left:4399;position:absolute;top:13516" coordsize="21600,21600" o:connectortype="straight" filled="f">
                <v:path arrowok="t"/>
              </v:shape>
            </v:group>
            <v:group id="_x0000_s1048" o:spid="_x0000_s1040" style="width:588;height:2053;left:6575;position:absolute;top:13048" coordorigin="4337,13756" coordsize="588,2053">
              <v:roundrect id="_x0000_s1040" o:spid="_x0000_s1041" style="width:588;height:1778;left:4337;position:absolute;top:14031" arcsize="10923f" coordsize="21600,21600">
                <v:textbox>
                  <w:txbxContent>
                    <w:p>
                      <w:r>
                        <w:rPr>
                          <w:rFonts w:ascii="SimHei" w:hAnsi="SimHei" w:eastAsia="黑体" w:cs="SimHei"/>
                        </w:rPr>
                        <w:t>投资融资部团办公室</w:t>
                      </w:r>
                    </w:p>
                  </w:txbxContent>
                </v:textbox>
              </v:roundrect>
              <v:shape id="_x0000_s1044" o:spid="_x0000_s1042" type="#_x0000_t32" style="width:7;height:275;left:4639;position:absolute;top:13756" coordsize="21600,21600" o:connectortype="straight" filled="f">
                <v:path arrowok="t"/>
              </v:shape>
            </v:group>
            <v:group id="_x0000_s1046" o:spid="_x0000_s1043" style="width:588;height:2053;left:7524;position:absolute;top:13048" coordorigin="4577,13996" coordsize="588,2053">
              <v:roundrect id="_x0000_s1041" o:spid="_x0000_s1044" style="width:588;height:1778;left:4577;position:absolute;top:14271" arcsize="10923f" coordsize="21600,21600">
                <v:textbox>
                  <w:txbxContent>
                    <w:p>
                      <w:r>
                        <w:rPr>
                          <w:rFonts w:ascii="SimHei" w:hAnsi="SimHei" w:eastAsia="黑体" w:cs="SimHei"/>
                        </w:rPr>
                        <w:t>审计监察部</w:t>
                      </w:r>
                    </w:p>
                  </w:txbxContent>
                </v:textbox>
              </v:roundrect>
              <v:shape id="_x0000_s1045" o:spid="_x0000_s1045" type="#_x0000_t32" style="width:0;height:275;left:4879;position:absolute;top:13996" coordsize="21600,21600" o:connectortype="straight" filled="f">
                <v:path arrowok="t"/>
              </v:shape>
            </v:group>
          </v:group>
        </w:pict>
      </w:r>
    </w:p>
    <w:p>
      <w:pPr>
        <w:pStyle w:val="ListParagraph"/>
        <w:ind w:left="840" w:firstLine="0" w:firstLineChars="0"/>
      </w:pPr>
    </w:p>
    <w:p>
      <w:pPr>
        <w:pStyle w:val="ListParagraph"/>
        <w:ind w:left="840" w:firstLine="0" w:firstLineChars="0"/>
      </w:pPr>
    </w:p>
    <w:p>
      <w:pPr>
        <w:pStyle w:val="ListParagraph"/>
        <w:ind w:left="840" w:firstLine="0" w:firstLineChars="0"/>
      </w:pPr>
    </w:p>
    <w:p>
      <w:pPr>
        <w:pStyle w:val="ListParagraph"/>
        <w:ind w:left="840" w:firstLine="0" w:firstLineChars="0"/>
      </w:pPr>
      <w:r>
        <w:pict>
          <v:shape id="_x0000_s1030" o:spid="_x0000_s1046" type="#_x0000_t32" style="width:0;height:14.35pt;margin-top:3.8pt;margin-left:207.6pt;mso-height-relative:page;mso-width-relative:page;position:absolute;z-index:251658240" coordsize="21600,21600" o:connectortype="straight" filled="f">
            <v:path arrowok="t"/>
          </v:shape>
        </w:pict>
      </w:r>
    </w:p>
    <w:p>
      <w:pPr>
        <w:pStyle w:val="ListParagraph"/>
        <w:ind w:left="840" w:firstLine="0" w:firstLineChars="0"/>
      </w:pPr>
    </w:p>
    <w:p>
      <w:pPr>
        <w:pStyle w:val="ListParagraph"/>
        <w:ind w:left="840" w:firstLine="0" w:firstLineChars="0"/>
      </w:pPr>
    </w:p>
    <w:p>
      <w:pPr>
        <w:pStyle w:val="ListParagraph"/>
        <w:ind w:left="840" w:firstLine="0" w:firstLineChars="0"/>
      </w:pPr>
      <w:r>
        <w:pict>
          <v:shape id="_x0000_s1033" o:spid="_x0000_s1047" type="#_x0000_t32" style="width:0;height:13.75pt;margin-top:9.55pt;margin-left:105.95pt;mso-height-relative:page;mso-width-relative:page;position:absolute;z-index:251659264" coordsize="21600,21600" o:connectortype="straight" filled="f">
            <v:path arrowok="t"/>
          </v:shape>
        </w:pict>
      </w:r>
    </w:p>
    <w:p>
      <w:pPr>
        <w:pStyle w:val="ListParagraph"/>
        <w:ind w:left="840" w:firstLine="0" w:firstLineChars="0"/>
      </w:pPr>
    </w:p>
    <w:p>
      <w:pPr>
        <w:pStyle w:val="ListParagraph"/>
        <w:ind w:left="840" w:firstLine="0" w:firstLineChars="0"/>
      </w:pPr>
    </w:p>
    <w:p>
      <w:pPr>
        <w:pStyle w:val="ListParagraph"/>
        <w:ind w:left="840" w:firstLine="0" w:firstLineChars="0"/>
      </w:pPr>
    </w:p>
    <w:p>
      <w:pPr>
        <w:pStyle w:val="Heading1"/>
        <w:rPr>
          <w:sz w:val="28"/>
          <w:szCs w:val="28"/>
        </w:rPr>
      </w:pPr>
      <w:bookmarkStart w:id="4" w:name="_Toc5121388"/>
      <w:r>
        <w:rPr>
          <w:rFonts w:ascii="SimHei" w:hAnsi="SimHei" w:eastAsia="黑体" w:cs="SimHei"/>
          <w:sz w:val="28"/>
          <w:szCs w:val="28"/>
        </w:rPr>
        <w:t>四、集团总部部门职责及权利说明</w:t>
      </w:r>
      <w:bookmarkEnd w:id="4"/>
    </w:p>
    <w:p>
      <w:pPr>
        <w:pStyle w:val="ListParagraph"/>
        <w:numPr>
          <w:ilvl w:val="0"/>
          <w:numId w:val="8"/>
        </w:numPr>
        <w:ind w:firstLineChars="0"/>
        <w:rPr>
          <w:b/>
        </w:rPr>
      </w:pPr>
      <w:r>
        <w:rPr>
          <w:rFonts w:ascii="SimHei" w:hAnsi="SimHei" w:eastAsia="黑体" w:cs="SimHei"/>
          <w:b/>
        </w:rPr>
        <w:t>集团办公室</w:t>
      </w:r>
    </w:p>
    <w:p>
      <w:pPr>
        <w:pStyle w:val="ListParagraph"/>
        <w:ind w:left="1020" w:firstLine="0" w:firstLineChars="0"/>
        <w:rPr>
          <w:b/>
        </w:rPr>
      </w:pPr>
      <w:r>
        <w:rPr>
          <w:rFonts w:ascii="SimHei" w:hAnsi="SimHei" w:eastAsia="黑体" w:cs="SimHei"/>
          <w:b/>
        </w:rPr>
        <w:t>职责</w:t>
      </w:r>
    </w:p>
    <w:p>
      <w:pPr>
        <w:pStyle w:val="ListParagraph"/>
        <w:numPr>
          <w:ilvl w:val="3"/>
          <w:numId w:val="9"/>
        </w:numPr>
        <w:ind w:firstLineChars="0"/>
      </w:pPr>
      <w:r>
        <w:rPr>
          <w:rFonts w:ascii="SimHei" w:hAnsi="SimHei" w:eastAsia="黑体" w:cs="SimHei"/>
        </w:rPr>
        <w:t>根据上级要求和工作需要，拟订集团有关行政、后勤管理、安全保卫、企业文化建设制度及其实施细则，参与公司其他管理制度的审议，并负责汇总和组织宣传、落实集团各项制度；</w:t>
      </w:r>
    </w:p>
    <w:p>
      <w:pPr>
        <w:pStyle w:val="ListParagraph"/>
        <w:numPr>
          <w:ilvl w:val="3"/>
          <w:numId w:val="9"/>
        </w:numPr>
        <w:ind w:firstLineChars="0"/>
      </w:pPr>
      <w:r>
        <w:t>按照上级指示组织起草集团的重要文件、通知、信息公告，并负责集团总部办公会议的记录和整理，负责会议纪要的撰写，并负责集团总部</w:t>
      </w:r>
      <w:r>
        <w:rPr>
          <w:rFonts w:ascii="SimHei" w:hAnsi="SimHei" w:eastAsia="黑体" w:cs="SimHei"/>
        </w:rPr>
        <w:t>相关</w:t>
      </w:r>
      <w:r>
        <w:t xml:space="preserve">办公会议各种决议的跟踪、督办和检查； </w:t>
      </w:r>
    </w:p>
    <w:p>
      <w:pPr>
        <w:pStyle w:val="ListParagraph"/>
        <w:numPr>
          <w:ilvl w:val="3"/>
          <w:numId w:val="9"/>
        </w:numPr>
        <w:ind w:firstLineChars="0"/>
      </w:pPr>
      <w:r>
        <w:rPr>
          <w:rFonts w:ascii="SimHei" w:hAnsi="SimHei" w:eastAsia="黑体" w:cs="SimHei"/>
        </w:rPr>
        <w:t>负责集团月度总体工作计划的拟订和工作总结的撰写；负责成员企业月度、年度工作计划和工作总结的汇总。</w:t>
      </w:r>
    </w:p>
    <w:p>
      <w:pPr>
        <w:pStyle w:val="ListParagraph"/>
        <w:numPr>
          <w:ilvl w:val="3"/>
          <w:numId w:val="9"/>
        </w:numPr>
        <w:ind w:firstLineChars="0"/>
      </w:pPr>
      <w:r>
        <w:rPr>
          <w:rFonts w:ascii="SimHei" w:hAnsi="SimHei" w:eastAsia="黑体" w:cs="SimHei"/>
        </w:rPr>
        <w:t>根据公司档案管理制度（待定），负责集团各类档案的归档管理和查询服务，负责整理保管文书档案，管好集团印鉴和介绍信；</w:t>
      </w:r>
    </w:p>
    <w:p>
      <w:pPr>
        <w:pStyle w:val="ListParagraph"/>
        <w:numPr>
          <w:ilvl w:val="3"/>
          <w:numId w:val="9"/>
        </w:numPr>
        <w:ind w:firstLineChars="0"/>
      </w:pPr>
      <w:r>
        <w:rPr>
          <w:rFonts w:ascii="SimHei" w:hAnsi="SimHei" w:eastAsia="黑体" w:cs="SimHei"/>
        </w:rPr>
        <w:t>负责办理集团的工商登记、变更、年检、注销手续和组织人员办理子公司级的各类年检；</w:t>
      </w:r>
    </w:p>
    <w:p>
      <w:pPr>
        <w:pStyle w:val="ListParagraph"/>
        <w:numPr>
          <w:ilvl w:val="3"/>
          <w:numId w:val="9"/>
        </w:numPr>
        <w:ind w:firstLineChars="0"/>
      </w:pPr>
      <w:r>
        <w:rPr>
          <w:rFonts w:ascii="SimHei" w:hAnsi="SimHei" w:eastAsia="黑体" w:cs="SimHei"/>
        </w:rPr>
        <w:t>负责集团重要会议的会务工作，协助上级做好集团外联公关和和各种社会关系的联络工作，做好与工商、人事、劳资等政府有关部门之间的沟通与联系；并负责公司来客的接待和引导；</w:t>
      </w:r>
    </w:p>
    <w:p>
      <w:pPr>
        <w:pStyle w:val="ListParagraph"/>
        <w:numPr>
          <w:ilvl w:val="3"/>
          <w:numId w:val="9"/>
        </w:numPr>
        <w:ind w:firstLineChars="0"/>
      </w:pPr>
      <w:r>
        <w:rPr>
          <w:rFonts w:ascii="SimHei" w:hAnsi="SimHei" w:eastAsia="黑体" w:cs="SimHei"/>
        </w:rPr>
        <w:t>负责董事长日常使用资料的收集、整理及董事长来客的接待，完成董事长交办的各项事务；</w:t>
      </w:r>
    </w:p>
    <w:p>
      <w:pPr>
        <w:pStyle w:val="ListParagraph"/>
        <w:numPr>
          <w:ilvl w:val="3"/>
          <w:numId w:val="9"/>
        </w:numPr>
        <w:ind w:firstLineChars="0"/>
      </w:pPr>
      <w:r>
        <w:rPr>
          <w:rFonts w:ascii="SimHei" w:hAnsi="SimHei" w:eastAsia="黑体" w:cs="SimHei"/>
        </w:rPr>
        <w:t>负责集团文件的文字核稿修改、格式审查、打印复印，办公用品的印刷，集团内外部文件及信件的收发、传阅，图书资料的采购、登记和借阅管理，总机管理，传真收发和报刊的征订收发；</w:t>
      </w:r>
    </w:p>
    <w:p>
      <w:pPr>
        <w:pStyle w:val="ListParagraph"/>
        <w:numPr>
          <w:ilvl w:val="3"/>
          <w:numId w:val="9"/>
        </w:numPr>
        <w:ind w:firstLineChars="0"/>
      </w:pPr>
      <w:r>
        <w:rPr>
          <w:rFonts w:ascii="SimHei" w:hAnsi="SimHei" w:eastAsia="黑体" w:cs="SimHei"/>
        </w:rPr>
        <w:t>负责集团总部行政车辆和驾驶员的管理，负责组织或督促各部门做好集团各办公场所的清洁卫生工作和集团安全、消防、保卫工作，负责办公用房室内装修、维修，电话、房产证管理和名片印制等行政工作，做好工作用餐、客餐管理；</w:t>
      </w:r>
    </w:p>
    <w:p>
      <w:pPr>
        <w:pStyle w:val="ListParagraph"/>
        <w:numPr>
          <w:ilvl w:val="3"/>
          <w:numId w:val="9"/>
        </w:numPr>
        <w:ind w:firstLineChars="0"/>
      </w:pPr>
      <w:r>
        <w:rPr>
          <w:rFonts w:ascii="SimHei" w:hAnsi="SimHei" w:eastAsia="黑体" w:cs="SimHei"/>
        </w:rPr>
        <w:t>负责集团总部安全保卫工作，保证集团良好的办公环境；</w:t>
      </w:r>
    </w:p>
    <w:p>
      <w:pPr>
        <w:pStyle w:val="ListParagraph"/>
        <w:numPr>
          <w:ilvl w:val="3"/>
          <w:numId w:val="9"/>
        </w:numPr>
        <w:ind w:firstLineChars="0"/>
      </w:pPr>
      <w:r>
        <w:rPr>
          <w:rFonts w:ascii="SimHei" w:hAnsi="SimHei" w:eastAsia="黑体" w:cs="SimHei"/>
        </w:rPr>
        <w:t>指导子公司办公室的行政管理工作</w:t>
      </w:r>
    </w:p>
    <w:p>
      <w:pPr>
        <w:pStyle w:val="ListParagraph"/>
        <w:numPr>
          <w:ilvl w:val="3"/>
          <w:numId w:val="9"/>
        </w:numPr>
        <w:ind w:firstLineChars="0"/>
      </w:pPr>
      <w:r>
        <w:rPr>
          <w:rFonts w:ascii="SimHei" w:hAnsi="SimHei" w:eastAsia="黑体" w:cs="SimHei"/>
        </w:rPr>
        <w:t>配合集团其他部门开展工作，完成上级下达的各项临时性任务。</w:t>
      </w:r>
    </w:p>
    <w:p>
      <w:pPr>
        <w:pStyle w:val="ListParagraph"/>
        <w:ind w:left="1020" w:firstLine="0" w:firstLineChars="0"/>
        <w:rPr>
          <w:b/>
        </w:rPr>
      </w:pPr>
      <w:r>
        <w:rPr>
          <w:rFonts w:ascii="SimHei" w:hAnsi="SimHei" w:eastAsia="黑体" w:cs="SimHei"/>
          <w:b/>
        </w:rPr>
        <w:t>权利</w:t>
      </w:r>
    </w:p>
    <w:p>
      <w:pPr>
        <w:pStyle w:val="ListParagraph"/>
        <w:numPr>
          <w:ilvl w:val="3"/>
          <w:numId w:val="9"/>
        </w:numPr>
        <w:ind w:firstLineChars="0"/>
      </w:pPr>
      <w:r>
        <w:rPr>
          <w:rFonts w:ascii="SimHei" w:hAnsi="SimHei" w:eastAsia="黑体" w:cs="SimHei"/>
        </w:rPr>
        <w:t>根据工作需要，提出部门人员增减、设施投放和所需资金预算的权力；</w:t>
      </w:r>
    </w:p>
    <w:p>
      <w:pPr>
        <w:pStyle w:val="ListParagraph"/>
        <w:numPr>
          <w:ilvl w:val="3"/>
          <w:numId w:val="9"/>
        </w:numPr>
        <w:ind w:firstLineChars="0"/>
      </w:pPr>
      <w:r>
        <w:rPr>
          <w:rFonts w:ascii="SimHei" w:hAnsi="SimHei" w:eastAsia="黑体" w:cs="SimHei"/>
        </w:rPr>
        <w:t xml:space="preserve">对违反集团行政等各项管理制度的部门和人员按集团纪律制度提出处罚建议的权力； </w:t>
      </w:r>
    </w:p>
    <w:p>
      <w:pPr>
        <w:pStyle w:val="ListParagraph"/>
        <w:numPr>
          <w:ilvl w:val="3"/>
          <w:numId w:val="9"/>
        </w:numPr>
        <w:ind w:firstLineChars="0"/>
      </w:pPr>
      <w:r>
        <w:rPr>
          <w:rFonts w:ascii="SimHei" w:hAnsi="SimHei" w:eastAsia="黑体" w:cs="SimHei"/>
        </w:rPr>
        <w:t>根据工作需要，要求其他各部门按本部门要求提供相关信息、资料的权力；</w:t>
      </w:r>
    </w:p>
    <w:p>
      <w:pPr>
        <w:pStyle w:val="ListParagraph"/>
        <w:numPr>
          <w:ilvl w:val="3"/>
          <w:numId w:val="9"/>
        </w:numPr>
        <w:ind w:firstLineChars="0"/>
      </w:pPr>
      <w:r>
        <w:rPr>
          <w:rFonts w:ascii="SimHei" w:hAnsi="SimHei" w:eastAsia="黑体" w:cs="SimHei"/>
        </w:rPr>
        <w:t>根据上级授权，组织或召集集团其他部门协调开展一些综合性工作的权力；</w:t>
      </w:r>
    </w:p>
    <w:p>
      <w:pPr>
        <w:pStyle w:val="ListParagraph"/>
        <w:numPr>
          <w:ilvl w:val="3"/>
          <w:numId w:val="9"/>
        </w:numPr>
        <w:ind w:firstLineChars="0"/>
      </w:pPr>
      <w:r>
        <w:rPr>
          <w:rFonts w:ascii="SimHei" w:hAnsi="SimHei" w:eastAsia="黑体" w:cs="SimHei"/>
        </w:rPr>
        <w:t>要求财务部及其他部门协助做好固定资产采购、管理工作的权力；</w:t>
      </w:r>
    </w:p>
    <w:p>
      <w:pPr>
        <w:pStyle w:val="ListParagraph"/>
        <w:numPr>
          <w:ilvl w:val="3"/>
          <w:numId w:val="9"/>
        </w:numPr>
        <w:ind w:firstLineChars="0"/>
      </w:pPr>
      <w:r>
        <w:rPr>
          <w:rFonts w:ascii="SimHei" w:hAnsi="SimHei" w:eastAsia="黑体" w:cs="SimHei"/>
        </w:rPr>
        <w:t>公章、介绍信的控制权和保管权；</w:t>
      </w:r>
    </w:p>
    <w:p>
      <w:pPr>
        <w:pStyle w:val="ListParagraph"/>
        <w:numPr>
          <w:ilvl w:val="3"/>
          <w:numId w:val="9"/>
        </w:numPr>
        <w:ind w:firstLineChars="0"/>
      </w:pPr>
      <w:r>
        <w:rPr>
          <w:rFonts w:ascii="SimHei" w:hAnsi="SimHei" w:eastAsia="黑体" w:cs="SimHei"/>
        </w:rPr>
        <w:t>要求其他部门明确服务要求及对本部门的工作给予合理配合的权力；</w:t>
      </w:r>
    </w:p>
    <w:p>
      <w:pPr>
        <w:pStyle w:val="ListParagraph"/>
        <w:numPr>
          <w:ilvl w:val="3"/>
          <w:numId w:val="9"/>
        </w:numPr>
        <w:ind w:firstLineChars="0"/>
      </w:pPr>
      <w:r>
        <w:rPr>
          <w:rFonts w:ascii="SimHei" w:hAnsi="SimHei" w:eastAsia="黑体" w:cs="SimHei"/>
        </w:rPr>
        <w:t>在部门职责范围内按制度自主开展各项工作的权力；</w:t>
      </w:r>
    </w:p>
    <w:p>
      <w:pPr>
        <w:pStyle w:val="ListParagraph"/>
        <w:numPr>
          <w:ilvl w:val="3"/>
          <w:numId w:val="9"/>
        </w:numPr>
        <w:ind w:firstLineChars="0"/>
      </w:pPr>
      <w:r>
        <w:rPr>
          <w:rFonts w:ascii="SimHei" w:hAnsi="SimHei" w:eastAsia="黑体" w:cs="SimHei"/>
        </w:rPr>
        <w:t xml:space="preserve">集团各项制度中规定的权力。 </w:t>
      </w:r>
    </w:p>
    <w:p>
      <w:pPr>
        <w:pStyle w:val="ListParagraph"/>
        <w:numPr>
          <w:ilvl w:val="0"/>
          <w:numId w:val="8"/>
        </w:numPr>
        <w:ind w:firstLineChars="0"/>
        <w:rPr>
          <w:b/>
        </w:rPr>
      </w:pPr>
      <w:r>
        <w:rPr>
          <w:rFonts w:ascii="SimHei" w:hAnsi="SimHei" w:eastAsia="黑体" w:cs="SimHei"/>
          <w:b/>
        </w:rPr>
        <w:t>企划发展部</w:t>
      </w:r>
    </w:p>
    <w:p>
      <w:pPr>
        <w:ind w:firstLine="1029" w:firstLineChars="490"/>
        <w:rPr>
          <w:b/>
        </w:rPr>
      </w:pPr>
      <w:r>
        <w:rPr>
          <w:rFonts w:ascii="SimHei" w:hAnsi="SimHei" w:eastAsia="黑体" w:cs="SimHei"/>
          <w:b/>
        </w:rPr>
        <w:t>职责</w:t>
      </w:r>
    </w:p>
    <w:p>
      <w:pPr>
        <w:ind w:firstLine="1029" w:firstLineChars="490"/>
        <w:rPr>
          <w:b/>
        </w:rPr>
      </w:pPr>
      <w:r>
        <w:rPr>
          <w:rFonts w:ascii="SimHei" w:hAnsi="SimHei" w:eastAsia="黑体" w:cs="SimHei"/>
          <w:b/>
        </w:rPr>
        <w:t>战略管理和产业规划</w:t>
      </w:r>
    </w:p>
    <w:p>
      <w:pPr>
        <w:pStyle w:val="ListParagraph"/>
        <w:numPr>
          <w:ilvl w:val="3"/>
          <w:numId w:val="10"/>
        </w:numPr>
        <w:ind w:firstLineChars="0"/>
        <w:rPr>
          <w:b/>
        </w:rPr>
      </w:pPr>
      <w:r>
        <w:rPr>
          <w:rFonts w:ascii="SimHei" w:hAnsi="SimHei" w:eastAsia="黑体" w:cs="SimHei"/>
        </w:rPr>
        <w:t>对国内外政治、经济、产业、技术、金融等宏观环境进行跟踪研究，为高层决策提供依据</w:t>
      </w:r>
    </w:p>
    <w:p>
      <w:pPr>
        <w:pStyle w:val="ListParagraph"/>
        <w:numPr>
          <w:ilvl w:val="3"/>
          <w:numId w:val="10"/>
        </w:numPr>
        <w:ind w:firstLineChars="0"/>
      </w:pPr>
      <w:r>
        <w:rPr>
          <w:rFonts w:ascii="SimHei" w:hAnsi="SimHei" w:eastAsia="黑体" w:cs="SimHei"/>
        </w:rPr>
        <w:t>组织制订集团阶段性发展战略及中长期发展规划，并根据实际情况及时调整</w:t>
      </w:r>
    </w:p>
    <w:p>
      <w:pPr>
        <w:pStyle w:val="ListParagraph"/>
        <w:numPr>
          <w:ilvl w:val="3"/>
          <w:numId w:val="10"/>
        </w:numPr>
        <w:ind w:firstLineChars="0"/>
      </w:pPr>
      <w:r>
        <w:rPr>
          <w:rFonts w:ascii="SimHei" w:hAnsi="SimHei" w:eastAsia="黑体" w:cs="SimHei"/>
        </w:rPr>
        <w:t>根据中长期规划制订集团年度工作纲要和集团年度经营工作计划</w:t>
      </w:r>
    </w:p>
    <w:p>
      <w:pPr>
        <w:pStyle w:val="ListParagraph"/>
        <w:numPr>
          <w:ilvl w:val="3"/>
          <w:numId w:val="10"/>
        </w:numPr>
        <w:ind w:firstLineChars="0"/>
      </w:pPr>
      <w:r>
        <w:rPr>
          <w:rFonts w:ascii="SimHei" w:hAnsi="SimHei" w:eastAsia="黑体" w:cs="SimHei"/>
        </w:rPr>
        <w:t>根据集团各个时期的发展战略及时提出组织结构、管理模式及组织功能的改进和调整方案</w:t>
      </w:r>
    </w:p>
    <w:p>
      <w:pPr>
        <w:pStyle w:val="ListParagraph"/>
        <w:numPr>
          <w:ilvl w:val="3"/>
          <w:numId w:val="10"/>
        </w:numPr>
        <w:ind w:firstLineChars="0"/>
      </w:pPr>
      <w:r>
        <w:rPr>
          <w:rFonts w:ascii="SimHei" w:hAnsi="SimHei" w:eastAsia="黑体" w:cs="SimHei"/>
        </w:rPr>
        <w:t>提出集团各个阶段各种功能培育方案，促使集团核心能力和竞争优势的形成</w:t>
      </w:r>
    </w:p>
    <w:p>
      <w:pPr>
        <w:pStyle w:val="ListParagraph"/>
        <w:numPr>
          <w:ilvl w:val="3"/>
          <w:numId w:val="10"/>
        </w:numPr>
        <w:ind w:firstLineChars="0"/>
      </w:pPr>
      <w:r>
        <w:rPr>
          <w:rFonts w:ascii="SimHei" w:hAnsi="SimHei" w:eastAsia="黑体" w:cs="SimHei"/>
        </w:rPr>
        <w:t>指导子公司和其他分支机构战略规划和经营计划的制订和实施</w:t>
      </w:r>
    </w:p>
    <w:p>
      <w:pPr>
        <w:pStyle w:val="ListParagraph"/>
        <w:numPr>
          <w:ilvl w:val="3"/>
          <w:numId w:val="10"/>
        </w:numPr>
        <w:ind w:firstLineChars="0"/>
      </w:pPr>
      <w:r>
        <w:rPr>
          <w:rFonts w:ascii="SimHei" w:hAnsi="SimHei" w:eastAsia="黑体" w:cs="SimHei"/>
        </w:rPr>
        <w:t>定期对集团及下属机构的经营状况作详细调研，提出诊断报告和改进措施</w:t>
      </w:r>
    </w:p>
    <w:p>
      <w:pPr>
        <w:pStyle w:val="ListParagraph"/>
        <w:numPr>
          <w:ilvl w:val="3"/>
          <w:numId w:val="10"/>
        </w:numPr>
        <w:ind w:firstLineChars="0"/>
      </w:pPr>
      <w:r>
        <w:rPr>
          <w:rFonts w:ascii="SimHei" w:hAnsi="SimHei" w:eastAsia="黑体" w:cs="SimHei"/>
        </w:rPr>
        <w:t>负责集团产业规划，捕猎未来产业投资机会，为集团未来发展储备项目，建立项目库</w:t>
      </w:r>
    </w:p>
    <w:p>
      <w:pPr>
        <w:pStyle w:val="ListParagraph"/>
        <w:numPr>
          <w:ilvl w:val="3"/>
          <w:numId w:val="10"/>
        </w:numPr>
        <w:ind w:firstLineChars="0"/>
      </w:pPr>
      <w:r>
        <w:rPr>
          <w:rFonts w:ascii="SimHei" w:hAnsi="SimHei" w:eastAsia="黑体" w:cs="SimHei"/>
        </w:rPr>
        <w:t>协助投资集团公司进行投资项目的前期调研和投资项目的可行性研究。</w:t>
      </w:r>
    </w:p>
    <w:p>
      <w:pPr>
        <w:pStyle w:val="ListParagraph"/>
        <w:numPr>
          <w:ilvl w:val="3"/>
          <w:numId w:val="10"/>
        </w:numPr>
        <w:ind w:firstLineChars="0"/>
      </w:pPr>
      <w:r>
        <w:rPr>
          <w:rFonts w:ascii="SimHei" w:hAnsi="SimHei" w:eastAsia="黑体" w:cs="SimHei"/>
        </w:rPr>
        <w:t>对集团公司品牌进行战略性管理，树立集团公司品牌形象并不断强化。</w:t>
      </w:r>
    </w:p>
    <w:p>
      <w:pPr>
        <w:ind w:firstLine="1029" w:firstLineChars="490"/>
        <w:rPr>
          <w:b/>
        </w:rPr>
      </w:pPr>
      <w:r>
        <w:rPr>
          <w:rFonts w:ascii="SimHei" w:hAnsi="SimHei" w:eastAsia="黑体" w:cs="SimHei"/>
          <w:b/>
        </w:rPr>
        <w:t>信息管理</w:t>
      </w:r>
    </w:p>
    <w:p>
      <w:pPr>
        <w:pStyle w:val="ListParagraph"/>
        <w:numPr>
          <w:ilvl w:val="3"/>
          <w:numId w:val="11"/>
        </w:numPr>
        <w:ind w:firstLineChars="0"/>
      </w:pPr>
      <w:r>
        <w:rPr>
          <w:rFonts w:ascii="SimHei" w:hAnsi="SimHei" w:eastAsia="黑体" w:cs="SimHei"/>
        </w:rPr>
        <w:t>建立集团管理信息系统，整合集团信息资源，实现集团内部信息共享</w:t>
      </w:r>
    </w:p>
    <w:p>
      <w:pPr>
        <w:pStyle w:val="ListParagraph"/>
        <w:numPr>
          <w:ilvl w:val="3"/>
          <w:numId w:val="11"/>
        </w:numPr>
        <w:ind w:firstLineChars="0"/>
      </w:pPr>
      <w:r>
        <w:rPr>
          <w:rFonts w:ascii="SimHei" w:hAnsi="SimHei" w:eastAsia="黑体" w:cs="SimHei"/>
        </w:rPr>
        <w:t>经常为董事长和各级领导提供特供信息，随时接受各单位、各部门的信息查询要求</w:t>
      </w:r>
    </w:p>
    <w:p>
      <w:pPr>
        <w:pStyle w:val="ListParagraph"/>
        <w:numPr>
          <w:ilvl w:val="3"/>
          <w:numId w:val="11"/>
        </w:numPr>
        <w:ind w:firstLineChars="0"/>
      </w:pPr>
      <w:r>
        <w:rPr>
          <w:rFonts w:ascii="SimHei" w:hAnsi="SimHei" w:eastAsia="黑体" w:cs="SimHei"/>
        </w:rPr>
        <w:t>充分开发和利用</w:t>
      </w:r>
      <w:r>
        <w:t>INTERNET</w:t>
      </w:r>
      <w:r>
        <w:rPr>
          <w:rFonts w:ascii="SimHei" w:hAnsi="SimHei" w:eastAsia="黑体" w:cs="SimHei"/>
        </w:rPr>
        <w:t>等先进的信息技术和手段</w:t>
      </w:r>
    </w:p>
    <w:p>
      <w:pPr>
        <w:pStyle w:val="ListParagraph"/>
        <w:numPr>
          <w:ilvl w:val="3"/>
          <w:numId w:val="11"/>
        </w:numPr>
        <w:ind w:firstLineChars="0"/>
      </w:pPr>
      <w:r>
        <w:rPr>
          <w:rFonts w:ascii="SimHei" w:hAnsi="SimHei" w:eastAsia="黑体" w:cs="SimHei"/>
        </w:rPr>
        <w:t>创办内部信息刊物，荟萃新观念、新方法、新理念、新趋势和各种信息精华，成为集团各级管理和技术人员的学习材料</w:t>
      </w:r>
    </w:p>
    <w:p>
      <w:pPr>
        <w:pStyle w:val="ListParagraph"/>
        <w:numPr>
          <w:ilvl w:val="3"/>
          <w:numId w:val="11"/>
        </w:numPr>
        <w:ind w:firstLineChars="0"/>
      </w:pPr>
      <w:r>
        <w:rPr>
          <w:rFonts w:ascii="SimHei" w:hAnsi="SimHei" w:eastAsia="黑体" w:cs="SimHei"/>
        </w:rPr>
        <w:t>通过各种途径收集集团经营所需信息，经筛选后提供经分析加工的信息资料</w:t>
      </w:r>
    </w:p>
    <w:p>
      <w:pPr>
        <w:pStyle w:val="ListParagraph"/>
        <w:numPr>
          <w:ilvl w:val="3"/>
          <w:numId w:val="11"/>
        </w:numPr>
        <w:ind w:firstLineChars="0"/>
      </w:pPr>
      <w:r>
        <w:rPr>
          <w:rFonts w:ascii="SimHei" w:hAnsi="SimHei" w:eastAsia="黑体" w:cs="SimHei"/>
        </w:rPr>
        <w:t>选择和开发集团经营所需的应用软件，负责集团计算机系统的日常维护</w:t>
      </w:r>
    </w:p>
    <w:p>
      <w:pPr>
        <w:ind w:firstLine="1029" w:firstLineChars="490"/>
        <w:rPr>
          <w:b/>
        </w:rPr>
      </w:pPr>
      <w:r>
        <w:rPr>
          <w:rFonts w:ascii="SimHei" w:hAnsi="SimHei" w:eastAsia="黑体" w:cs="SimHei"/>
          <w:b/>
        </w:rPr>
        <w:t>部门权力</w:t>
      </w:r>
    </w:p>
    <w:p>
      <w:pPr>
        <w:pStyle w:val="ListParagraph"/>
        <w:numPr>
          <w:ilvl w:val="3"/>
          <w:numId w:val="12"/>
        </w:numPr>
        <w:ind w:firstLineChars="0"/>
      </w:pPr>
      <w:r>
        <w:rPr>
          <w:rFonts w:ascii="SimHei" w:hAnsi="SimHei" w:eastAsia="黑体" w:cs="SimHei"/>
        </w:rPr>
        <w:t>根据工作需要，提出部门人员增减、设施投放和所需资金预算的权力；</w:t>
      </w:r>
    </w:p>
    <w:p>
      <w:pPr>
        <w:pStyle w:val="ListParagraph"/>
        <w:numPr>
          <w:ilvl w:val="3"/>
          <w:numId w:val="12"/>
        </w:numPr>
        <w:ind w:firstLineChars="0"/>
      </w:pPr>
      <w:r>
        <w:rPr>
          <w:rFonts w:ascii="SimHei" w:hAnsi="SimHei" w:eastAsia="黑体" w:cs="SimHei"/>
        </w:rPr>
        <w:t>对违反公司行政等各项管理制度的部门和人员按公司纪律制度提出处罚建议的权力；</w:t>
      </w:r>
    </w:p>
    <w:p>
      <w:pPr>
        <w:pStyle w:val="ListParagraph"/>
        <w:numPr>
          <w:ilvl w:val="3"/>
          <w:numId w:val="12"/>
        </w:numPr>
        <w:ind w:firstLineChars="0"/>
      </w:pPr>
      <w:r>
        <w:rPr>
          <w:rFonts w:ascii="SimHei" w:hAnsi="SimHei" w:eastAsia="黑体" w:cs="SimHei"/>
        </w:rPr>
        <w:t>根据工作需要，要求其他各部门按本部门要求提供相关信息、资料的权力；</w:t>
      </w:r>
    </w:p>
    <w:p>
      <w:pPr>
        <w:pStyle w:val="ListParagraph"/>
        <w:numPr>
          <w:ilvl w:val="3"/>
          <w:numId w:val="12"/>
        </w:numPr>
        <w:ind w:firstLineChars="0"/>
      </w:pPr>
      <w:r>
        <w:rPr>
          <w:rFonts w:ascii="SimHei" w:hAnsi="SimHei" w:eastAsia="黑体" w:cs="SimHei"/>
        </w:rPr>
        <w:t>根据上级授权，组织或召集公司其他部门协调开展一些综合性工作的权力；</w:t>
      </w:r>
    </w:p>
    <w:p>
      <w:pPr>
        <w:pStyle w:val="ListParagraph"/>
        <w:numPr>
          <w:ilvl w:val="3"/>
          <w:numId w:val="12"/>
        </w:numPr>
        <w:ind w:firstLineChars="0"/>
      </w:pPr>
      <w:r>
        <w:rPr>
          <w:rFonts w:ascii="SimHei" w:hAnsi="SimHei" w:eastAsia="黑体" w:cs="SimHei"/>
        </w:rPr>
        <w:t>对集团所有项目投资具有审核权，根据集团产业规划对不符合集团战略规划和经济不合理的项目具有否决权；</w:t>
      </w:r>
    </w:p>
    <w:p>
      <w:pPr>
        <w:pStyle w:val="ListParagraph"/>
        <w:numPr>
          <w:ilvl w:val="3"/>
          <w:numId w:val="12"/>
        </w:numPr>
        <w:ind w:firstLineChars="0"/>
      </w:pPr>
      <w:r>
        <w:rPr>
          <w:rFonts w:ascii="SimHei" w:hAnsi="SimHei" w:eastAsia="黑体" w:cs="SimHei"/>
        </w:rPr>
        <w:t>要求其他部门明确服务要求及对本部门的工作给予合理配合的权力；</w:t>
      </w:r>
    </w:p>
    <w:p>
      <w:pPr>
        <w:pStyle w:val="ListParagraph"/>
        <w:numPr>
          <w:ilvl w:val="3"/>
          <w:numId w:val="12"/>
        </w:numPr>
        <w:ind w:firstLineChars="0"/>
      </w:pPr>
      <w:r>
        <w:rPr>
          <w:rFonts w:ascii="SimHei" w:hAnsi="SimHei" w:eastAsia="黑体" w:cs="SimHei"/>
        </w:rPr>
        <w:t>在部门职责范围内按制度自主开展各项工作的权力；</w:t>
      </w:r>
    </w:p>
    <w:p>
      <w:pPr>
        <w:pStyle w:val="ListParagraph"/>
        <w:numPr>
          <w:ilvl w:val="3"/>
          <w:numId w:val="12"/>
        </w:numPr>
        <w:ind w:firstLineChars="0"/>
      </w:pPr>
      <w:r>
        <w:rPr>
          <w:rFonts w:ascii="SimHei" w:hAnsi="SimHei" w:eastAsia="黑体" w:cs="SimHei"/>
        </w:rPr>
        <w:t xml:space="preserve">公司各项制度中规定的权力。 </w:t>
      </w:r>
    </w:p>
    <w:p>
      <w:pPr>
        <w:pStyle w:val="ListParagraph"/>
        <w:numPr>
          <w:ilvl w:val="0"/>
          <w:numId w:val="8"/>
        </w:numPr>
        <w:ind w:firstLineChars="0"/>
        <w:rPr>
          <w:b/>
        </w:rPr>
      </w:pPr>
      <w:r>
        <w:rPr>
          <w:rFonts w:ascii="SimHei" w:hAnsi="SimHei" w:eastAsia="黑体" w:cs="SimHei"/>
          <w:b/>
        </w:rPr>
        <w:t>人力资源部</w:t>
      </w:r>
    </w:p>
    <w:p>
      <w:pPr>
        <w:ind w:firstLine="1029" w:firstLineChars="490"/>
        <w:rPr>
          <w:b/>
        </w:rPr>
      </w:pPr>
      <w:r>
        <w:rPr>
          <w:rFonts w:ascii="SimHei" w:hAnsi="SimHei" w:eastAsia="黑体" w:cs="SimHei"/>
          <w:b/>
        </w:rPr>
        <w:t>职责</w:t>
      </w:r>
    </w:p>
    <w:p>
      <w:pPr>
        <w:pStyle w:val="ListParagraph"/>
        <w:numPr>
          <w:ilvl w:val="3"/>
          <w:numId w:val="13"/>
        </w:numPr>
        <w:ind w:firstLineChars="0"/>
      </w:pPr>
      <w:r>
        <w:rPr>
          <w:rFonts w:ascii="SimHei" w:hAnsi="SimHei" w:eastAsia="黑体" w:cs="SimHei"/>
        </w:rPr>
        <w:t xml:space="preserve">根据集团发展战略，组织拟订集团人力资源发展规划和集团年度人事工作计划； </w:t>
      </w:r>
    </w:p>
    <w:p>
      <w:pPr>
        <w:pStyle w:val="ListParagraph"/>
        <w:numPr>
          <w:ilvl w:val="3"/>
          <w:numId w:val="13"/>
        </w:numPr>
        <w:ind w:firstLineChars="0"/>
      </w:pPr>
      <w:r>
        <w:rPr>
          <w:rFonts w:ascii="SimHei" w:hAnsi="SimHei" w:eastAsia="黑体" w:cs="SimHei"/>
        </w:rPr>
        <w:t xml:space="preserve">从塑造企业文化的高度开展人力资源工作，协助办公室推进企业文化在企业内部的塑造、渗透和共鸣，拓宽内部沟通渠道，营造良好的公司氛围，提高员工的凝聚力和士气； </w:t>
      </w:r>
    </w:p>
    <w:p>
      <w:pPr>
        <w:pStyle w:val="ListParagraph"/>
        <w:numPr>
          <w:ilvl w:val="3"/>
          <w:numId w:val="13"/>
        </w:numPr>
        <w:ind w:firstLineChars="0"/>
      </w:pPr>
      <w:r>
        <w:rPr>
          <w:rFonts w:ascii="SimHei" w:hAnsi="SimHei" w:eastAsia="黑体" w:cs="SimHei"/>
        </w:rPr>
        <w:t xml:space="preserve">组织设计集团的考核评价模式，并按照阶段性具体情况做好调整，不断完善； </w:t>
      </w:r>
    </w:p>
    <w:p>
      <w:pPr>
        <w:pStyle w:val="ListParagraph"/>
        <w:numPr>
          <w:ilvl w:val="3"/>
          <w:numId w:val="13"/>
        </w:numPr>
        <w:ind w:firstLineChars="0"/>
      </w:pPr>
      <w:r>
        <w:rPr>
          <w:rFonts w:ascii="SimHei" w:hAnsi="SimHei" w:eastAsia="黑体" w:cs="SimHei"/>
        </w:rPr>
        <w:t xml:space="preserve">根据集团年度经营计划和董事长的要求，组织相关部门和工作小组拟订各部门、各分支机构和公司高级管理人员年度考核指标； </w:t>
      </w:r>
    </w:p>
    <w:p>
      <w:pPr>
        <w:pStyle w:val="ListParagraph"/>
        <w:numPr>
          <w:ilvl w:val="3"/>
          <w:numId w:val="13"/>
        </w:numPr>
        <w:ind w:firstLineChars="0"/>
      </w:pPr>
      <w:r>
        <w:rPr>
          <w:rFonts w:ascii="SimHei" w:hAnsi="SimHei" w:eastAsia="黑体" w:cs="SimHei"/>
        </w:rPr>
        <w:t xml:space="preserve">负责根据各部门的月（季）度工作计划和集团阶段性工作要求，组织拟定各部门月（季）度任务书和考核表； </w:t>
      </w:r>
    </w:p>
    <w:p>
      <w:pPr>
        <w:pStyle w:val="ListParagraph"/>
        <w:numPr>
          <w:ilvl w:val="3"/>
          <w:numId w:val="13"/>
        </w:numPr>
        <w:ind w:firstLineChars="0"/>
      </w:pPr>
      <w:r>
        <w:rPr>
          <w:rFonts w:ascii="SimHei" w:hAnsi="SimHei" w:eastAsia="黑体" w:cs="SimHei"/>
        </w:rPr>
        <w:t>做好对绩效考核工作的组织、协调、实施和监督管理，并负责考核结果的汇总、核实以及受理、查处对考核结果的投诉；</w:t>
      </w:r>
      <w:r>
        <w:t xml:space="preserve"> </w:t>
      </w:r>
    </w:p>
    <w:p>
      <w:pPr>
        <w:pStyle w:val="ListParagraph"/>
        <w:numPr>
          <w:ilvl w:val="3"/>
          <w:numId w:val="13"/>
        </w:numPr>
        <w:ind w:firstLineChars="0"/>
      </w:pPr>
      <w:r>
        <w:rPr>
          <w:rFonts w:ascii="SimHei" w:hAnsi="SimHei" w:eastAsia="黑体" w:cs="SimHei"/>
        </w:rPr>
        <w:t>根据人力资源管理制度和集团发展需要，做好集团内管理和技术岗位员工的招聘、定岗定编、部门间调配、辞退、职称评聘、职级评定、考核奖惩、考勤管理、出差管理、人事档案管理和能力考察等工作以及退休人员的日常管理和服务；</w:t>
      </w:r>
      <w:r>
        <w:t xml:space="preserve"> </w:t>
      </w:r>
    </w:p>
    <w:p>
      <w:pPr>
        <w:pStyle w:val="ListParagraph"/>
        <w:numPr>
          <w:ilvl w:val="3"/>
          <w:numId w:val="13"/>
        </w:numPr>
        <w:ind w:firstLineChars="0"/>
      </w:pPr>
      <w:r>
        <w:rPr>
          <w:rFonts w:ascii="SimHei" w:hAnsi="SimHei" w:eastAsia="黑体" w:cs="SimHei"/>
        </w:rPr>
        <w:t>对子公司和其他分支机构生产作业类和简单劳动类员工的聘用条件提出标准，并对员工的招聘质量进行把关；</w:t>
      </w:r>
      <w:r>
        <w:t xml:space="preserve"> </w:t>
      </w:r>
    </w:p>
    <w:p>
      <w:pPr>
        <w:pStyle w:val="ListParagraph"/>
        <w:numPr>
          <w:ilvl w:val="3"/>
          <w:numId w:val="13"/>
        </w:numPr>
        <w:ind w:firstLineChars="0"/>
      </w:pPr>
      <w:r>
        <w:rPr>
          <w:rFonts w:ascii="SimHei" w:hAnsi="SimHei" w:eastAsia="黑体" w:cs="SimHei"/>
        </w:rPr>
        <w:t>按照集团的发展要求，做好集团的培训管理工作，包括制定培训计划、确定培训内容、组织实施培训、学员管理、效果评价等工作，营造学习型的组织；</w:t>
      </w:r>
    </w:p>
    <w:p>
      <w:pPr>
        <w:pStyle w:val="ListParagraph"/>
        <w:numPr>
          <w:ilvl w:val="3"/>
          <w:numId w:val="13"/>
        </w:numPr>
        <w:ind w:firstLineChars="0"/>
      </w:pPr>
      <w:r>
        <w:rPr>
          <w:rFonts w:ascii="SimHei" w:hAnsi="SimHei" w:eastAsia="黑体" w:cs="SimHei"/>
        </w:rPr>
        <w:t xml:space="preserve">根据集团年度经营计划和董事长的要求，组织相关部门和工作小组拟订各部门、各分支机构和公司外派高级管理人员年度考核指标； </w:t>
      </w:r>
    </w:p>
    <w:p>
      <w:pPr>
        <w:pStyle w:val="ListParagraph"/>
        <w:numPr>
          <w:ilvl w:val="3"/>
          <w:numId w:val="13"/>
        </w:numPr>
        <w:ind w:firstLineChars="0"/>
      </w:pPr>
      <w:r>
        <w:rPr>
          <w:rFonts w:ascii="SimHei" w:hAnsi="SimHei" w:eastAsia="黑体" w:cs="SimHei"/>
        </w:rPr>
        <w:t>根据集团报酬激励制度和考核结果，按规定进行员工的工资调整、职级晋升和奖金分配等工作，并根据集团员工福利计划，为员工办理各类保险和审核各类福利费的支出；</w:t>
      </w:r>
      <w:r>
        <w:t xml:space="preserve"> </w:t>
      </w:r>
    </w:p>
    <w:p>
      <w:pPr>
        <w:pStyle w:val="ListParagraph"/>
        <w:numPr>
          <w:ilvl w:val="3"/>
          <w:numId w:val="13"/>
        </w:numPr>
        <w:ind w:firstLineChars="0"/>
      </w:pPr>
      <w:r>
        <w:rPr>
          <w:rFonts w:ascii="SimHei" w:hAnsi="SimHei" w:eastAsia="黑体" w:cs="SimHei"/>
        </w:rPr>
        <w:t xml:space="preserve">不断探索、研究最佳的激励机制，设计并不断完善集团的激励政策； </w:t>
      </w:r>
    </w:p>
    <w:p>
      <w:pPr>
        <w:ind w:firstLine="1029" w:firstLineChars="490"/>
        <w:rPr>
          <w:b/>
        </w:rPr>
      </w:pPr>
      <w:r>
        <w:rPr>
          <w:rFonts w:ascii="SimHei" w:hAnsi="SimHei" w:eastAsia="黑体" w:cs="SimHei"/>
          <w:b/>
        </w:rPr>
        <w:t>部门权力</w:t>
      </w:r>
      <w:r>
        <w:rPr>
          <w:b/>
        </w:rPr>
        <w:t xml:space="preserve"> </w:t>
      </w:r>
    </w:p>
    <w:p>
      <w:pPr>
        <w:pStyle w:val="ListParagraph"/>
        <w:numPr>
          <w:ilvl w:val="3"/>
          <w:numId w:val="14"/>
        </w:numPr>
        <w:ind w:firstLineChars="0"/>
      </w:pPr>
      <w:r>
        <w:rPr>
          <w:rFonts w:ascii="SimHei" w:hAnsi="SimHei" w:eastAsia="黑体" w:cs="SimHei"/>
        </w:rPr>
        <w:t xml:space="preserve">根据工作需要，提出部门人员增减、设施投放和所需资金预算的权力； </w:t>
      </w:r>
    </w:p>
    <w:p>
      <w:pPr>
        <w:pStyle w:val="ListParagraph"/>
        <w:numPr>
          <w:ilvl w:val="3"/>
          <w:numId w:val="14"/>
        </w:numPr>
        <w:ind w:firstLineChars="0"/>
      </w:pPr>
      <w:r>
        <w:rPr>
          <w:rFonts w:ascii="SimHei" w:hAnsi="SimHei" w:eastAsia="黑体" w:cs="SimHei"/>
        </w:rPr>
        <w:t>根据工作需要，要求其他各部门按本部门要求提供相关信息、资料的权力；</w:t>
      </w:r>
    </w:p>
    <w:p>
      <w:pPr>
        <w:pStyle w:val="ListParagraph"/>
        <w:numPr>
          <w:ilvl w:val="3"/>
          <w:numId w:val="14"/>
        </w:numPr>
        <w:ind w:firstLineChars="0"/>
      </w:pPr>
      <w:r>
        <w:rPr>
          <w:rFonts w:ascii="SimHei" w:hAnsi="SimHei" w:eastAsia="黑体" w:cs="SimHei"/>
        </w:rPr>
        <w:t>根据上级授权，组织或召集公司其他部门协调开展一些综合性工作的权力；</w:t>
      </w:r>
      <w:r>
        <w:t xml:space="preserve"> </w:t>
      </w:r>
    </w:p>
    <w:p>
      <w:pPr>
        <w:pStyle w:val="ListParagraph"/>
        <w:numPr>
          <w:ilvl w:val="3"/>
          <w:numId w:val="14"/>
        </w:numPr>
        <w:ind w:firstLineChars="0"/>
      </w:pPr>
      <w:r>
        <w:rPr>
          <w:rFonts w:ascii="SimHei" w:hAnsi="SimHei" w:eastAsia="黑体" w:cs="SimHei"/>
        </w:rPr>
        <w:t>根据公司考核管理制度，组织协调、贯彻落实公司考核制度的权力</w:t>
      </w:r>
      <w:r>
        <w:t xml:space="preserve"> </w:t>
      </w:r>
    </w:p>
    <w:p>
      <w:pPr>
        <w:pStyle w:val="ListParagraph"/>
        <w:numPr>
          <w:ilvl w:val="3"/>
          <w:numId w:val="14"/>
        </w:numPr>
        <w:ind w:firstLineChars="0"/>
      </w:pPr>
      <w:r>
        <w:rPr>
          <w:rFonts w:ascii="SimHei" w:hAnsi="SimHei" w:eastAsia="黑体" w:cs="SimHei"/>
        </w:rPr>
        <w:t>要求其他部门明确服务要求及对本部门的工作给予合理配合的权力；</w:t>
      </w:r>
      <w:r>
        <w:t xml:space="preserve"> </w:t>
      </w:r>
    </w:p>
    <w:p>
      <w:pPr>
        <w:pStyle w:val="ListParagraph"/>
        <w:numPr>
          <w:ilvl w:val="3"/>
          <w:numId w:val="14"/>
        </w:numPr>
        <w:ind w:firstLineChars="0"/>
      </w:pPr>
      <w:r>
        <w:rPr>
          <w:rFonts w:ascii="SimHei" w:hAnsi="SimHei" w:eastAsia="黑体" w:cs="SimHei"/>
        </w:rPr>
        <w:t>在部门职责范围内按制度自主开展各项工作的权力；</w:t>
      </w:r>
      <w:r>
        <w:t xml:space="preserve"> </w:t>
      </w:r>
    </w:p>
    <w:p>
      <w:pPr>
        <w:pStyle w:val="ListParagraph"/>
        <w:numPr>
          <w:ilvl w:val="3"/>
          <w:numId w:val="14"/>
        </w:numPr>
        <w:ind w:firstLineChars="0"/>
      </w:pPr>
      <w:r>
        <w:rPr>
          <w:rFonts w:ascii="SimHei" w:hAnsi="SimHei" w:eastAsia="黑体" w:cs="SimHei"/>
        </w:rPr>
        <w:t>公司各项制度中规定的权力。</w:t>
      </w:r>
      <w:r>
        <w:t xml:space="preserve">  </w:t>
      </w:r>
    </w:p>
    <w:p>
      <w:pPr>
        <w:pStyle w:val="ListParagraph"/>
        <w:numPr>
          <w:ilvl w:val="0"/>
          <w:numId w:val="8"/>
        </w:numPr>
        <w:ind w:firstLineChars="0"/>
        <w:rPr>
          <w:b/>
        </w:rPr>
      </w:pPr>
      <w:r>
        <w:rPr>
          <w:rFonts w:ascii="SimHei" w:hAnsi="SimHei" w:eastAsia="黑体" w:cs="SimHei"/>
          <w:b/>
        </w:rPr>
        <w:t>财务部（投资融资部）</w:t>
      </w:r>
    </w:p>
    <w:p>
      <w:pPr>
        <w:ind w:firstLine="1029" w:firstLineChars="490"/>
        <w:rPr>
          <w:b/>
        </w:rPr>
      </w:pPr>
      <w:r>
        <w:rPr>
          <w:rFonts w:ascii="SimHei" w:hAnsi="SimHei" w:eastAsia="黑体" w:cs="SimHei"/>
          <w:b/>
        </w:rPr>
        <w:t>职责</w:t>
      </w:r>
    </w:p>
    <w:p>
      <w:pPr>
        <w:pStyle w:val="ListParagraph"/>
        <w:numPr>
          <w:ilvl w:val="3"/>
          <w:numId w:val="15"/>
        </w:numPr>
        <w:ind w:firstLineChars="0"/>
      </w:pPr>
      <w:r>
        <w:rPr>
          <w:rFonts w:ascii="SimHei" w:hAnsi="SimHei" w:eastAsia="黑体" w:cs="SimHei"/>
        </w:rPr>
        <w:t>组织拟订集团统一的财务管理制度和预算、核算制度，建立集团内部的资金预算、会计核算体系；</w:t>
      </w:r>
    </w:p>
    <w:p>
      <w:pPr>
        <w:pStyle w:val="ListParagraph"/>
        <w:numPr>
          <w:ilvl w:val="3"/>
          <w:numId w:val="15"/>
        </w:numPr>
        <w:ind w:firstLineChars="0"/>
      </w:pPr>
      <w:r>
        <w:rPr>
          <w:rFonts w:ascii="SimHei" w:hAnsi="SimHei" w:eastAsia="黑体" w:cs="SimHei"/>
        </w:rPr>
        <w:t>按照集团预、决算管理制度，拟定集团年度预算、决算和分期预算，指导和协助其他部门做好专题预算；</w:t>
      </w:r>
    </w:p>
    <w:p>
      <w:pPr>
        <w:pStyle w:val="ListParagraph"/>
        <w:numPr>
          <w:ilvl w:val="3"/>
          <w:numId w:val="15"/>
        </w:numPr>
        <w:ind w:firstLineChars="0"/>
      </w:pPr>
      <w:r>
        <w:rPr>
          <w:rFonts w:ascii="SimHei" w:hAnsi="SimHei" w:eastAsia="黑体" w:cs="SimHei"/>
        </w:rPr>
        <w:t>负责集团银行帐户管理、有价证券、单证管理与使用和现金管理与结算服务，根据公司财务管理制度建立会计帐册，进行会计核算，及时提供合法、真实、准确、完整的会计信息；</w:t>
      </w:r>
    </w:p>
    <w:p>
      <w:pPr>
        <w:pStyle w:val="ListParagraph"/>
        <w:numPr>
          <w:ilvl w:val="3"/>
          <w:numId w:val="15"/>
        </w:numPr>
        <w:ind w:firstLineChars="0"/>
      </w:pPr>
      <w:r>
        <w:rPr>
          <w:rFonts w:ascii="SimHei" w:hAnsi="SimHei" w:eastAsia="黑体" w:cs="SimHei"/>
        </w:rPr>
        <w:t>定期进行财务分析，为集团决策提供客观、准确的依据，为集团理财提出对策并组织实施；</w:t>
      </w:r>
    </w:p>
    <w:p>
      <w:pPr>
        <w:pStyle w:val="ListParagraph"/>
        <w:numPr>
          <w:ilvl w:val="3"/>
          <w:numId w:val="15"/>
        </w:numPr>
        <w:ind w:firstLineChars="0"/>
      </w:pPr>
      <w:r>
        <w:rPr>
          <w:rFonts w:ascii="SimHei" w:hAnsi="SimHei" w:eastAsia="黑体" w:cs="SimHei"/>
        </w:rPr>
        <w:t>牵头进行财务、生产系统的数据核对和督查，并指导生产部门建立与财务相关的台帐；</w:t>
      </w:r>
    </w:p>
    <w:p>
      <w:pPr>
        <w:pStyle w:val="ListParagraph"/>
        <w:numPr>
          <w:ilvl w:val="3"/>
          <w:numId w:val="15"/>
        </w:numPr>
        <w:ind w:firstLineChars="0"/>
      </w:pPr>
      <w:r>
        <w:rPr>
          <w:rFonts w:ascii="SimHei" w:hAnsi="SimHei" w:eastAsia="黑体" w:cs="SimHei"/>
        </w:rPr>
        <w:t xml:space="preserve">及时制作集团财务报表，按期申报、交纳税款，并办理年终决算及税务清缴；做好有关上报报表，填报有关数据并审核； </w:t>
      </w:r>
    </w:p>
    <w:p>
      <w:pPr>
        <w:pStyle w:val="ListParagraph"/>
        <w:numPr>
          <w:ilvl w:val="3"/>
          <w:numId w:val="15"/>
        </w:numPr>
        <w:ind w:firstLineChars="0"/>
      </w:pPr>
      <w:r>
        <w:rPr>
          <w:rFonts w:ascii="SimHei" w:hAnsi="SimHei" w:eastAsia="黑体" w:cs="SimHei"/>
        </w:rPr>
        <w:t>负责集团及各子公司经济指标完成情况的核实、集团所有资金进出的复核，并按照集团的相应制度为相关部门提供必要、适当的查帐及其他服务；</w:t>
      </w:r>
    </w:p>
    <w:p>
      <w:pPr>
        <w:pStyle w:val="ListParagraph"/>
        <w:numPr>
          <w:ilvl w:val="3"/>
          <w:numId w:val="15"/>
        </w:numPr>
        <w:ind w:firstLineChars="0"/>
      </w:pPr>
      <w:r>
        <w:rPr>
          <w:rFonts w:ascii="SimHei" w:hAnsi="SimHei" w:eastAsia="黑体" w:cs="SimHei"/>
        </w:rPr>
        <w:t>根据相关制度对集团及分支机构的资金使用情况进行财务审查监督和管理，并据此提出相应的改进意见和建议；</w:t>
      </w:r>
    </w:p>
    <w:p>
      <w:pPr>
        <w:pStyle w:val="ListParagraph"/>
        <w:numPr>
          <w:ilvl w:val="3"/>
          <w:numId w:val="15"/>
        </w:numPr>
        <w:ind w:firstLineChars="0"/>
      </w:pPr>
      <w:r>
        <w:rPr>
          <w:rFonts w:ascii="SimHei" w:hAnsi="SimHei" w:eastAsia="黑体" w:cs="SimHei"/>
        </w:rPr>
        <w:t>组织集团财会专业知识培训和交流；</w:t>
      </w:r>
    </w:p>
    <w:p>
      <w:pPr>
        <w:pStyle w:val="ListParagraph"/>
        <w:numPr>
          <w:ilvl w:val="3"/>
          <w:numId w:val="15"/>
        </w:numPr>
        <w:ind w:firstLineChars="0"/>
      </w:pPr>
      <w:r>
        <w:rPr>
          <w:rFonts w:ascii="SimHei" w:hAnsi="SimHei" w:eastAsia="黑体" w:cs="SimHei"/>
        </w:rPr>
        <w:t>负责与财税等相关政府部门的日常联络，及时反映情况，争取政策支持；</w:t>
      </w:r>
    </w:p>
    <w:p>
      <w:pPr>
        <w:pStyle w:val="ListParagraph"/>
        <w:numPr>
          <w:ilvl w:val="3"/>
          <w:numId w:val="15"/>
        </w:numPr>
        <w:ind w:firstLineChars="0"/>
      </w:pPr>
      <w:r>
        <w:rPr>
          <w:rFonts w:ascii="SimHei" w:hAnsi="SimHei" w:eastAsia="黑体" w:cs="SimHei"/>
        </w:rPr>
        <w:t>根据稽查和真实性检查的要求，提供必要的会计资料，并负责财务资料的解释说明等工作；配合会计师事务所及有关单位做好对集团财务的审计及检查；</w:t>
      </w:r>
    </w:p>
    <w:p>
      <w:pPr>
        <w:pStyle w:val="ListParagraph"/>
        <w:numPr>
          <w:ilvl w:val="3"/>
          <w:numId w:val="15"/>
        </w:numPr>
        <w:ind w:firstLineChars="0"/>
      </w:pPr>
      <w:r>
        <w:rPr>
          <w:rFonts w:ascii="SimHei" w:hAnsi="SimHei" w:eastAsia="黑体" w:cs="SimHei"/>
        </w:rPr>
        <w:t>根据集团档案管理制度，负责会计凭证、帐簿、报表等会计档案的整理、装订和归档；</w:t>
      </w:r>
    </w:p>
    <w:p>
      <w:pPr>
        <w:pStyle w:val="ListParagraph"/>
        <w:numPr>
          <w:ilvl w:val="3"/>
          <w:numId w:val="15"/>
        </w:numPr>
        <w:ind w:firstLineChars="0"/>
      </w:pPr>
      <w:r>
        <w:rPr>
          <w:rFonts w:ascii="SimHei" w:hAnsi="SimHei" w:eastAsia="黑体" w:cs="SimHei"/>
        </w:rPr>
        <w:t>及时编制年度、季度、月度资金使用计划和现金流程表，并按资金需要及时筹集集团生产经营所需资金，源源不断地保证集团的资金需求；</w:t>
      </w:r>
    </w:p>
    <w:p>
      <w:pPr>
        <w:pStyle w:val="ListParagraph"/>
        <w:numPr>
          <w:ilvl w:val="3"/>
          <w:numId w:val="15"/>
        </w:numPr>
        <w:ind w:firstLineChars="0"/>
      </w:pPr>
      <w:r>
        <w:rPr>
          <w:rFonts w:ascii="SimHei" w:hAnsi="SimHei" w:eastAsia="黑体" w:cs="SimHei"/>
        </w:rPr>
        <w:t>负责集团内部银行的运作和管理，统筹和调度好集团成员企业的资金余缺，充分发挥集团资金的使用效率，逐步开展资本经营；</w:t>
      </w:r>
    </w:p>
    <w:p>
      <w:pPr>
        <w:pStyle w:val="ListParagraph"/>
        <w:numPr>
          <w:ilvl w:val="3"/>
          <w:numId w:val="15"/>
        </w:numPr>
        <w:ind w:firstLineChars="0"/>
      </w:pPr>
      <w:r>
        <w:rPr>
          <w:rFonts w:ascii="SimHei" w:hAnsi="SimHei" w:eastAsia="黑体" w:cs="SimHei"/>
        </w:rPr>
        <w:t xml:space="preserve">建立财务派出体制和严密的财务监控机制， 对下属子公司等分支机构派出财务负责人和主办会计等， 并对派出财务人员进行直线业务管理。 </w:t>
      </w:r>
    </w:p>
    <w:p>
      <w:pPr>
        <w:pStyle w:val="ListParagraph"/>
        <w:numPr>
          <w:ilvl w:val="3"/>
          <w:numId w:val="15"/>
        </w:numPr>
        <w:ind w:firstLineChars="0"/>
      </w:pPr>
      <w:r>
        <w:rPr>
          <w:rFonts w:ascii="SimHei" w:hAnsi="SimHei" w:eastAsia="黑体" w:cs="SimHei"/>
        </w:rPr>
        <w:t xml:space="preserve">完成上级交办的其他财务工作。 </w:t>
      </w:r>
    </w:p>
    <w:p>
      <w:pPr>
        <w:ind w:firstLine="1029" w:firstLineChars="490"/>
        <w:rPr>
          <w:b/>
        </w:rPr>
      </w:pPr>
      <w:r>
        <w:rPr>
          <w:rFonts w:ascii="SimHei" w:hAnsi="SimHei" w:eastAsia="黑体" w:cs="SimHei"/>
          <w:b/>
        </w:rPr>
        <w:t>部门权力</w:t>
      </w:r>
    </w:p>
    <w:p>
      <w:pPr>
        <w:pStyle w:val="ListParagraph"/>
        <w:numPr>
          <w:ilvl w:val="3"/>
          <w:numId w:val="16"/>
        </w:numPr>
        <w:ind w:firstLineChars="0"/>
      </w:pPr>
      <w:r>
        <w:rPr>
          <w:rFonts w:ascii="SimHei" w:hAnsi="SimHei" w:eastAsia="黑体" w:cs="SimHei"/>
        </w:rPr>
        <w:t>对违反国家财经法律法规、公司财务制度和有可能造成经济损失的行为予以制止或向上级汇报的权力；</w:t>
      </w:r>
    </w:p>
    <w:p>
      <w:pPr>
        <w:pStyle w:val="ListParagraph"/>
        <w:numPr>
          <w:ilvl w:val="3"/>
          <w:numId w:val="16"/>
        </w:numPr>
        <w:ind w:firstLineChars="0"/>
      </w:pPr>
      <w:r>
        <w:rPr>
          <w:rFonts w:ascii="SimHei" w:hAnsi="SimHei" w:eastAsia="黑体" w:cs="SimHei"/>
        </w:rPr>
        <w:t>对违反集团预算管理制度的费用开支，有拒绝办理相关事宜并报告上级的权力；</w:t>
      </w:r>
    </w:p>
    <w:p>
      <w:pPr>
        <w:pStyle w:val="ListParagraph"/>
        <w:numPr>
          <w:ilvl w:val="3"/>
          <w:numId w:val="16"/>
        </w:numPr>
        <w:ind w:firstLineChars="0"/>
      </w:pPr>
      <w:r>
        <w:rPr>
          <w:rFonts w:ascii="SimHei" w:hAnsi="SimHei" w:eastAsia="黑体" w:cs="SimHei"/>
        </w:rPr>
        <w:t>选择部门员工，提出部门设施投放要求建议的权力；</w:t>
      </w:r>
    </w:p>
    <w:p>
      <w:pPr>
        <w:pStyle w:val="ListParagraph"/>
        <w:numPr>
          <w:ilvl w:val="3"/>
          <w:numId w:val="16"/>
        </w:numPr>
        <w:ind w:firstLineChars="0"/>
      </w:pPr>
      <w:r>
        <w:rPr>
          <w:rFonts w:ascii="SimHei" w:hAnsi="SimHei" w:eastAsia="黑体" w:cs="SimHei"/>
        </w:rPr>
        <w:t>要求集团其他相关部门和子公司及时提供报表或凭证的权力；</w:t>
      </w:r>
    </w:p>
    <w:p>
      <w:pPr>
        <w:pStyle w:val="ListParagraph"/>
        <w:numPr>
          <w:ilvl w:val="3"/>
          <w:numId w:val="16"/>
        </w:numPr>
        <w:ind w:firstLineChars="0"/>
      </w:pPr>
      <w:r>
        <w:rPr>
          <w:rFonts w:ascii="SimHei" w:hAnsi="SimHei" w:eastAsia="黑体" w:cs="SimHei"/>
        </w:rPr>
        <w:t>核实集团各部门及各子公司各时期各项经济指标完成情况的权力；</w:t>
      </w:r>
    </w:p>
    <w:p>
      <w:pPr>
        <w:pStyle w:val="ListParagraph"/>
        <w:numPr>
          <w:ilvl w:val="3"/>
          <w:numId w:val="16"/>
        </w:numPr>
        <w:ind w:firstLineChars="0"/>
      </w:pPr>
      <w:r>
        <w:t xml:space="preserve">依据集团的相关制度，要求公司其他部门和子公司对本部门工作予以合理配合的权力； </w:t>
      </w:r>
    </w:p>
    <w:p>
      <w:pPr>
        <w:pStyle w:val="ListParagraph"/>
        <w:numPr>
          <w:ilvl w:val="3"/>
          <w:numId w:val="16"/>
        </w:numPr>
        <w:ind w:firstLineChars="0"/>
      </w:pPr>
      <w:r>
        <w:rPr>
          <w:rFonts w:ascii="SimHei" w:hAnsi="SimHei" w:eastAsia="黑体" w:cs="SimHei"/>
        </w:rPr>
        <w:t xml:space="preserve">依据公司各项制度享有的其他权力。 </w:t>
      </w:r>
    </w:p>
    <w:p>
      <w:pPr>
        <w:ind w:firstLine="1029" w:firstLineChars="490"/>
      </w:pPr>
      <w:r>
        <w:rPr>
          <w:rFonts w:ascii="SimHei" w:hAnsi="SimHei" w:eastAsia="黑体" w:cs="SimHei"/>
          <w:b/>
        </w:rPr>
        <w:t>备注</w:t>
      </w:r>
    </w:p>
    <w:p>
      <w:pPr>
        <w:ind w:left="1029" w:leftChars="490"/>
      </w:pPr>
      <w:r>
        <w:rPr>
          <w:rFonts w:ascii="SimHei" w:hAnsi="SimHei" w:eastAsia="黑体" w:cs="SimHei"/>
        </w:rPr>
        <w:t>根据5、6月工作例会董事长讲话精神，目前财务统一管理，时机不成熟，此时财务部更多的是行使投融资的功能。</w:t>
      </w:r>
    </w:p>
    <w:p>
      <w:pPr>
        <w:ind w:left="1029" w:leftChars="490"/>
        <w:rPr>
          <w:b/>
        </w:rPr>
      </w:pPr>
      <w:r>
        <w:rPr>
          <w:rFonts w:ascii="SimHei" w:hAnsi="SimHei" w:eastAsia="黑体" w:cs="SimHei"/>
          <w:b/>
        </w:rPr>
        <w:t>附投融资部工作职责</w:t>
      </w:r>
    </w:p>
    <w:p>
      <w:pPr>
        <w:pStyle w:val="ListParagraph"/>
        <w:numPr>
          <w:ilvl w:val="3"/>
          <w:numId w:val="17"/>
        </w:numPr>
        <w:ind w:firstLineChars="0"/>
      </w:pPr>
      <w:r>
        <w:rPr>
          <w:rFonts w:ascii="SimHei" w:hAnsi="SimHei" w:eastAsia="黑体" w:cs="SimHei"/>
        </w:rPr>
        <w:t>制定和完善集团投融资管理规范</w:t>
      </w:r>
    </w:p>
    <w:p>
      <w:pPr>
        <w:pStyle w:val="ListParagraph"/>
        <w:numPr>
          <w:ilvl w:val="3"/>
          <w:numId w:val="17"/>
        </w:numPr>
        <w:ind w:firstLineChars="0"/>
      </w:pPr>
      <w:r>
        <w:rPr>
          <w:rFonts w:ascii="SimHei" w:hAnsi="SimHei" w:eastAsia="黑体" w:cs="SimHei"/>
        </w:rPr>
        <w:t>集团投融资活动策划、论证与监督</w:t>
      </w:r>
    </w:p>
    <w:p>
      <w:pPr>
        <w:pStyle w:val="ListParagraph"/>
        <w:numPr>
          <w:ilvl w:val="3"/>
          <w:numId w:val="17"/>
        </w:numPr>
        <w:ind w:firstLineChars="0"/>
      </w:pPr>
      <w:r>
        <w:rPr>
          <w:rFonts w:ascii="SimHei" w:hAnsi="SimHei" w:eastAsia="黑体" w:cs="SimHei"/>
        </w:rPr>
        <w:t>审核各子公司重要投融资活动，参与重大投资活动的研究和实施，并提出融资和资金规划类专业意见</w:t>
      </w:r>
    </w:p>
    <w:p>
      <w:pPr>
        <w:pStyle w:val="ListParagraph"/>
        <w:numPr>
          <w:ilvl w:val="3"/>
          <w:numId w:val="17"/>
        </w:numPr>
        <w:ind w:firstLineChars="0"/>
      </w:pPr>
      <w:r>
        <w:rPr>
          <w:rFonts w:ascii="SimHei" w:hAnsi="SimHei" w:eastAsia="黑体" w:cs="SimHei"/>
        </w:rPr>
        <w:t>牵头会同财务部门与金融机构商谈和申请年度集团授信额度，并进行额度和资源的合理分配；</w:t>
      </w:r>
    </w:p>
    <w:p>
      <w:pPr>
        <w:pStyle w:val="ListParagraph"/>
        <w:numPr>
          <w:ilvl w:val="3"/>
          <w:numId w:val="17"/>
        </w:numPr>
        <w:ind w:firstLineChars="0"/>
      </w:pPr>
      <w:r>
        <w:rPr>
          <w:rFonts w:ascii="SimHei" w:hAnsi="SimHei" w:eastAsia="黑体" w:cs="SimHei"/>
        </w:rPr>
        <w:t>为各子公司提供担保的风险分析，并提供担保意见；</w:t>
      </w:r>
    </w:p>
    <w:p>
      <w:pPr>
        <w:pStyle w:val="ListParagraph"/>
        <w:numPr>
          <w:ilvl w:val="3"/>
          <w:numId w:val="17"/>
        </w:numPr>
        <w:ind w:firstLineChars="0"/>
      </w:pPr>
      <w:r>
        <w:rPr>
          <w:rFonts w:ascii="SimHei" w:hAnsi="SimHei" w:eastAsia="黑体" w:cs="SimHei"/>
        </w:rPr>
        <w:t>制定和监督集团公司投融资管理措施和执行；</w:t>
      </w:r>
    </w:p>
    <w:p>
      <w:pPr>
        <w:pStyle w:val="ListParagraph"/>
        <w:numPr>
          <w:ilvl w:val="3"/>
          <w:numId w:val="17"/>
        </w:numPr>
        <w:ind w:firstLineChars="0"/>
      </w:pPr>
      <w:r>
        <w:rPr>
          <w:rFonts w:ascii="SimHei" w:hAnsi="SimHei" w:eastAsia="黑体" w:cs="SimHei"/>
        </w:rPr>
        <w:t>对集团所有投融资活动进行动态跟踪管理</w:t>
      </w:r>
    </w:p>
    <w:p>
      <w:pPr>
        <w:pStyle w:val="ListParagraph"/>
        <w:numPr>
          <w:ilvl w:val="3"/>
          <w:numId w:val="17"/>
        </w:numPr>
        <w:ind w:firstLineChars="0"/>
      </w:pPr>
      <w:r>
        <w:rPr>
          <w:rFonts w:ascii="SimHei" w:hAnsi="SimHei" w:eastAsia="黑体" w:cs="SimHei"/>
        </w:rPr>
        <w:t>制定和完善集团投融资操作指引和控制流程；</w:t>
      </w:r>
    </w:p>
    <w:p>
      <w:pPr>
        <w:pStyle w:val="ListParagraph"/>
        <w:numPr>
          <w:ilvl w:val="3"/>
          <w:numId w:val="17"/>
        </w:numPr>
        <w:ind w:firstLineChars="0"/>
      </w:pPr>
      <w:r>
        <w:rPr>
          <w:rFonts w:ascii="SimHei" w:hAnsi="SimHei" w:eastAsia="黑体" w:cs="SimHei"/>
        </w:rPr>
        <w:t>审核集团本部与个子公司间资金调剂业务</w:t>
      </w:r>
    </w:p>
    <w:p>
      <w:pPr>
        <w:pStyle w:val="ListParagraph"/>
        <w:numPr>
          <w:ilvl w:val="0"/>
          <w:numId w:val="8"/>
        </w:numPr>
        <w:ind w:firstLineChars="0"/>
        <w:rPr>
          <w:b/>
        </w:rPr>
      </w:pPr>
      <w:r>
        <w:rPr>
          <w:rFonts w:ascii="SimHei" w:hAnsi="SimHei" w:eastAsia="黑体" w:cs="SimHei"/>
          <w:b/>
        </w:rPr>
        <w:t>审计监察部 含法律相关职责</w:t>
      </w:r>
    </w:p>
    <w:p>
      <w:pPr>
        <w:ind w:firstLine="1025" w:firstLineChars="488"/>
      </w:pPr>
      <w:r>
        <w:rPr>
          <w:rFonts w:ascii="SimHei" w:hAnsi="SimHei" w:eastAsia="黑体" w:cs="SimHei"/>
          <w:b/>
        </w:rPr>
        <w:t>职责</w:t>
      </w:r>
      <w:r>
        <w:rPr>
          <w:rFonts w:ascii="SimHei" w:hAnsi="SimHei" w:eastAsia="黑体" w:cs="SimHei"/>
        </w:rPr>
        <w:t xml:space="preserve"> </w:t>
      </w:r>
    </w:p>
    <w:p>
      <w:pPr>
        <w:pStyle w:val="ListParagraph"/>
        <w:numPr>
          <w:ilvl w:val="3"/>
          <w:numId w:val="18"/>
        </w:numPr>
        <w:ind w:firstLineChars="0"/>
      </w:pPr>
      <w:r>
        <w:rPr>
          <w:rFonts w:ascii="SimHei" w:hAnsi="SimHei" w:eastAsia="黑体" w:cs="SimHei"/>
        </w:rPr>
        <w:t>负责对集团各部门、各子公司以及分支机构的财务计划执行情况、财务收支以及相关经济活动及其效益进行审计监察；</w:t>
      </w:r>
    </w:p>
    <w:p>
      <w:pPr>
        <w:pStyle w:val="ListParagraph"/>
        <w:numPr>
          <w:ilvl w:val="3"/>
          <w:numId w:val="18"/>
        </w:numPr>
        <w:ind w:firstLineChars="0"/>
      </w:pPr>
      <w:r>
        <w:rPr>
          <w:rFonts w:ascii="SimHei" w:hAnsi="SimHei" w:eastAsia="黑体" w:cs="SimHei"/>
        </w:rPr>
        <w:t>负责对集团各项规章制度、决定的执行情况的审计监察；</w:t>
      </w:r>
    </w:p>
    <w:p>
      <w:pPr>
        <w:pStyle w:val="ListParagraph"/>
        <w:numPr>
          <w:ilvl w:val="3"/>
          <w:numId w:val="18"/>
        </w:numPr>
        <w:ind w:firstLineChars="0"/>
      </w:pPr>
      <w:r>
        <w:rPr>
          <w:rFonts w:ascii="SimHei" w:hAnsi="SimHei" w:eastAsia="黑体" w:cs="SimHei"/>
        </w:rPr>
        <w:t>参与重大经济合同的拟定、签约、兑现、考核等事宜；</w:t>
      </w:r>
    </w:p>
    <w:p>
      <w:pPr>
        <w:pStyle w:val="ListParagraph"/>
        <w:numPr>
          <w:ilvl w:val="3"/>
          <w:numId w:val="18"/>
        </w:numPr>
        <w:ind w:firstLineChars="0"/>
      </w:pPr>
      <w:r>
        <w:rPr>
          <w:rFonts w:ascii="SimHei" w:hAnsi="SimHei" w:eastAsia="黑体" w:cs="SimHei"/>
        </w:rPr>
        <w:t>负责对集团的大额担保、合并、分立、撤消、清算等事项进行审计监察；</w:t>
      </w:r>
    </w:p>
    <w:p>
      <w:pPr>
        <w:pStyle w:val="ListParagraph"/>
        <w:numPr>
          <w:ilvl w:val="3"/>
          <w:numId w:val="18"/>
        </w:numPr>
        <w:ind w:firstLineChars="0"/>
      </w:pPr>
      <w:r>
        <w:rPr>
          <w:rFonts w:ascii="SimHei" w:hAnsi="SimHei" w:eastAsia="黑体" w:cs="SimHei"/>
        </w:rPr>
        <w:t>负责接受集团各部门、各员工对公司决定的申诉，并实施调查取证并报告。</w:t>
      </w:r>
    </w:p>
    <w:p>
      <w:pPr>
        <w:pStyle w:val="ListParagraph"/>
        <w:numPr>
          <w:ilvl w:val="3"/>
          <w:numId w:val="18"/>
        </w:numPr>
        <w:ind w:firstLineChars="0"/>
      </w:pPr>
      <w:r>
        <w:rPr>
          <w:rFonts w:ascii="SimHei" w:hAnsi="SimHei" w:eastAsia="黑体" w:cs="SimHei"/>
        </w:rPr>
        <w:t>定期或者不定期对集团各部门、所属子公司，分支机构执行国家法律、法规和公司的规章制度、决定的情况进行检查监察，对发现的问题，体察审计监察意见，责令整顿纠察。</w:t>
      </w:r>
    </w:p>
    <w:p>
      <w:pPr>
        <w:ind w:firstLine="1029" w:firstLineChars="490"/>
        <w:rPr>
          <w:b/>
        </w:rPr>
      </w:pPr>
      <w:r>
        <w:rPr>
          <w:rFonts w:ascii="SimHei" w:hAnsi="SimHei" w:eastAsia="黑体" w:cs="SimHei"/>
          <w:b/>
        </w:rPr>
        <w:t>部门权力</w:t>
      </w:r>
    </w:p>
    <w:p>
      <w:pPr>
        <w:pStyle w:val="ListParagraph"/>
        <w:numPr>
          <w:ilvl w:val="3"/>
          <w:numId w:val="19"/>
        </w:numPr>
        <w:ind w:firstLineChars="0"/>
      </w:pPr>
      <w:r>
        <w:rPr>
          <w:rFonts w:ascii="SimHei" w:hAnsi="SimHei" w:eastAsia="黑体" w:cs="SimHei"/>
        </w:rPr>
        <w:t>对于在审计监察过程中发现问题，有权采取：查阅、复制、暂扣、封存有关资料；</w:t>
      </w:r>
    </w:p>
    <w:p>
      <w:pPr>
        <w:pStyle w:val="ListParagraph"/>
        <w:numPr>
          <w:ilvl w:val="3"/>
          <w:numId w:val="19"/>
        </w:numPr>
        <w:ind w:firstLineChars="0"/>
      </w:pPr>
      <w:r>
        <w:rPr>
          <w:rFonts w:ascii="SimHei" w:hAnsi="SimHei" w:eastAsia="黑体" w:cs="SimHei"/>
        </w:rPr>
        <w:t>对违反国家财经法律法规、公司财务制度和有可能造成经济损失的行为予以制止或向上级汇报的权力；</w:t>
      </w:r>
    </w:p>
    <w:p>
      <w:pPr>
        <w:pStyle w:val="ListParagraph"/>
        <w:numPr>
          <w:ilvl w:val="3"/>
          <w:numId w:val="19"/>
        </w:numPr>
        <w:ind w:firstLineChars="0"/>
      </w:pPr>
      <w:r>
        <w:t>选择部门员工，提出部门设施投放要求建议的权力；</w:t>
      </w:r>
    </w:p>
    <w:p>
      <w:pPr>
        <w:pStyle w:val="ListParagraph"/>
        <w:numPr>
          <w:ilvl w:val="3"/>
          <w:numId w:val="19"/>
        </w:numPr>
        <w:ind w:firstLineChars="0"/>
      </w:pPr>
      <w:r>
        <w:rPr>
          <w:rFonts w:ascii="SimHei" w:hAnsi="SimHei" w:eastAsia="黑体" w:cs="SimHei"/>
        </w:rPr>
        <w:t>要求集团其他相关部门和子公司及时提供报表或凭证的权力；</w:t>
      </w:r>
    </w:p>
    <w:p>
      <w:pPr>
        <w:pStyle w:val="ListParagraph"/>
        <w:numPr>
          <w:ilvl w:val="3"/>
          <w:numId w:val="19"/>
        </w:numPr>
        <w:ind w:firstLineChars="0"/>
      </w:pPr>
      <w:r>
        <w:rPr>
          <w:rFonts w:ascii="SimHei" w:hAnsi="SimHei" w:eastAsia="黑体" w:cs="SimHei"/>
        </w:rPr>
        <w:t>核实集团各部门及各子公司各时期各项经济指标完成情况的权力；</w:t>
      </w:r>
    </w:p>
    <w:p>
      <w:pPr>
        <w:pStyle w:val="ListParagraph"/>
        <w:numPr>
          <w:ilvl w:val="3"/>
          <w:numId w:val="19"/>
        </w:numPr>
        <w:ind w:firstLineChars="0"/>
      </w:pPr>
      <w:r>
        <w:t xml:space="preserve">依据集团的相关制度，要求公司其他部门和子公司对本部门工作予以合理配合的权力； </w:t>
      </w:r>
    </w:p>
    <w:p>
      <w:pPr>
        <w:pStyle w:val="ListParagraph"/>
        <w:numPr>
          <w:ilvl w:val="3"/>
          <w:numId w:val="19"/>
        </w:numPr>
        <w:ind w:firstLineChars="0"/>
      </w:pPr>
      <w:r>
        <w:rPr>
          <w:rFonts w:ascii="SimHei" w:hAnsi="SimHei" w:eastAsia="黑体" w:cs="SimHei"/>
        </w:rPr>
        <w:t xml:space="preserve">依据公司各项制度享有的其他权力。 </w:t>
      </w:r>
    </w:p>
    <w:p>
      <w:pPr>
        <w:pStyle w:val="Heading1"/>
        <w:rPr>
          <w:sz w:val="28"/>
          <w:szCs w:val="28"/>
        </w:rPr>
      </w:pPr>
      <w:bookmarkStart w:id="5" w:name="_Toc5121389"/>
      <w:r>
        <w:rPr>
          <w:rFonts w:ascii="SimHei" w:hAnsi="SimHei" w:eastAsia="黑体" w:cs="SimHei"/>
          <w:sz w:val="28"/>
          <w:szCs w:val="28"/>
        </w:rPr>
        <w:t>五、集团总部部门岗位设置及人员配置</w:t>
      </w:r>
      <w:bookmarkEnd w:id="5"/>
    </w:p>
    <w:tbl>
      <w:tblPr>
        <w:tblStyle w:val="TableGrid"/>
        <w:tblpPr w:leftFromText="180" w:rightFromText="180" w:vertAnchor="text" w:tblpY="1"/>
        <w:tblOverlap w:val="never"/>
        <w:tblW w:w="7922" w:type="dxa"/>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blGrid>
        <w:gridCol w:w="1423"/>
        <w:gridCol w:w="3437"/>
        <w:gridCol w:w="1535"/>
        <w:gridCol w:w="1527"/>
      </w:tblGrid>
      <w:tr>
        <w:tblPrEx>
          <w:tblW w:w="7922" w:type="dxa"/>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Ex>
        <w:trPr>
          <w:trHeight w:val="348"/>
        </w:trPr>
        <w:tc>
          <w:tcPr>
            <w:tcW w:w="1423" w:type="dxa"/>
            <w:vAlign w:val="center"/>
          </w:tcPr>
          <w:p>
            <w:pPr>
              <w:pStyle w:val="ListParagraph"/>
              <w:ind w:firstLine="0" w:firstLineChars="0"/>
              <w:jc w:val="center"/>
            </w:pPr>
            <w:r>
              <w:rPr>
                <w:rFonts w:ascii="SimHei" w:hAnsi="SimHei" w:eastAsia="黑体" w:cs="SimHei"/>
              </w:rPr>
              <w:t>部门机构设置</w:t>
            </w:r>
          </w:p>
        </w:tc>
        <w:tc>
          <w:tcPr>
            <w:tcW w:w="3437" w:type="dxa"/>
            <w:vAlign w:val="center"/>
          </w:tcPr>
          <w:p>
            <w:pPr>
              <w:pStyle w:val="ListParagraph"/>
              <w:ind w:firstLine="0" w:firstLineChars="0"/>
              <w:jc w:val="center"/>
            </w:pPr>
            <w:r>
              <w:rPr>
                <w:rFonts w:ascii="SimHei" w:hAnsi="SimHei" w:eastAsia="黑体" w:cs="SimHei"/>
              </w:rPr>
              <w:t>岗位设置</w:t>
            </w:r>
          </w:p>
        </w:tc>
        <w:tc>
          <w:tcPr>
            <w:tcW w:w="1535" w:type="dxa"/>
            <w:vAlign w:val="center"/>
          </w:tcPr>
          <w:p>
            <w:pPr>
              <w:pStyle w:val="ListParagraph"/>
              <w:ind w:firstLine="0" w:firstLineChars="0"/>
              <w:jc w:val="center"/>
            </w:pPr>
            <w:r>
              <w:rPr>
                <w:rFonts w:ascii="SimHei" w:hAnsi="SimHei" w:eastAsia="黑体" w:cs="SimHei"/>
              </w:rPr>
              <w:t>人员编制</w:t>
            </w:r>
          </w:p>
        </w:tc>
        <w:tc>
          <w:tcPr>
            <w:tcW w:w="1527" w:type="dxa"/>
            <w:vAlign w:val="center"/>
          </w:tcPr>
          <w:p>
            <w:pPr>
              <w:pStyle w:val="ListParagraph"/>
              <w:ind w:firstLine="0" w:firstLineChars="0"/>
              <w:jc w:val="center"/>
            </w:pPr>
            <w:r>
              <w:rPr>
                <w:rFonts w:ascii="SimHei" w:hAnsi="SimHei" w:eastAsia="黑体" w:cs="SimHei"/>
              </w:rPr>
              <w:t>备注</w:t>
            </w:r>
          </w:p>
        </w:tc>
      </w:tr>
      <w:tr>
        <w:tblPrEx>
          <w:tblW w:w="7922" w:type="dxa"/>
          <w:tblInd w:w="0" w:type="dxa"/>
          <w:tblCellMar>
            <w:top w:w="0" w:type="dxa"/>
            <w:left w:w="108" w:type="dxa"/>
            <w:bottom w:w="0" w:type="dxa"/>
            <w:right w:w="108" w:type="dxa"/>
          </w:tblCellMar>
        </w:tblPrEx>
        <w:trPr>
          <w:trHeight w:val="306"/>
        </w:trPr>
        <w:tc>
          <w:tcPr>
            <w:tcW w:w="1423" w:type="dxa"/>
            <w:vMerge w:val="restart"/>
            <w:vAlign w:val="center"/>
          </w:tcPr>
          <w:p>
            <w:pPr>
              <w:pStyle w:val="ListParagraph"/>
              <w:ind w:firstLine="0" w:firstLineChars="0"/>
              <w:jc w:val="center"/>
            </w:pPr>
            <w:r>
              <w:rPr>
                <w:rFonts w:ascii="SimHei" w:hAnsi="SimHei" w:eastAsia="黑体" w:cs="SimHei"/>
              </w:rPr>
              <w:t>集团办公室</w:t>
            </w: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主任</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restart"/>
            <w:vAlign w:val="center"/>
          </w:tcPr>
          <w:p>
            <w:pPr>
              <w:pStyle w:val="ListParagraph"/>
              <w:ind w:firstLine="0" w:firstLineChars="0"/>
              <w:jc w:val="center"/>
              <w:rPr>
                <w:rFonts w:ascii="SimHei" w:hAnsi="SimHei" w:eastAsia="黑体" w:cs="SimHei"/>
              </w:rPr>
            </w:pPr>
            <w:r>
              <w:rPr>
                <w:rFonts w:ascii="SimHei" w:hAnsi="SimHei" w:eastAsia="黑体" w:cs="SimHei"/>
              </w:rPr>
              <w:t>各部门岗位和人员编制不是最终定数，根据集团领导做最终定夺。</w:t>
            </w:r>
          </w:p>
        </w:tc>
      </w:tr>
      <w:tr>
        <w:tblPrEx>
          <w:tblW w:w="7922" w:type="dxa"/>
          <w:tblInd w:w="0" w:type="dxa"/>
          <w:tblCellMar>
            <w:top w:w="0" w:type="dxa"/>
            <w:left w:w="108" w:type="dxa"/>
            <w:bottom w:w="0" w:type="dxa"/>
            <w:right w:w="108" w:type="dxa"/>
          </w:tblCellMar>
        </w:tblPrEx>
        <w:trPr>
          <w:trHeight w:val="389"/>
        </w:trPr>
        <w:tc>
          <w:tcPr>
            <w:tcW w:w="1423" w:type="dxa"/>
            <w:vMerge/>
            <w:vAlign w:val="center"/>
          </w:tcPr>
          <w:p>
            <w:pPr>
              <w:pStyle w:val="ListParagraph"/>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董事长秘书</w:t>
            </w:r>
          </w:p>
        </w:tc>
        <w:tc>
          <w:tcPr>
            <w:tcW w:w="1535" w:type="dxa"/>
            <w:vAlign w:val="center"/>
          </w:tcPr>
          <w:p>
            <w:pPr>
              <w:jc w:val="center"/>
              <w:rPr>
                <w:rFonts w:ascii="SimHei" w:hAnsi="SimHei" w:eastAsia="黑体" w:cs="SimHei"/>
              </w:rPr>
            </w:pPr>
            <w:r>
              <w:rPr>
                <w:rFonts w:ascii="SimHei" w:hAnsi="SimHei" w:eastAsia="黑体" w:cs="SimHei"/>
              </w:rPr>
              <w:t>1人</w:t>
            </w:r>
          </w:p>
        </w:tc>
        <w:tc>
          <w:tcPr>
            <w:tcW w:w="1527" w:type="dxa"/>
            <w:vMerge/>
            <w:vAlign w:val="center"/>
          </w:tcPr>
          <w:p>
            <w:pPr>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413"/>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文秘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54"/>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企业文化专员</w:t>
            </w:r>
          </w:p>
        </w:tc>
        <w:tc>
          <w:tcPr>
            <w:tcW w:w="1535" w:type="dxa"/>
            <w:vAlign w:val="center"/>
          </w:tcPr>
          <w:p>
            <w:pPr>
              <w:jc w:val="center"/>
              <w:rPr>
                <w:rFonts w:ascii="SimHei" w:hAnsi="SimHei" w:eastAsia="黑体" w:cs="SimHei"/>
              </w:rPr>
            </w:pPr>
            <w:r>
              <w:rPr>
                <w:rFonts w:ascii="SimHei" w:hAnsi="SimHei" w:eastAsia="黑体" w:cs="SimHei"/>
              </w:rPr>
              <w:t>1人</w:t>
            </w:r>
          </w:p>
        </w:tc>
        <w:tc>
          <w:tcPr>
            <w:tcW w:w="1527" w:type="dxa"/>
            <w:vMerge/>
            <w:vAlign w:val="center"/>
          </w:tcPr>
          <w:p>
            <w:pPr>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507"/>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档案主管</w:t>
            </w:r>
          </w:p>
        </w:tc>
        <w:tc>
          <w:tcPr>
            <w:tcW w:w="1535" w:type="dxa"/>
            <w:vAlign w:val="center"/>
          </w:tcPr>
          <w:p>
            <w:pPr>
              <w:pStyle w:val="ListParagraph"/>
              <w:pBdr>
                <w:bottom w:val="single" w:sz="4" w:space="4" w:color="DEDFE1"/>
              </w:pBdr>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pBdr>
                <w:bottom w:val="single" w:sz="4" w:space="4" w:color="DEDFE1"/>
              </w:pBdr>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02"/>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档案管理员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02"/>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行政后勤主管</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02"/>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驾驶员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若干人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02"/>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安全保卫员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若干人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02"/>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餐厅工作人员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若干人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439"/>
        </w:trPr>
        <w:tc>
          <w:tcPr>
            <w:tcW w:w="1423" w:type="dxa"/>
            <w:vMerge w:val="restart"/>
            <w:vAlign w:val="center"/>
          </w:tcPr>
          <w:p>
            <w:pPr>
              <w:pStyle w:val="ListParagraph"/>
              <w:ind w:firstLine="0" w:firstLineChars="0"/>
              <w:jc w:val="center"/>
            </w:pPr>
            <w:r>
              <w:rPr>
                <w:rFonts w:ascii="SimHei" w:hAnsi="SimHei" w:eastAsia="黑体" w:cs="SimHei"/>
              </w:rPr>
              <w:t>企划发展部</w:t>
            </w:r>
          </w:p>
        </w:tc>
        <w:tc>
          <w:tcPr>
            <w:tcW w:w="3437" w:type="dxa"/>
            <w:vAlign w:val="center"/>
          </w:tcPr>
          <w:p>
            <w:pPr>
              <w:jc w:val="center"/>
              <w:rPr>
                <w:rFonts w:ascii="SimHei" w:hAnsi="SimHei" w:eastAsia="黑体" w:cs="SimHei"/>
              </w:rPr>
            </w:pPr>
            <w:r>
              <w:rPr>
                <w:rFonts w:ascii="SimHei" w:hAnsi="SimHei" w:eastAsia="黑体" w:cs="SimHei"/>
              </w:rPr>
              <w:t>经理</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17"/>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企划专员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17"/>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信息专员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99"/>
        </w:trPr>
        <w:tc>
          <w:tcPr>
            <w:tcW w:w="1423" w:type="dxa"/>
            <w:vMerge/>
            <w:vAlign w:val="center"/>
          </w:tcPr>
          <w:p>
            <w:pPr>
              <w:pStyle w:val="ListParagraph"/>
              <w:ind w:firstLine="0" w:firstLineChars="0"/>
              <w:jc w:val="center"/>
            </w:pPr>
          </w:p>
        </w:tc>
        <w:tc>
          <w:tcPr>
            <w:tcW w:w="3437" w:type="dxa"/>
            <w:vAlign w:val="center"/>
          </w:tcPr>
          <w:p>
            <w:pPr>
              <w:jc w:val="center"/>
              <w:rPr>
                <w:rFonts w:ascii="SimHei" w:hAnsi="SimHei" w:eastAsia="黑体" w:cs="SimHei"/>
              </w:rPr>
            </w:pPr>
            <w:r>
              <w:rPr>
                <w:rFonts w:ascii="SimHei" w:hAnsi="SimHei" w:eastAsia="黑体" w:cs="SimHei"/>
              </w:rPr>
              <w:t>品牌专员（待定）</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40"/>
        </w:trPr>
        <w:tc>
          <w:tcPr>
            <w:tcW w:w="1423" w:type="dxa"/>
            <w:vMerge w:val="restart"/>
            <w:vAlign w:val="center"/>
          </w:tcPr>
          <w:p>
            <w:pPr>
              <w:pStyle w:val="ListParagraph"/>
              <w:ind w:firstLine="0" w:firstLineChars="0"/>
              <w:jc w:val="center"/>
            </w:pPr>
            <w:r>
              <w:rPr>
                <w:rFonts w:ascii="SimHei" w:hAnsi="SimHei" w:eastAsia="黑体" w:cs="SimHei"/>
              </w:rPr>
              <w:t>人力资源部</w:t>
            </w:r>
          </w:p>
        </w:tc>
        <w:tc>
          <w:tcPr>
            <w:tcW w:w="3437" w:type="dxa"/>
            <w:vAlign w:val="center"/>
          </w:tcPr>
          <w:p>
            <w:pPr>
              <w:jc w:val="center"/>
              <w:rPr>
                <w:rFonts w:ascii="SimHei" w:hAnsi="SimHei" w:eastAsia="黑体" w:cs="SimHei"/>
              </w:rPr>
            </w:pPr>
            <w:r>
              <w:rPr>
                <w:rFonts w:ascii="SimHei" w:hAnsi="SimHei" w:eastAsia="黑体" w:cs="SimHei"/>
              </w:rPr>
              <w:t>经理</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 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42"/>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培训专员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99"/>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招聘专员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465"/>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薪酬和考评专员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05"/>
        </w:trPr>
        <w:tc>
          <w:tcPr>
            <w:tcW w:w="1423" w:type="dxa"/>
            <w:vMerge w:val="restart"/>
            <w:vAlign w:val="center"/>
          </w:tcPr>
          <w:p>
            <w:pPr>
              <w:pStyle w:val="ListParagraph"/>
              <w:ind w:firstLine="0" w:firstLineChars="0"/>
              <w:jc w:val="center"/>
            </w:pPr>
            <w:r>
              <w:rPr>
                <w:rFonts w:ascii="SimHei" w:hAnsi="SimHei" w:eastAsia="黑体" w:cs="SimHei"/>
              </w:rPr>
              <w:t>财务部（投资融资部）</w:t>
            </w:r>
          </w:p>
        </w:tc>
        <w:tc>
          <w:tcPr>
            <w:tcW w:w="3437" w:type="dxa"/>
            <w:vAlign w:val="center"/>
          </w:tcPr>
          <w:p>
            <w:pPr>
              <w:jc w:val="center"/>
              <w:rPr>
                <w:rFonts w:ascii="SimHei" w:hAnsi="SimHei" w:eastAsia="黑体" w:cs="SimHei"/>
              </w:rPr>
            </w:pPr>
            <w:r>
              <w:rPr>
                <w:rFonts w:ascii="SimHei" w:hAnsi="SimHei" w:eastAsia="黑体" w:cs="SimHei"/>
              </w:rPr>
              <w:t>经理</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 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86"/>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内部银行主任</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469"/>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计划预算员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06"/>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主办会计</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89"/>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会计</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若干人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470"/>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融资主管</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02"/>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融资员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若干人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91"/>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办税兼开票员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209"/>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统计员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292"/>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出纳</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若干人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54"/>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派出财务经理</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若干</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317"/>
        </w:trPr>
        <w:tc>
          <w:tcPr>
            <w:tcW w:w="1423" w:type="dxa"/>
            <w:vMerge w:val="restart"/>
            <w:vAlign w:val="center"/>
          </w:tcPr>
          <w:p>
            <w:pPr>
              <w:pStyle w:val="ListParagraph"/>
              <w:ind w:firstLine="0" w:firstLineChars="0"/>
              <w:jc w:val="center"/>
            </w:pPr>
            <w:r>
              <w:rPr>
                <w:rFonts w:ascii="SimHei" w:hAnsi="SimHei" w:eastAsia="黑体" w:cs="SimHei"/>
              </w:rPr>
              <w:t>审计监察部</w:t>
            </w:r>
          </w:p>
        </w:tc>
        <w:tc>
          <w:tcPr>
            <w:tcW w:w="3437" w:type="dxa"/>
            <w:vAlign w:val="center"/>
          </w:tcPr>
          <w:p>
            <w:pPr>
              <w:jc w:val="center"/>
              <w:rPr>
                <w:rFonts w:ascii="SimHei" w:hAnsi="SimHei" w:eastAsia="黑体" w:cs="SimHei"/>
              </w:rPr>
            </w:pPr>
            <w:r>
              <w:rPr>
                <w:rFonts w:ascii="SimHei" w:hAnsi="SimHei" w:eastAsia="黑体" w:cs="SimHei"/>
              </w:rPr>
              <w:t>经理</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 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02"/>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审计员</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若干人</w:t>
            </w:r>
          </w:p>
        </w:tc>
        <w:tc>
          <w:tcPr>
            <w:tcW w:w="1527" w:type="dxa"/>
            <w:vMerge/>
            <w:vAlign w:val="center"/>
          </w:tcPr>
          <w:p>
            <w:pPr>
              <w:pStyle w:val="ListParagraph"/>
              <w:ind w:firstLine="0" w:firstLineChars="0"/>
              <w:jc w:val="center"/>
              <w:rPr>
                <w:rFonts w:ascii="SimHei" w:hAnsi="SimHei" w:eastAsia="黑体" w:cs="SimHei"/>
              </w:rPr>
            </w:pPr>
          </w:p>
        </w:tc>
      </w:tr>
      <w:tr>
        <w:tblPrEx>
          <w:tblW w:w="7922" w:type="dxa"/>
          <w:tblInd w:w="0" w:type="dxa"/>
          <w:tblCellMar>
            <w:top w:w="0" w:type="dxa"/>
            <w:left w:w="108" w:type="dxa"/>
            <w:bottom w:w="0" w:type="dxa"/>
            <w:right w:w="108" w:type="dxa"/>
          </w:tblCellMar>
        </w:tblPrEx>
        <w:trPr>
          <w:trHeight w:val="102"/>
        </w:trPr>
        <w:tc>
          <w:tcPr>
            <w:tcW w:w="1423" w:type="dxa"/>
            <w:vMerge/>
            <w:vAlign w:val="center"/>
          </w:tcPr>
          <w:p>
            <w:pPr>
              <w:pStyle w:val="ListParagraph"/>
              <w:ind w:firstLine="0" w:firstLineChars="0"/>
              <w:jc w:val="center"/>
            </w:pPr>
          </w:p>
        </w:tc>
        <w:tc>
          <w:tcPr>
            <w:tcW w:w="3437" w:type="dxa"/>
            <w:vAlign w:val="center"/>
          </w:tcPr>
          <w:p>
            <w:pPr>
              <w:pStyle w:val="ListParagraph"/>
              <w:ind w:firstLine="0" w:firstLineChars="0"/>
              <w:jc w:val="center"/>
              <w:rPr>
                <w:rFonts w:ascii="SimHei" w:hAnsi="SimHei" w:eastAsia="黑体" w:cs="SimHei"/>
              </w:rPr>
            </w:pPr>
            <w:r>
              <w:rPr>
                <w:rFonts w:ascii="SimHei" w:hAnsi="SimHei" w:eastAsia="黑体" w:cs="SimHei"/>
              </w:rPr>
              <w:t>法务专员（待定）</w:t>
            </w:r>
          </w:p>
        </w:tc>
        <w:tc>
          <w:tcPr>
            <w:tcW w:w="1535" w:type="dxa"/>
            <w:vAlign w:val="center"/>
          </w:tcPr>
          <w:p>
            <w:pPr>
              <w:pStyle w:val="ListParagraph"/>
              <w:ind w:firstLine="0" w:firstLineChars="0"/>
              <w:jc w:val="center"/>
              <w:rPr>
                <w:rFonts w:ascii="SimHei" w:hAnsi="SimHei" w:eastAsia="黑体" w:cs="SimHei"/>
              </w:rPr>
            </w:pPr>
            <w:r>
              <w:rPr>
                <w:rFonts w:ascii="SimHei" w:hAnsi="SimHei" w:eastAsia="黑体" w:cs="SimHei"/>
              </w:rPr>
              <w:t>1人</w:t>
            </w:r>
          </w:p>
        </w:tc>
        <w:tc>
          <w:tcPr>
            <w:tcW w:w="1527" w:type="dxa"/>
            <w:vAlign w:val="center"/>
          </w:tcPr>
          <w:p>
            <w:pPr>
              <w:pStyle w:val="ListParagraph"/>
              <w:ind w:firstLine="0" w:firstLineChars="0"/>
              <w:jc w:val="center"/>
              <w:rPr>
                <w:rFonts w:ascii="SimHei" w:hAnsi="SimHei" w:eastAsia="黑体" w:cs="SimHei"/>
              </w:rPr>
            </w:pPr>
          </w:p>
        </w:tc>
      </w:tr>
    </w:tbl>
    <w:p>
      <w:pPr>
        <w:pStyle w:val="Heading1"/>
        <w:rPr>
          <w:sz w:val="28"/>
          <w:szCs w:val="28"/>
        </w:rPr>
      </w:pPr>
      <w:bookmarkStart w:id="6" w:name="_Toc5121390"/>
      <w:r>
        <w:rPr>
          <w:rFonts w:ascii="SimHei" w:hAnsi="SimHei" w:eastAsia="黑体" w:cs="SimHei"/>
          <w:sz w:val="28"/>
          <w:szCs w:val="28"/>
        </w:rPr>
        <w:t>六、关键岗位说明：</w:t>
      </w:r>
      <w:r>
        <w:rPr>
          <w:sz w:val="28"/>
          <w:szCs w:val="28"/>
        </w:rPr>
        <w:t>***</w:t>
      </w:r>
      <w:bookmarkEnd w:id="6"/>
    </w:p>
    <w:p>
      <w:pPr>
        <w:pStyle w:val="Heading1"/>
        <w:rPr>
          <w:sz w:val="28"/>
          <w:szCs w:val="28"/>
        </w:rPr>
      </w:pPr>
      <w:bookmarkStart w:id="7" w:name="_Toc5121391"/>
      <w:r>
        <w:rPr>
          <w:rFonts w:ascii="SimHei" w:hAnsi="SimHei" w:eastAsia="黑体" w:cs="SimHei"/>
          <w:sz w:val="28"/>
          <w:szCs w:val="28"/>
        </w:rPr>
        <w:t>七、管理体系和管理流程设计：*</w:t>
      </w:r>
      <w:r>
        <w:rPr>
          <w:sz w:val="28"/>
          <w:szCs w:val="28"/>
        </w:rPr>
        <w:t>**</w:t>
      </w:r>
      <w:bookmarkEnd w:id="7"/>
    </w:p>
    <w:p/>
    <w:sectPr>
      <w:footerReference w:type="default" r:id="rId6"/>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347335"/>
      <w:docPartObj>
        <w:docPartGallery w:val="AutoText"/>
      </w:docPartObj>
    </w:sdtPr>
    <w:sdtContent>
      <w:p>
        <w:pPr>
          <w:pStyle w:val="Footer"/>
          <w:jc w:val="center"/>
        </w:pPr>
        <w:r>
          <w:fldChar w:fldCharType="begin"/>
        </w:r>
        <w:r>
          <w:instrText xml:space="preserve"> PAGE   \* MERGEFORMAT </w:instrText>
        </w:r>
        <w:r>
          <w:fldChar w:fldCharType="separate"/>
        </w:r>
        <w:r>
          <w:rPr>
            <w:lang w:val="zh-CN"/>
          </w:rPr>
          <w:t>2</w:t>
        </w:r>
        <w:r>
          <w:rPr>
            <w:lang w:val="zh-CN"/>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F1260A"/>
    <w:multiLevelType w:val="multilevel"/>
    <w:tmpl w:val="05F1260A"/>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1">
    <w:nsid w:val="06C01EF2"/>
    <w:multiLevelType w:val="multilevel"/>
    <w:tmpl w:val="06C01EF2"/>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2">
    <w:nsid w:val="17780312"/>
    <w:multiLevelType w:val="multilevel"/>
    <w:tmpl w:val="17780312"/>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3">
    <w:nsid w:val="1A974D50"/>
    <w:multiLevelType w:val="multilevel"/>
    <w:tmpl w:val="1A974D50"/>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4">
    <w:nsid w:val="1ADF0260"/>
    <w:multiLevelType w:val="multilevel"/>
    <w:tmpl w:val="1ADF0260"/>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5">
    <w:nsid w:val="25DE77AC"/>
    <w:multiLevelType w:val="multilevel"/>
    <w:tmpl w:val="25DE77AC"/>
    <w:lvl w:ilvl="0">
      <w:start w:val="1"/>
      <w:numFmt w:val="bullet"/>
      <w:lvlText w:val=""/>
      <w:lvlJc w:val="left"/>
      <w:pPr>
        <w:ind w:left="1020" w:hanging="420"/>
      </w:pPr>
      <w:rPr>
        <w:rFonts w:ascii="SimHei" w:hAnsi="SimHei" w:eastAsia="黑体" w:cs="SimHei"/>
      </w:rPr>
    </w:lvl>
    <w:lvl w:ilvl="1">
      <w:start w:val="1"/>
      <w:numFmt w:val="bullet"/>
      <w:lvlText w:val=""/>
      <w:lvlJc w:val="left"/>
      <w:pPr>
        <w:ind w:left="1440" w:hanging="420"/>
      </w:pPr>
      <w:rPr>
        <w:rFonts w:ascii="SimHei" w:hAnsi="SimHei" w:eastAsia="黑体" w:cs="SimHei"/>
      </w:rPr>
    </w:lvl>
    <w:lvl w:ilvl="2">
      <w:start w:val="1"/>
      <w:numFmt w:val="bullet"/>
      <w:lvlText w:val=""/>
      <w:lvlJc w:val="left"/>
      <w:pPr>
        <w:ind w:left="1860" w:hanging="420"/>
      </w:pPr>
      <w:rPr>
        <w:rFonts w:ascii="SimHei" w:hAnsi="SimHei" w:eastAsia="黑体" w:cs="SimHei"/>
      </w:rPr>
    </w:lvl>
    <w:lvl w:ilvl="3">
      <w:start w:val="1"/>
      <w:numFmt w:val="bullet"/>
      <w:lvlText w:val=""/>
      <w:lvlJc w:val="left"/>
      <w:pPr>
        <w:ind w:left="2280" w:hanging="420"/>
      </w:pPr>
      <w:rPr>
        <w:rFonts w:ascii="SimHei" w:hAnsi="SimHei" w:eastAsia="黑体" w:cs="SimHei"/>
      </w:rPr>
    </w:lvl>
    <w:lvl w:ilvl="4">
      <w:start w:val="1"/>
      <w:numFmt w:val="bullet"/>
      <w:lvlText w:val=""/>
      <w:lvlJc w:val="left"/>
      <w:pPr>
        <w:ind w:left="2700" w:hanging="420"/>
      </w:pPr>
      <w:rPr>
        <w:rFonts w:ascii="SimHei" w:hAnsi="SimHei" w:eastAsia="黑体" w:cs="SimHei"/>
      </w:rPr>
    </w:lvl>
    <w:lvl w:ilvl="5">
      <w:start w:val="1"/>
      <w:numFmt w:val="bullet"/>
      <w:lvlText w:val=""/>
      <w:lvlJc w:val="left"/>
      <w:pPr>
        <w:ind w:left="3120" w:hanging="420"/>
      </w:pPr>
      <w:rPr>
        <w:rFonts w:ascii="SimHei" w:hAnsi="SimHei" w:eastAsia="黑体" w:cs="SimHei"/>
      </w:rPr>
    </w:lvl>
    <w:lvl w:ilvl="6">
      <w:start w:val="1"/>
      <w:numFmt w:val="bullet"/>
      <w:lvlText w:val=""/>
      <w:lvlJc w:val="left"/>
      <w:pPr>
        <w:ind w:left="3540" w:hanging="420"/>
      </w:pPr>
      <w:rPr>
        <w:rFonts w:ascii="SimHei" w:hAnsi="SimHei" w:eastAsia="黑体" w:cs="SimHei"/>
      </w:rPr>
    </w:lvl>
    <w:lvl w:ilvl="7">
      <w:start w:val="1"/>
      <w:numFmt w:val="bullet"/>
      <w:lvlText w:val=""/>
      <w:lvlJc w:val="left"/>
      <w:pPr>
        <w:ind w:left="3960" w:hanging="420"/>
      </w:pPr>
      <w:rPr>
        <w:rFonts w:ascii="SimHei" w:hAnsi="SimHei" w:eastAsia="黑体" w:cs="SimHei"/>
      </w:rPr>
    </w:lvl>
    <w:lvl w:ilvl="8">
      <w:start w:val="1"/>
      <w:numFmt w:val="bullet"/>
      <w:lvlText w:val=""/>
      <w:lvlJc w:val="left"/>
      <w:pPr>
        <w:ind w:left="4380" w:hanging="420"/>
      </w:pPr>
      <w:rPr>
        <w:rFonts w:ascii="SimHei" w:hAnsi="SimHei" w:eastAsia="黑体" w:cs="SimHei"/>
      </w:rPr>
    </w:lvl>
  </w:abstractNum>
  <w:abstractNum w:abstractNumId="6">
    <w:nsid w:val="26375436"/>
    <w:multiLevelType w:val="multilevel"/>
    <w:tmpl w:val="26375436"/>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7">
    <w:nsid w:val="27452F83"/>
    <w:multiLevelType w:val="multilevel"/>
    <w:tmpl w:val="27452F83"/>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8">
    <w:nsid w:val="2F0A47BC"/>
    <w:multiLevelType w:val="multilevel"/>
    <w:tmpl w:val="2F0A47BC"/>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9">
    <w:nsid w:val="2F796C55"/>
    <w:multiLevelType w:val="multilevel"/>
    <w:tmpl w:val="2F796C55"/>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10">
    <w:nsid w:val="338F20C5"/>
    <w:multiLevelType w:val="multilevel"/>
    <w:tmpl w:val="338F20C5"/>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11">
    <w:nsid w:val="43683A1C"/>
    <w:multiLevelType w:val="multilevel"/>
    <w:tmpl w:val="43683A1C"/>
    <w:lvl w:ilvl="0">
      <w:start w:val="1"/>
      <w:numFmt w:val="bullet"/>
      <w:lvlText w:val=""/>
      <w:lvlJc w:val="left"/>
      <w:pPr>
        <w:ind w:left="840" w:hanging="420"/>
      </w:pPr>
      <w:rPr>
        <w:rFonts w:ascii="SimHei" w:hAnsi="SimHei" w:eastAsia="黑体" w:cs="SimHei"/>
      </w:rPr>
    </w:lvl>
    <w:lvl w:ilvl="1">
      <w:start w:val="1"/>
      <w:numFmt w:val="bullet"/>
      <w:lvlText w:val=""/>
      <w:lvlJc w:val="left"/>
      <w:pPr>
        <w:ind w:left="1260" w:hanging="420"/>
      </w:pPr>
      <w:rPr>
        <w:rFonts w:ascii="SimHei" w:hAnsi="SimHei" w:eastAsia="黑体" w:cs="SimHei"/>
      </w:rPr>
    </w:lvl>
    <w:lvl w:ilvl="2">
      <w:start w:val="1"/>
      <w:numFmt w:val="bullet"/>
      <w:lvlText w:val=""/>
      <w:lvlJc w:val="left"/>
      <w:pPr>
        <w:ind w:left="1680" w:hanging="420"/>
      </w:pPr>
      <w:rPr>
        <w:rFonts w:ascii="SimHei" w:hAnsi="SimHei" w:eastAsia="黑体" w:cs="SimHei"/>
      </w:rPr>
    </w:lvl>
    <w:lvl w:ilvl="3">
      <w:start w:val="1"/>
      <w:numFmt w:val="bullet"/>
      <w:lvlText w:val=""/>
      <w:lvlJc w:val="left"/>
      <w:pPr>
        <w:ind w:left="2100" w:hanging="420"/>
      </w:pPr>
      <w:rPr>
        <w:rFonts w:ascii="SimHei" w:hAnsi="SimHei" w:eastAsia="黑体" w:cs="SimHei"/>
      </w:rPr>
    </w:lvl>
    <w:lvl w:ilvl="4">
      <w:start w:val="1"/>
      <w:numFmt w:val="bullet"/>
      <w:lvlText w:val=""/>
      <w:lvlJc w:val="left"/>
      <w:pPr>
        <w:ind w:left="2520" w:hanging="420"/>
      </w:pPr>
      <w:rPr>
        <w:rFonts w:ascii="SimHei" w:hAnsi="SimHei" w:eastAsia="黑体" w:cs="SimHei"/>
      </w:rPr>
    </w:lvl>
    <w:lvl w:ilvl="5">
      <w:start w:val="1"/>
      <w:numFmt w:val="bullet"/>
      <w:lvlText w:val=""/>
      <w:lvlJc w:val="left"/>
      <w:pPr>
        <w:ind w:left="2940" w:hanging="420"/>
      </w:pPr>
      <w:rPr>
        <w:rFonts w:ascii="SimHei" w:hAnsi="SimHei" w:eastAsia="黑体" w:cs="SimHei"/>
      </w:rPr>
    </w:lvl>
    <w:lvl w:ilvl="6">
      <w:start w:val="1"/>
      <w:numFmt w:val="bullet"/>
      <w:lvlText w:val=""/>
      <w:lvlJc w:val="left"/>
      <w:pPr>
        <w:ind w:left="3360" w:hanging="420"/>
      </w:pPr>
      <w:rPr>
        <w:rFonts w:ascii="SimHei" w:hAnsi="SimHei" w:eastAsia="黑体" w:cs="SimHei"/>
      </w:rPr>
    </w:lvl>
    <w:lvl w:ilvl="7">
      <w:start w:val="1"/>
      <w:numFmt w:val="bullet"/>
      <w:lvlText w:val=""/>
      <w:lvlJc w:val="left"/>
      <w:pPr>
        <w:ind w:left="3780" w:hanging="420"/>
      </w:pPr>
      <w:rPr>
        <w:rFonts w:ascii="SimHei" w:hAnsi="SimHei" w:eastAsia="黑体" w:cs="SimHei"/>
      </w:rPr>
    </w:lvl>
    <w:lvl w:ilvl="8">
      <w:start w:val="1"/>
      <w:numFmt w:val="bullet"/>
      <w:lvlText w:val=""/>
      <w:lvlJc w:val="left"/>
      <w:pPr>
        <w:ind w:left="4200" w:hanging="420"/>
      </w:pPr>
      <w:rPr>
        <w:rFonts w:ascii="SimHei" w:hAnsi="SimHei" w:eastAsia="黑体" w:cs="SimHei"/>
      </w:rPr>
    </w:lvl>
  </w:abstractNum>
  <w:abstractNum w:abstractNumId="12">
    <w:nsid w:val="4ABB3030"/>
    <w:multiLevelType w:val="multilevel"/>
    <w:tmpl w:val="4ABB3030"/>
    <w:lvl w:ilvl="0">
      <w:start w:val="1"/>
      <w:numFmt w:val="decimal"/>
      <w:lvlText w:val="%1."/>
      <w:lvlJc w:val="left"/>
      <w:pPr>
        <w:ind w:left="960" w:hanging="360"/>
      </w:pPr>
      <w:rPr>
        <w:rFonts w:ascii="SimHei" w:hAnsi="SimHei" w:eastAsia="黑体" w:cs="SimHei"/>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13">
    <w:nsid w:val="4B280AEE"/>
    <w:multiLevelType w:val="multilevel"/>
    <w:tmpl w:val="4B280AEE"/>
    <w:lvl w:ilvl="0">
      <w:start w:val="1"/>
      <w:numFmt w:val="bullet"/>
      <w:lvlText w:val=""/>
      <w:lvlJc w:val="left"/>
      <w:pPr>
        <w:ind w:left="1380" w:hanging="420"/>
      </w:pPr>
      <w:rPr>
        <w:rFonts w:ascii="SimHei" w:hAnsi="SimHei" w:eastAsia="黑体" w:cs="SimHei"/>
      </w:rPr>
    </w:lvl>
    <w:lvl w:ilvl="1">
      <w:start w:val="1"/>
      <w:numFmt w:val="bullet"/>
      <w:lvlText w:val=""/>
      <w:lvlJc w:val="left"/>
      <w:pPr>
        <w:ind w:left="1800" w:hanging="420"/>
      </w:pPr>
      <w:rPr>
        <w:rFonts w:ascii="SimHei" w:hAnsi="SimHei" w:eastAsia="黑体" w:cs="SimHei"/>
      </w:rPr>
    </w:lvl>
    <w:lvl w:ilvl="2">
      <w:start w:val="1"/>
      <w:numFmt w:val="bullet"/>
      <w:lvlText w:val=""/>
      <w:lvlJc w:val="left"/>
      <w:pPr>
        <w:ind w:left="2220" w:hanging="420"/>
      </w:pPr>
      <w:rPr>
        <w:rFonts w:ascii="SimHei" w:hAnsi="SimHei" w:eastAsia="黑体" w:cs="SimHei"/>
      </w:rPr>
    </w:lvl>
    <w:lvl w:ilvl="3">
      <w:start w:val="1"/>
      <w:numFmt w:val="bullet"/>
      <w:lvlText w:val=""/>
      <w:lvlJc w:val="left"/>
      <w:pPr>
        <w:ind w:left="2640" w:hanging="420"/>
      </w:pPr>
      <w:rPr>
        <w:rFonts w:ascii="SimHei" w:hAnsi="SimHei" w:eastAsia="黑体" w:cs="SimHei"/>
      </w:rPr>
    </w:lvl>
    <w:lvl w:ilvl="4">
      <w:start w:val="1"/>
      <w:numFmt w:val="bullet"/>
      <w:lvlText w:val=""/>
      <w:lvlJc w:val="left"/>
      <w:pPr>
        <w:ind w:left="3060" w:hanging="420"/>
      </w:pPr>
      <w:rPr>
        <w:rFonts w:ascii="SimHei" w:hAnsi="SimHei" w:eastAsia="黑体" w:cs="SimHei"/>
      </w:rPr>
    </w:lvl>
    <w:lvl w:ilvl="5">
      <w:start w:val="1"/>
      <w:numFmt w:val="bullet"/>
      <w:lvlText w:val=""/>
      <w:lvlJc w:val="left"/>
      <w:pPr>
        <w:ind w:left="3480" w:hanging="420"/>
      </w:pPr>
      <w:rPr>
        <w:rFonts w:ascii="SimHei" w:hAnsi="SimHei" w:eastAsia="黑体" w:cs="SimHei"/>
      </w:rPr>
    </w:lvl>
    <w:lvl w:ilvl="6">
      <w:start w:val="1"/>
      <w:numFmt w:val="bullet"/>
      <w:lvlText w:val=""/>
      <w:lvlJc w:val="left"/>
      <w:pPr>
        <w:ind w:left="3900" w:hanging="420"/>
      </w:pPr>
      <w:rPr>
        <w:rFonts w:ascii="SimHei" w:hAnsi="SimHei" w:eastAsia="黑体" w:cs="SimHei"/>
      </w:rPr>
    </w:lvl>
    <w:lvl w:ilvl="7">
      <w:start w:val="1"/>
      <w:numFmt w:val="bullet"/>
      <w:lvlText w:val=""/>
      <w:lvlJc w:val="left"/>
      <w:pPr>
        <w:ind w:left="4320" w:hanging="420"/>
      </w:pPr>
      <w:rPr>
        <w:rFonts w:ascii="SimHei" w:hAnsi="SimHei" w:eastAsia="黑体" w:cs="SimHei"/>
      </w:rPr>
    </w:lvl>
    <w:lvl w:ilvl="8">
      <w:start w:val="1"/>
      <w:numFmt w:val="bullet"/>
      <w:lvlText w:val=""/>
      <w:lvlJc w:val="left"/>
      <w:pPr>
        <w:ind w:left="4740" w:hanging="420"/>
      </w:pPr>
      <w:rPr>
        <w:rFonts w:ascii="SimHei" w:hAnsi="SimHei" w:eastAsia="黑体" w:cs="SimHei"/>
      </w:rPr>
    </w:lvl>
  </w:abstractNum>
  <w:abstractNum w:abstractNumId="14">
    <w:nsid w:val="5254260E"/>
    <w:multiLevelType w:val="multilevel"/>
    <w:tmpl w:val="5254260E"/>
    <w:lvl w:ilvl="0">
      <w:start w:val="1"/>
      <w:numFmt w:val="bullet"/>
      <w:lvlText w:val=""/>
      <w:lvlJc w:val="left"/>
      <w:pPr>
        <w:ind w:left="840" w:hanging="420"/>
      </w:pPr>
      <w:rPr>
        <w:rFonts w:ascii="SimHei" w:hAnsi="SimHei" w:eastAsia="黑体" w:cs="SimHei"/>
      </w:rPr>
    </w:lvl>
    <w:lvl w:ilvl="1">
      <w:start w:val="1"/>
      <w:numFmt w:val="bullet"/>
      <w:lvlText w:val=""/>
      <w:lvlJc w:val="left"/>
      <w:pPr>
        <w:ind w:left="1260" w:hanging="420"/>
      </w:pPr>
      <w:rPr>
        <w:rFonts w:ascii="SimHei" w:hAnsi="SimHei" w:eastAsia="黑体" w:cs="SimHei"/>
      </w:rPr>
    </w:lvl>
    <w:lvl w:ilvl="2">
      <w:start w:val="1"/>
      <w:numFmt w:val="bullet"/>
      <w:lvlText w:val=""/>
      <w:lvlJc w:val="left"/>
      <w:pPr>
        <w:ind w:left="1680" w:hanging="420"/>
      </w:pPr>
      <w:rPr>
        <w:rFonts w:ascii="SimHei" w:hAnsi="SimHei" w:eastAsia="黑体" w:cs="SimHei"/>
      </w:rPr>
    </w:lvl>
    <w:lvl w:ilvl="3">
      <w:start w:val="1"/>
      <w:numFmt w:val="bullet"/>
      <w:lvlText w:val=""/>
      <w:lvlJc w:val="left"/>
      <w:pPr>
        <w:ind w:left="2100" w:hanging="420"/>
      </w:pPr>
      <w:rPr>
        <w:rFonts w:ascii="SimHei" w:hAnsi="SimHei" w:eastAsia="黑体" w:cs="SimHei"/>
      </w:rPr>
    </w:lvl>
    <w:lvl w:ilvl="4">
      <w:start w:val="1"/>
      <w:numFmt w:val="bullet"/>
      <w:lvlText w:val=""/>
      <w:lvlJc w:val="left"/>
      <w:pPr>
        <w:ind w:left="2520" w:hanging="420"/>
      </w:pPr>
      <w:rPr>
        <w:rFonts w:ascii="SimHei" w:hAnsi="SimHei" w:eastAsia="黑体" w:cs="SimHei"/>
      </w:rPr>
    </w:lvl>
    <w:lvl w:ilvl="5">
      <w:start w:val="1"/>
      <w:numFmt w:val="bullet"/>
      <w:lvlText w:val=""/>
      <w:lvlJc w:val="left"/>
      <w:pPr>
        <w:ind w:left="2940" w:hanging="420"/>
      </w:pPr>
      <w:rPr>
        <w:rFonts w:ascii="SimHei" w:hAnsi="SimHei" w:eastAsia="黑体" w:cs="SimHei"/>
      </w:rPr>
    </w:lvl>
    <w:lvl w:ilvl="6">
      <w:start w:val="1"/>
      <w:numFmt w:val="bullet"/>
      <w:lvlText w:val=""/>
      <w:lvlJc w:val="left"/>
      <w:pPr>
        <w:ind w:left="3360" w:hanging="420"/>
      </w:pPr>
      <w:rPr>
        <w:rFonts w:ascii="SimHei" w:hAnsi="SimHei" w:eastAsia="黑体" w:cs="SimHei"/>
      </w:rPr>
    </w:lvl>
    <w:lvl w:ilvl="7">
      <w:start w:val="1"/>
      <w:numFmt w:val="bullet"/>
      <w:lvlText w:val=""/>
      <w:lvlJc w:val="left"/>
      <w:pPr>
        <w:ind w:left="3780" w:hanging="420"/>
      </w:pPr>
      <w:rPr>
        <w:rFonts w:ascii="SimHei" w:hAnsi="SimHei" w:eastAsia="黑体" w:cs="SimHei"/>
      </w:rPr>
    </w:lvl>
    <w:lvl w:ilvl="8">
      <w:start w:val="1"/>
      <w:numFmt w:val="bullet"/>
      <w:lvlText w:val=""/>
      <w:lvlJc w:val="left"/>
      <w:pPr>
        <w:ind w:left="4200" w:hanging="420"/>
      </w:pPr>
      <w:rPr>
        <w:rFonts w:ascii="SimHei" w:hAnsi="SimHei" w:eastAsia="黑体" w:cs="SimHei"/>
      </w:rPr>
    </w:lvl>
  </w:abstractNum>
  <w:abstractNum w:abstractNumId="15">
    <w:nsid w:val="626B6246"/>
    <w:multiLevelType w:val="multilevel"/>
    <w:tmpl w:val="626B6246"/>
    <w:lvl w:ilvl="0">
      <w:start w:val="1"/>
      <w:numFmt w:val="bullet"/>
      <w:lvlText w:val=""/>
      <w:lvlJc w:val="left"/>
      <w:pPr>
        <w:ind w:left="1380" w:hanging="420"/>
      </w:pPr>
      <w:rPr>
        <w:rFonts w:ascii="SimHei" w:hAnsi="SimHei" w:eastAsia="黑体" w:cs="SimHei"/>
      </w:rPr>
    </w:lvl>
    <w:lvl w:ilvl="1">
      <w:start w:val="1"/>
      <w:numFmt w:val="bullet"/>
      <w:lvlText w:val=""/>
      <w:lvlJc w:val="left"/>
      <w:pPr>
        <w:ind w:left="1800" w:hanging="420"/>
      </w:pPr>
      <w:rPr>
        <w:rFonts w:ascii="SimHei" w:hAnsi="SimHei" w:eastAsia="黑体" w:cs="SimHei"/>
      </w:rPr>
    </w:lvl>
    <w:lvl w:ilvl="2">
      <w:start w:val="1"/>
      <w:numFmt w:val="bullet"/>
      <w:lvlText w:val=""/>
      <w:lvlJc w:val="left"/>
      <w:pPr>
        <w:ind w:left="2220" w:hanging="420"/>
      </w:pPr>
      <w:rPr>
        <w:rFonts w:ascii="SimHei" w:hAnsi="SimHei" w:eastAsia="黑体" w:cs="SimHei"/>
      </w:rPr>
    </w:lvl>
    <w:lvl w:ilvl="3">
      <w:start w:val="1"/>
      <w:numFmt w:val="bullet"/>
      <w:lvlText w:val=""/>
      <w:lvlJc w:val="left"/>
      <w:pPr>
        <w:ind w:left="2640" w:hanging="420"/>
      </w:pPr>
      <w:rPr>
        <w:rFonts w:ascii="SimHei" w:hAnsi="SimHei" w:eastAsia="黑体" w:cs="SimHei"/>
      </w:rPr>
    </w:lvl>
    <w:lvl w:ilvl="4">
      <w:start w:val="1"/>
      <w:numFmt w:val="bullet"/>
      <w:lvlText w:val=""/>
      <w:lvlJc w:val="left"/>
      <w:pPr>
        <w:ind w:left="3060" w:hanging="420"/>
      </w:pPr>
      <w:rPr>
        <w:rFonts w:ascii="SimHei" w:hAnsi="SimHei" w:eastAsia="黑体" w:cs="SimHei"/>
      </w:rPr>
    </w:lvl>
    <w:lvl w:ilvl="5">
      <w:start w:val="1"/>
      <w:numFmt w:val="bullet"/>
      <w:lvlText w:val=""/>
      <w:lvlJc w:val="left"/>
      <w:pPr>
        <w:ind w:left="3480" w:hanging="420"/>
      </w:pPr>
      <w:rPr>
        <w:rFonts w:ascii="SimHei" w:hAnsi="SimHei" w:eastAsia="黑体" w:cs="SimHei"/>
      </w:rPr>
    </w:lvl>
    <w:lvl w:ilvl="6">
      <w:start w:val="1"/>
      <w:numFmt w:val="bullet"/>
      <w:lvlText w:val=""/>
      <w:lvlJc w:val="left"/>
      <w:pPr>
        <w:ind w:left="3900" w:hanging="420"/>
      </w:pPr>
      <w:rPr>
        <w:rFonts w:ascii="SimHei" w:hAnsi="SimHei" w:eastAsia="黑体" w:cs="SimHei"/>
      </w:rPr>
    </w:lvl>
    <w:lvl w:ilvl="7">
      <w:start w:val="1"/>
      <w:numFmt w:val="bullet"/>
      <w:lvlText w:val=""/>
      <w:lvlJc w:val="left"/>
      <w:pPr>
        <w:ind w:left="4320" w:hanging="420"/>
      </w:pPr>
      <w:rPr>
        <w:rFonts w:ascii="SimHei" w:hAnsi="SimHei" w:eastAsia="黑体" w:cs="SimHei"/>
      </w:rPr>
    </w:lvl>
    <w:lvl w:ilvl="8">
      <w:start w:val="1"/>
      <w:numFmt w:val="bullet"/>
      <w:lvlText w:val=""/>
      <w:lvlJc w:val="left"/>
      <w:pPr>
        <w:ind w:left="4740" w:hanging="420"/>
      </w:pPr>
      <w:rPr>
        <w:rFonts w:ascii="SimHei" w:hAnsi="SimHei" w:eastAsia="黑体" w:cs="SimHei"/>
      </w:rPr>
    </w:lvl>
  </w:abstractNum>
  <w:abstractNum w:abstractNumId="16">
    <w:nsid w:val="6C072596"/>
    <w:multiLevelType w:val="multilevel"/>
    <w:tmpl w:val="6C072596"/>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17">
    <w:nsid w:val="783E3180"/>
    <w:multiLevelType w:val="multilevel"/>
    <w:tmpl w:val="783E3180"/>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abstractNum w:abstractNumId="18">
    <w:nsid w:val="7B886A46"/>
    <w:multiLevelType w:val="multilevel"/>
    <w:tmpl w:val="7B886A46"/>
    <w:lvl w:ilvl="0">
      <w:start w:val="1"/>
      <w:numFmt w:val="bullet"/>
      <w:lvlText w:val=""/>
      <w:lvlJc w:val="left"/>
      <w:pPr>
        <w:ind w:left="420" w:hanging="420"/>
      </w:pPr>
      <w:rPr>
        <w:rFonts w:ascii="SimHei" w:hAnsi="SimHei" w:eastAsia="黑体" w:cs="SimHei"/>
      </w:rPr>
    </w:lvl>
    <w:lvl w:ilvl="1">
      <w:start w:val="1"/>
      <w:numFmt w:val="bullet"/>
      <w:lvlText w:val=""/>
      <w:lvlJc w:val="left"/>
      <w:pPr>
        <w:ind w:left="840" w:hanging="420"/>
      </w:pPr>
      <w:rPr>
        <w:rFonts w:ascii="SimHei" w:hAnsi="SimHei" w:eastAsia="黑体" w:cs="SimHei"/>
      </w:rPr>
    </w:lvl>
    <w:lvl w:ilvl="2">
      <w:start w:val="1"/>
      <w:numFmt w:val="bullet"/>
      <w:lvlText w:val=""/>
      <w:lvlJc w:val="left"/>
      <w:pPr>
        <w:ind w:left="1260" w:hanging="420"/>
      </w:pPr>
      <w:rPr>
        <w:rFonts w:ascii="SimHei" w:hAnsi="SimHei" w:eastAsia="黑体" w:cs="SimHei"/>
      </w:rPr>
    </w:lvl>
    <w:lvl w:ilvl="3">
      <w:start w:val="1"/>
      <w:numFmt w:val="bullet"/>
      <w:lvlText w:val=""/>
      <w:lvlJc w:val="left"/>
      <w:pPr>
        <w:ind w:left="1680" w:hanging="420"/>
      </w:pPr>
      <w:rPr>
        <w:rFonts w:ascii="SimHei" w:hAnsi="SimHei" w:eastAsia="黑体" w:cs="SimHei"/>
      </w:rPr>
    </w:lvl>
    <w:lvl w:ilvl="4">
      <w:start w:val="1"/>
      <w:numFmt w:val="bullet"/>
      <w:lvlText w:val=""/>
      <w:lvlJc w:val="left"/>
      <w:pPr>
        <w:ind w:left="2100" w:hanging="420"/>
      </w:pPr>
      <w:rPr>
        <w:rFonts w:ascii="SimHei" w:hAnsi="SimHei" w:eastAsia="黑体" w:cs="SimHei"/>
      </w:rPr>
    </w:lvl>
    <w:lvl w:ilvl="5">
      <w:start w:val="1"/>
      <w:numFmt w:val="bullet"/>
      <w:lvlText w:val=""/>
      <w:lvlJc w:val="left"/>
      <w:pPr>
        <w:ind w:left="2520" w:hanging="420"/>
      </w:pPr>
      <w:rPr>
        <w:rFonts w:ascii="SimHei" w:hAnsi="SimHei" w:eastAsia="黑体" w:cs="SimHei"/>
      </w:rPr>
    </w:lvl>
    <w:lvl w:ilvl="6">
      <w:start w:val="1"/>
      <w:numFmt w:val="bullet"/>
      <w:lvlText w:val=""/>
      <w:lvlJc w:val="left"/>
      <w:pPr>
        <w:ind w:left="2940" w:hanging="420"/>
      </w:pPr>
      <w:rPr>
        <w:rFonts w:ascii="SimHei" w:hAnsi="SimHei" w:eastAsia="黑体" w:cs="SimHei"/>
      </w:rPr>
    </w:lvl>
    <w:lvl w:ilvl="7">
      <w:start w:val="1"/>
      <w:numFmt w:val="bullet"/>
      <w:lvlText w:val=""/>
      <w:lvlJc w:val="left"/>
      <w:pPr>
        <w:ind w:left="3360" w:hanging="420"/>
      </w:pPr>
      <w:rPr>
        <w:rFonts w:ascii="SimHei" w:hAnsi="SimHei" w:eastAsia="黑体" w:cs="SimHei"/>
      </w:rPr>
    </w:lvl>
    <w:lvl w:ilvl="8">
      <w:start w:val="1"/>
      <w:numFmt w:val="bullet"/>
      <w:lvlText w:val=""/>
      <w:lvlJc w:val="left"/>
      <w:pPr>
        <w:ind w:left="3780" w:hanging="420"/>
      </w:pPr>
      <w:rPr>
        <w:rFonts w:ascii="SimHei" w:hAnsi="SimHei" w:eastAsia="黑体" w:cs="SimHei"/>
      </w:rPr>
    </w:lvl>
  </w:abstractNum>
  <w:num w:numId="1">
    <w:abstractNumId w:val="12"/>
  </w:num>
  <w:num w:numId="2">
    <w:abstractNumId w:val="13"/>
  </w:num>
  <w:num w:numId="3">
    <w:abstractNumId w:val="15"/>
  </w:num>
  <w:num w:numId="4">
    <w:abstractNumId w:val="4"/>
  </w:num>
  <w:num w:numId="5">
    <w:abstractNumId w:val="11"/>
  </w:num>
  <w:num w:numId="6">
    <w:abstractNumId w:val="1"/>
  </w:num>
  <w:num w:numId="7">
    <w:abstractNumId w:val="14"/>
  </w:num>
  <w:num w:numId="8">
    <w:abstractNumId w:val="5"/>
  </w:num>
  <w:num w:numId="9">
    <w:abstractNumId w:val="18"/>
  </w:num>
  <w:num w:numId="10">
    <w:abstractNumId w:val="9"/>
  </w:num>
  <w:num w:numId="11">
    <w:abstractNumId w:val="16"/>
  </w:num>
  <w:num w:numId="12">
    <w:abstractNumId w:val="6"/>
  </w:num>
  <w:num w:numId="13">
    <w:abstractNumId w:val="3"/>
  </w:num>
  <w:num w:numId="14">
    <w:abstractNumId w:val="0"/>
  </w:num>
  <w:num w:numId="15">
    <w:abstractNumId w:val="10"/>
  </w:num>
  <w:num w:numId="16">
    <w:abstractNumId w:val="2"/>
  </w:num>
  <w:num w:numId="17">
    <w:abstractNumId w:val="7"/>
  </w:num>
  <w:num w:numId="18">
    <w:abstractNumId w:val="1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48A"/>
    <w:rsid w:val="00001F47"/>
    <w:rsid w:val="00011B05"/>
    <w:rsid w:val="00021BF3"/>
    <w:rsid w:val="00050C1F"/>
    <w:rsid w:val="00054A3C"/>
    <w:rsid w:val="000A2D9D"/>
    <w:rsid w:val="000B3FAD"/>
    <w:rsid w:val="000B6297"/>
    <w:rsid w:val="000D2F0F"/>
    <w:rsid w:val="000E441B"/>
    <w:rsid w:val="000F6159"/>
    <w:rsid w:val="00115E18"/>
    <w:rsid w:val="00120338"/>
    <w:rsid w:val="00133E02"/>
    <w:rsid w:val="0014045F"/>
    <w:rsid w:val="00145B70"/>
    <w:rsid w:val="00182408"/>
    <w:rsid w:val="001826F5"/>
    <w:rsid w:val="001A3D63"/>
    <w:rsid w:val="0021606F"/>
    <w:rsid w:val="0023114C"/>
    <w:rsid w:val="002457B2"/>
    <w:rsid w:val="00246F4F"/>
    <w:rsid w:val="002A2D70"/>
    <w:rsid w:val="002A47BB"/>
    <w:rsid w:val="002B7856"/>
    <w:rsid w:val="002D1892"/>
    <w:rsid w:val="00322372"/>
    <w:rsid w:val="00342145"/>
    <w:rsid w:val="003449DC"/>
    <w:rsid w:val="003514C6"/>
    <w:rsid w:val="0036548A"/>
    <w:rsid w:val="003B20AE"/>
    <w:rsid w:val="00410F05"/>
    <w:rsid w:val="004718BA"/>
    <w:rsid w:val="00476E24"/>
    <w:rsid w:val="004B3B81"/>
    <w:rsid w:val="004C2C0A"/>
    <w:rsid w:val="00510527"/>
    <w:rsid w:val="00512969"/>
    <w:rsid w:val="005456AA"/>
    <w:rsid w:val="00560BDA"/>
    <w:rsid w:val="005945DA"/>
    <w:rsid w:val="005A56E7"/>
    <w:rsid w:val="005B4CCC"/>
    <w:rsid w:val="005D3BC5"/>
    <w:rsid w:val="005D7C87"/>
    <w:rsid w:val="005E5404"/>
    <w:rsid w:val="00616E46"/>
    <w:rsid w:val="0062115A"/>
    <w:rsid w:val="006255C1"/>
    <w:rsid w:val="006355C2"/>
    <w:rsid w:val="00640C8A"/>
    <w:rsid w:val="006444F3"/>
    <w:rsid w:val="0065596A"/>
    <w:rsid w:val="006658D0"/>
    <w:rsid w:val="006770AB"/>
    <w:rsid w:val="0068544E"/>
    <w:rsid w:val="006C1705"/>
    <w:rsid w:val="006E540D"/>
    <w:rsid w:val="00700A60"/>
    <w:rsid w:val="00715778"/>
    <w:rsid w:val="007222B6"/>
    <w:rsid w:val="00725C3B"/>
    <w:rsid w:val="00741E2F"/>
    <w:rsid w:val="007677A9"/>
    <w:rsid w:val="007811CF"/>
    <w:rsid w:val="007C373C"/>
    <w:rsid w:val="007C70B2"/>
    <w:rsid w:val="007C724C"/>
    <w:rsid w:val="007D4D1F"/>
    <w:rsid w:val="007E411D"/>
    <w:rsid w:val="007F0D3A"/>
    <w:rsid w:val="0083276E"/>
    <w:rsid w:val="008602D4"/>
    <w:rsid w:val="00867814"/>
    <w:rsid w:val="0089125D"/>
    <w:rsid w:val="008A0657"/>
    <w:rsid w:val="008B300C"/>
    <w:rsid w:val="008C5F85"/>
    <w:rsid w:val="008D702F"/>
    <w:rsid w:val="008E7B5E"/>
    <w:rsid w:val="00913455"/>
    <w:rsid w:val="00920F75"/>
    <w:rsid w:val="009308B2"/>
    <w:rsid w:val="00981946"/>
    <w:rsid w:val="0099338A"/>
    <w:rsid w:val="009A4D39"/>
    <w:rsid w:val="009E7358"/>
    <w:rsid w:val="00A069FB"/>
    <w:rsid w:val="00A3443E"/>
    <w:rsid w:val="00A35610"/>
    <w:rsid w:val="00A36C43"/>
    <w:rsid w:val="00A546A8"/>
    <w:rsid w:val="00A61A26"/>
    <w:rsid w:val="00A75E13"/>
    <w:rsid w:val="00A84D3B"/>
    <w:rsid w:val="00AA538D"/>
    <w:rsid w:val="00AA5EB9"/>
    <w:rsid w:val="00AB1420"/>
    <w:rsid w:val="00AD6ED6"/>
    <w:rsid w:val="00AD7060"/>
    <w:rsid w:val="00AF3534"/>
    <w:rsid w:val="00B11968"/>
    <w:rsid w:val="00B94E5C"/>
    <w:rsid w:val="00BB1530"/>
    <w:rsid w:val="00BB68B5"/>
    <w:rsid w:val="00BC6C3D"/>
    <w:rsid w:val="00BD0E37"/>
    <w:rsid w:val="00C14264"/>
    <w:rsid w:val="00C21497"/>
    <w:rsid w:val="00C32259"/>
    <w:rsid w:val="00C577E5"/>
    <w:rsid w:val="00C84670"/>
    <w:rsid w:val="00CB68C7"/>
    <w:rsid w:val="00CF18B9"/>
    <w:rsid w:val="00CF5391"/>
    <w:rsid w:val="00D02124"/>
    <w:rsid w:val="00D16F2A"/>
    <w:rsid w:val="00D22833"/>
    <w:rsid w:val="00D40EA2"/>
    <w:rsid w:val="00DB4A8D"/>
    <w:rsid w:val="00DB4C9E"/>
    <w:rsid w:val="00DD2BD6"/>
    <w:rsid w:val="00DE7D6F"/>
    <w:rsid w:val="00DF020A"/>
    <w:rsid w:val="00E00FAA"/>
    <w:rsid w:val="00E02487"/>
    <w:rsid w:val="00E46F76"/>
    <w:rsid w:val="00E67132"/>
    <w:rsid w:val="00EC097F"/>
    <w:rsid w:val="00EC2317"/>
    <w:rsid w:val="00EC5A6B"/>
    <w:rsid w:val="00EE3F5B"/>
    <w:rsid w:val="00EE3FEC"/>
    <w:rsid w:val="00F10639"/>
    <w:rsid w:val="00F20C57"/>
    <w:rsid w:val="00F236FD"/>
    <w:rsid w:val="00F3233C"/>
    <w:rsid w:val="00F4635A"/>
    <w:rsid w:val="00F65D27"/>
    <w:rsid w:val="00F77848"/>
    <w:rsid w:val="00F962CA"/>
    <w:rsid w:val="00FA17B9"/>
    <w:rsid w:val="00FB7259"/>
    <w:rsid w:val="00FC60A1"/>
    <w:rsid w:val="00FE1D24"/>
    <w:rsid w:val="00FE5E09"/>
    <w:rsid w:val="299949C8"/>
  </w:rsids>
  <w:docVars>
    <w:docVar w:name="commondata" w:val="eyJoZGlkIjoiMjA3NWI2MDI3ZDkwOWJjMGQ3OGZkNjNlZTMwNmFjY2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Hei" w:hAnsi="SimHei" w:eastAsia="黑体" w:cs="SimHe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uiPriority="0" w:unhideWhenUsed="0"/>
    <w:lsdException w:name="Body Text Indent 3"/>
    <w:lsdException w:name="Block Text" w:uiPriority="0" w:unhideWhenUsed="0"/>
    <w:lsdException w:name="Hyperlink" w:semiHidden="0"/>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SimHei" w:hAnsi="SimHei" w:eastAsia="黑体" w:cs="SimHei"/>
      <w:kern w:val="2"/>
      <w:sz w:val="21"/>
      <w:szCs w:val="22"/>
      <w:lang w:val="en-US" w:eastAsia="zh-CN" w:bidi="ar-SA"/>
    </w:rPr>
  </w:style>
  <w:style w:type="paragraph" w:styleId="Heading1">
    <w:name w:val="heading 1"/>
    <w:basedOn w:val="Normal"/>
    <w:next w:val="Normal"/>
    <w:link w:val="1"/>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0"/>
    <w:uiPriority w:val="9"/>
    <w:unhideWhenUsed/>
    <w:qFormat/>
    <w:pPr>
      <w:keepNext/>
      <w:keepLines/>
      <w:spacing w:before="260" w:after="260" w:line="416" w:lineRule="auto"/>
      <w:outlineLvl w:val="1"/>
    </w:pPr>
    <w:rPr>
      <w:rFonts w:ascii="SimHei" w:hAnsi="SimHei" w:eastAsia="黑体" w:cs="SimHei"/>
      <w:b/>
      <w:bCs/>
      <w:sz w:val="32"/>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BlockText">
    <w:name w:val="Block Text"/>
    <w:basedOn w:val="Normal"/>
    <w:semiHidden/>
    <w:pPr>
      <w:ind w:left="524" w:right="393" w:firstLine="393"/>
    </w:pPr>
    <w:rPr>
      <w:rFonts w:ascii="SimHei" w:hAnsi="SimHei" w:eastAsia="黑体" w:cs="SimHei"/>
      <w:sz w:val="24"/>
      <w:szCs w:val="20"/>
    </w:rPr>
  </w:style>
  <w:style w:type="paragraph" w:styleId="BodyTextIndent2">
    <w:name w:val="Body Text Indent 2"/>
    <w:basedOn w:val="Normal"/>
    <w:link w:val="2"/>
    <w:semiHidden/>
    <w:pPr>
      <w:autoSpaceDE w:val="0"/>
      <w:autoSpaceDN w:val="0"/>
      <w:adjustRightInd w:val="0"/>
      <w:ind w:firstLine="540"/>
    </w:pPr>
    <w:rPr>
      <w:rFonts w:ascii="SimHei" w:hAnsi="SimHei" w:eastAsia="黑体" w:cs="SimHei"/>
      <w:color w:val="000000"/>
      <w:sz w:val="24"/>
      <w:szCs w:val="20"/>
    </w:rPr>
  </w:style>
  <w:style w:type="paragraph" w:styleId="BalloonText">
    <w:name w:val="Balloon Text"/>
    <w:basedOn w:val="Normal"/>
    <w:link w:val="a1"/>
    <w:uiPriority w:val="99"/>
    <w:semiHidden/>
    <w:unhideWhenUsed/>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pPr>
      <w:tabs>
        <w:tab w:val="right" w:leader="dot" w:pos="8296"/>
      </w:tabs>
    </w:pPr>
  </w:style>
  <w:style w:type="paragraph" w:styleId="NormalWeb">
    <w:name w:val="Normal (Web)"/>
    <w:basedOn w:val="Normal"/>
    <w:uiPriority w:val="99"/>
    <w:semiHidden/>
    <w:unhideWhenUsed/>
    <w:pPr>
      <w:widowControl/>
      <w:spacing w:before="100" w:beforeAutospacing="1" w:after="100" w:afterAutospacing="1"/>
      <w:jc w:val="left"/>
    </w:pPr>
    <w:rPr>
      <w:rFonts w:ascii="SimHei" w:hAnsi="SimHei" w:eastAsia="黑体" w:cs="SimHei"/>
      <w:kern w:val="0"/>
      <w:sz w:val="24"/>
      <w:szCs w:val="24"/>
    </w:rPr>
  </w:style>
  <w:style w:type="table" w:styleId="TableGrid">
    <w:name w:val="Table Grid"/>
    <w:basedOn w:val="TableNorma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character" w:customStyle="1" w:styleId="a1">
    <w:name w:val="批注框文本 字符"/>
    <w:basedOn w:val="DefaultParagraphFont"/>
    <w:link w:val="BalloonText"/>
    <w:uiPriority w:val="99"/>
    <w:semiHidden/>
    <w:rPr>
      <w:sz w:val="18"/>
      <w:szCs w:val="18"/>
    </w:rPr>
  </w:style>
  <w:style w:type="character" w:customStyle="1" w:styleId="1">
    <w:name w:val="标题 1 字符"/>
    <w:basedOn w:val="DefaultParagraphFont"/>
    <w:link w:val="Heading1"/>
    <w:uiPriority w:val="9"/>
    <w:rPr>
      <w:b/>
      <w:bCs/>
      <w:kern w:val="44"/>
      <w:sz w:val="44"/>
      <w:szCs w:val="44"/>
    </w:rPr>
  </w:style>
  <w:style w:type="paragraph" w:customStyle="1" w:styleId="TOCHeading">
    <w:name w:val="TOC Heading"/>
    <w:basedOn w:val="Heading1"/>
    <w:next w:val="Normal"/>
    <w:uiPriority w:val="39"/>
    <w:semiHidden/>
    <w:unhideWhenUsed/>
    <w:qFormat/>
    <w:pPr>
      <w:widowControl/>
      <w:spacing w:before="480" w:after="0" w:line="276" w:lineRule="auto"/>
      <w:jc w:val="left"/>
      <w:outlineLvl w:val="9"/>
    </w:pPr>
    <w:rPr>
      <w:rFonts w:ascii="SimHei" w:hAnsi="SimHei" w:eastAsia="黑体" w:cs="SimHei"/>
      <w:color w:val="366091" w:themeColor="accent1" w:themeShade="BF"/>
      <w:kern w:val="0"/>
      <w:sz w:val="28"/>
      <w:szCs w:val="28"/>
    </w:rPr>
  </w:style>
  <w:style w:type="paragraph" w:styleId="ListParagraph">
    <w:name w:val="List Paragraph"/>
    <w:basedOn w:val="Normal"/>
    <w:uiPriority w:val="34"/>
    <w:qFormat/>
    <w:pPr>
      <w:ind w:firstLine="420" w:firstLineChars="200"/>
    </w:pPr>
  </w:style>
  <w:style w:type="character" w:customStyle="1" w:styleId="2">
    <w:name w:val="正文文本缩进 2 字符"/>
    <w:basedOn w:val="DefaultParagraphFont"/>
    <w:link w:val="BodyTextIndent2"/>
    <w:semiHidden/>
    <w:rPr>
      <w:rFonts w:ascii="SimHei" w:hAnsi="SimHei" w:eastAsia="黑体" w:cs="SimHei"/>
      <w:color w:val="000000"/>
      <w:sz w:val="24"/>
      <w:szCs w:val="20"/>
    </w:rPr>
  </w:style>
  <w:style w:type="character" w:customStyle="1" w:styleId="20">
    <w:name w:val="标题 2 字符"/>
    <w:basedOn w:val="DefaultParagraphFont"/>
    <w:link w:val="Heading2"/>
    <w:uiPriority w:val="9"/>
    <w:rPr>
      <w:rFonts w:ascii="SimHei" w:hAnsi="SimHei" w:eastAsia="黑体" w:cs="SimHei"/>
      <w:b/>
      <w:bCs/>
      <w:sz w:val="32"/>
      <w:szCs w:val="32"/>
    </w:rPr>
  </w:style>
  <w:style w:type="character" w:customStyle="1" w:styleId="textedit1">
    <w:name w:val="text_edit1"/>
    <w:basedOn w:val="DefaultParagraphFont"/>
    <w:rPr>
      <w:color w:val="3366CC"/>
      <w:sz w:val="15"/>
      <w:szCs w:val="15"/>
    </w:rPr>
  </w:style>
  <w:style w:type="character" w:customStyle="1" w:styleId="headline-content2">
    <w:name w:val="headline-content2"/>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34"/>
    <customShpInfo spid="_x0000_s1026"/>
    <customShpInfo spid="_x0000_s1027"/>
    <customShpInfo spid="_x0000_s1032"/>
    <customShpInfo spid="_x0000_s1035"/>
    <customShpInfo spid="_x0000_s1036"/>
    <customShpInfo spid="_x0000_s1037"/>
    <customShpInfo spid="_x0000_s1038"/>
    <customShpInfo spid="_x0000_s1042"/>
    <customShpInfo spid="_x0000_s1050"/>
    <customShpInfo spid="_x0000_s1039"/>
    <customShpInfo spid="_x0000_s1043"/>
    <customShpInfo spid="_x0000_s1049"/>
    <customShpInfo spid="_x0000_s1040"/>
    <customShpInfo spid="_x0000_s1044"/>
    <customShpInfo spid="_x0000_s1048"/>
    <customShpInfo spid="_x0000_s1041"/>
    <customShpInfo spid="_x0000_s1045"/>
    <customShpInfo spid="_x0000_s1046"/>
    <customShpInfo spid="_x0000_s1051"/>
    <customShpInfo spid="_x0000_s1030"/>
    <customShpInfo spid="_x0000_s103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5CA17A-C966-45E8-B66B-9CE7B4C2EC74}">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9</Pages>
  <Words>6352</Words>
  <Characters>6367</Characters>
  <Application>Microsoft Office Word</Application>
  <DocSecurity>0</DocSecurity>
  <Lines>51</Lines>
  <Paragraphs>14</Paragraphs>
  <ScaleCrop>false</ScaleCrop>
  <Company>三茅</Company>
  <LinksUpToDate>false</LinksUpToDate>
  <CharactersWithSpaces>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三茅</dc:creator>
  <cp:revision>0</cp:revision>
  <cp:lastPrinted>2023-03-28T07:35:48Z</cp:lastPrinted>
  <dcterms:created xsi:type="dcterms:W3CDTF">2023-03-30T12:27:10Z</dcterms:created>
  <dcterms:modified xsi:type="dcterms:W3CDTF">2023-03-31T10:30:15Z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555F85626A614ABEBB57D1D1C15AC271</vt:lpwstr>
  </property>
  <property fmtid="{D5CDD505-2E9C-101B-9397-08002B2CF9AE}" pid="3" name="KSOProductBuildVer">
    <vt:lpwstr>2052-11.1.0.13703</vt:lpwstr>
  </property>
</Properties>
</file>