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2.0 -->
  <w:body>
    <w:p>
      <w:pPr>
        <w:jc w:val="center"/>
        <w:rPr>
          <w:rFonts w:ascii="SimHei" w:hAnsi="SimHei" w:eastAsia="黑体" w:cs="SimHei"/>
          <w:b/>
          <w:sz w:val="40"/>
          <w:szCs w:val="24"/>
          <w:lang w:val="en-US" w:eastAsia="zh-CN"/>
        </w:rPr>
      </w:pPr>
      <w:r>
        <w:rPr>
          <w:rFonts w:ascii="SimHei" w:hAnsi="SimHei" w:eastAsia="黑体" w:cs="SimHei"/>
          <w:b/>
          <w:sz w:val="40"/>
          <w:szCs w:val="24"/>
        </w:rPr>
        <w:t xml:space="preserve"> 集团总部组织架构调整方案</w:t>
      </w:r>
      <w:r>
        <w:rPr>
          <w:rFonts w:ascii="SimHei" w:hAnsi="SimHei" w:eastAsia="黑体" w:cs="SimHei"/>
          <w:b/>
          <w:sz w:val="40"/>
          <w:szCs w:val="24"/>
          <w:lang w:val="en-US" w:eastAsia="zh-CN"/>
        </w:rPr>
        <w:t xml:space="preserve"> </w:t>
      </w:r>
      <w:bookmarkStart w:id="0" w:name="_GoBack"/>
      <w:bookmarkEnd w:id="0"/>
    </w:p>
    <w:p/>
    <w:p/>
    <w:p>
      <w:pPr>
        <w:rPr>
          <w:rFonts w:ascii="SimHei" w:hAnsi="SimHei" w:eastAsia="黑体" w:cs="SimHei"/>
          <w:b/>
          <w:bCs/>
          <w:sz w:val="24"/>
          <w:szCs w:val="24"/>
        </w:rPr>
      </w:pPr>
      <w:r>
        <w:rPr>
          <w:rFonts w:ascii="SimHei" w:hAnsi="SimHei" w:eastAsia="黑体" w:cs="SimHei"/>
          <w:b/>
          <w:bCs/>
          <w:sz w:val="24"/>
          <w:szCs w:val="24"/>
        </w:rPr>
        <w:t>新能集团组织架构方案一</w:t>
      </w:r>
    </w:p>
    <w:p>
      <w:pPr>
        <w:rPr>
          <w:rFonts w:ascii="SimHei" w:hAnsi="SimHei" w:eastAsia="黑体" w:cs="SimHei"/>
          <w:b/>
          <w:bCs/>
          <w:sz w:val="24"/>
          <w:szCs w:val="24"/>
        </w:rPr>
      </w:pPr>
      <w:r>
        <w:rPr>
          <w:rFonts w:ascii="SimHei" w:hAnsi="SimHei" w:eastAsia="黑体" w:cs="SimHei"/>
          <w:b/>
          <w:bCs/>
          <w:sz w:val="24"/>
          <w:szCs w:val="24"/>
        </w:rPr>
        <w:t> </w:t>
      </w:r>
      <w:r>
        <w:rPr>
          <w:rFonts w:ascii="SimHei" w:hAnsi="SimHei" w:eastAsia="黑体" w:cs="SimHei"/>
          <w:b/>
          <w:bCs/>
          <w:sz w:val="24"/>
          <w:szCs w:val="24"/>
        </w:rPr>
        <w:t>一、原则和目标</w:t>
      </w:r>
    </w:p>
    <w:p>
      <w:pPr>
        <w:rPr>
          <w:rFonts w:ascii="SimHei" w:hAnsi="SimHei" w:eastAsia="黑体" w:cs="SimHei"/>
          <w:b/>
          <w:bCs/>
          <w:sz w:val="24"/>
          <w:szCs w:val="24"/>
        </w:rPr>
      </w:pPr>
      <w:r>
        <w:rPr>
          <w:rFonts w:ascii="SimHei" w:hAnsi="SimHei" w:eastAsia="黑体" w:cs="SimHei"/>
          <w:b/>
          <w:bCs/>
          <w:sz w:val="24"/>
          <w:szCs w:val="24"/>
        </w:rPr>
        <w:t> </w:t>
      </w:r>
      <w:r>
        <w:rPr>
          <w:rFonts w:ascii="SimHei" w:hAnsi="SimHei" w:eastAsia="黑体" w:cs="SimHei"/>
          <w:b/>
          <w:bCs/>
          <w:sz w:val="24"/>
          <w:szCs w:val="24"/>
        </w:rPr>
        <w:t>原则：</w:t>
      </w:r>
    </w:p>
    <w:p>
      <w:pPr>
        <w:rPr>
          <w:rFonts w:ascii="SimHei" w:hAnsi="SimHei" w:eastAsia="黑体" w:cs="SimHei"/>
          <w:sz w:val="24"/>
          <w:szCs w:val="24"/>
        </w:rPr>
      </w:pPr>
      <w:r>
        <w:rPr>
          <w:rFonts w:ascii="SimHei" w:hAnsi="SimHei" w:eastAsia="黑体" w:cs="SimHei"/>
          <w:b/>
          <w:bCs/>
          <w:sz w:val="24"/>
          <w:szCs w:val="24"/>
        </w:rPr>
        <w:t> </w:t>
      </w:r>
      <w:r>
        <w:rPr>
          <w:rFonts w:ascii="SimHei" w:hAnsi="SimHei" w:eastAsia="黑体" w:cs="SimHei"/>
          <w:sz w:val="24"/>
          <w:szCs w:val="24"/>
        </w:rPr>
        <w:t>——紧密结合集团发展战略，有针对性地解决目前管理工作中存在的突出问题和薄弱环节；</w:t>
      </w:r>
    </w:p>
    <w:p>
      <w:pPr>
        <w:rPr>
          <w:rFonts w:ascii="SimHei" w:hAnsi="SimHei" w:eastAsia="黑体" w:cs="SimHei"/>
          <w:sz w:val="24"/>
          <w:szCs w:val="24"/>
        </w:rPr>
      </w:pPr>
      <w:r>
        <w:rPr>
          <w:rFonts w:ascii="SimHei" w:hAnsi="SimHei" w:eastAsia="黑体" w:cs="SimHei"/>
          <w:sz w:val="24"/>
          <w:szCs w:val="24"/>
        </w:rPr>
        <w:t> </w:t>
      </w:r>
      <w:r>
        <w:rPr>
          <w:rFonts w:ascii="SimHei" w:hAnsi="SimHei" w:eastAsia="黑体" w:cs="SimHei"/>
          <w:sz w:val="24"/>
          <w:szCs w:val="24"/>
        </w:rPr>
        <w:t>——适合集团的特点，精简高效，简便易行，尽量避免调整的负面影响和引起大的震动。</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目标：</w:t>
      </w:r>
    </w:p>
    <w:p>
      <w:pPr>
        <w:rPr>
          <w:rFonts w:ascii="SimHei" w:hAnsi="SimHei" w:eastAsia="黑体" w:cs="SimHei"/>
          <w:sz w:val="24"/>
          <w:szCs w:val="24"/>
        </w:rPr>
      </w:pPr>
      <w:r>
        <w:rPr>
          <w:rFonts w:ascii="SimHei" w:hAnsi="SimHei" w:eastAsia="黑体" w:cs="SimHei"/>
          <w:b/>
          <w:bCs/>
          <w:sz w:val="24"/>
          <w:szCs w:val="24"/>
        </w:rPr>
        <w:t> </w:t>
      </w:r>
      <w:r>
        <w:rPr>
          <w:rFonts w:ascii="SimHei" w:hAnsi="SimHei" w:eastAsia="黑体" w:cs="SimHei"/>
          <w:sz w:val="24"/>
          <w:szCs w:val="24"/>
        </w:rPr>
        <w:t>新能集团在二次创业中组织管理体系调整的总目标，就是建设一个以资本为纽带，主业突出、治理良好、管理高效、集权与分权适度，能够适应国际化运作，具有可持续发展竞争能力的大型集团公司。</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二、基本思路</w:t>
      </w:r>
    </w:p>
    <w:p>
      <w:pPr>
        <w:rPr>
          <w:rFonts w:ascii="SimHei" w:hAnsi="SimHei" w:eastAsia="黑体" w:cs="SimHei"/>
          <w:b/>
          <w:bCs/>
          <w:sz w:val="24"/>
          <w:szCs w:val="24"/>
        </w:rPr>
      </w:pPr>
      <w:r>
        <w:rPr>
          <w:rFonts w:ascii="SimHei" w:hAnsi="SimHei" w:eastAsia="黑体" w:cs="SimHei"/>
          <w:b/>
          <w:bCs/>
          <w:sz w:val="24"/>
          <w:szCs w:val="24"/>
        </w:rPr>
        <w:t> </w:t>
      </w:r>
      <w:r>
        <w:rPr>
          <w:rFonts w:ascii="SimHei" w:hAnsi="SimHei" w:eastAsia="黑体" w:cs="SimHei"/>
          <w:b/>
          <w:bCs/>
          <w:sz w:val="24"/>
          <w:szCs w:val="24"/>
        </w:rPr>
        <w:t>1、集团的管理定位</w:t>
      </w:r>
    </w:p>
    <w:p>
      <w:pPr>
        <w:rPr>
          <w:rFonts w:ascii="SimHei" w:hAnsi="SimHei" w:eastAsia="黑体" w:cs="SimHei"/>
          <w:sz w:val="24"/>
          <w:szCs w:val="24"/>
        </w:rPr>
      </w:pPr>
      <w:r>
        <w:rPr>
          <w:rFonts w:ascii="SimHei" w:hAnsi="SimHei" w:eastAsia="黑体" w:cs="SimHei"/>
          <w:sz w:val="24"/>
          <w:szCs w:val="24"/>
        </w:rPr>
        <w:t> </w:t>
      </w:r>
      <w:r>
        <w:rPr>
          <w:rFonts w:ascii="SimHei" w:hAnsi="SimHei" w:eastAsia="黑体" w:cs="SimHei"/>
          <w:sz w:val="24"/>
          <w:szCs w:val="24"/>
        </w:rPr>
        <w:t>依据集团的企业性质、发展战略及对下属公司业务的介入程度和管理现状，集团的管理定位和管控的目标：一方面要充分发挥各公司（业务群）价值创造的潜力和竞争力，另一方面要提升战略管理水平，通过强化各公司的协调、服务和资源共享，监控和防范各业务群的系统风险，达到集团总体价值的最大化。</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2、集团的主要管理职能</w:t>
      </w:r>
    </w:p>
    <w:p>
      <w:pPr>
        <w:rPr>
          <w:rFonts w:ascii="SimHei" w:hAnsi="SimHei" w:eastAsia="黑体" w:cs="SimHei"/>
          <w:sz w:val="24"/>
          <w:szCs w:val="24"/>
        </w:rPr>
      </w:pPr>
      <w:r>
        <w:rPr>
          <w:rFonts w:ascii="SimHei" w:hAnsi="SimHei" w:eastAsia="黑体" w:cs="SimHei"/>
          <w:sz w:val="24"/>
          <w:szCs w:val="24"/>
        </w:rPr>
        <w:t>根据新能集团的管理定位，集团主要承担以下管理职能：</w:t>
      </w:r>
    </w:p>
    <w:p>
      <w:pPr>
        <w:rPr>
          <w:rFonts w:ascii="SimHei" w:hAnsi="SimHei" w:eastAsia="黑体" w:cs="SimHei"/>
          <w:sz w:val="24"/>
          <w:szCs w:val="24"/>
        </w:rPr>
      </w:pPr>
      <w:r>
        <w:rPr>
          <w:rFonts w:ascii="SimHei" w:hAnsi="SimHei" w:eastAsia="黑体" w:cs="SimHei"/>
          <w:sz w:val="24"/>
          <w:szCs w:val="24"/>
        </w:rPr>
        <w:t> </w:t>
      </w:r>
      <w:r>
        <w:rPr>
          <w:rFonts w:ascii="SimHei" w:hAnsi="SimHei" w:eastAsia="黑体" w:cs="SimHei"/>
          <w:sz w:val="24"/>
          <w:szCs w:val="24"/>
        </w:rPr>
        <w:t>——</w:t>
      </w:r>
      <w:r>
        <w:rPr>
          <w:rFonts w:ascii="SimHei" w:hAnsi="SimHei" w:eastAsia="黑体" w:cs="SimHei"/>
          <w:b/>
          <w:bCs/>
          <w:sz w:val="24"/>
          <w:szCs w:val="24"/>
        </w:rPr>
        <w:t>战略管理</w:t>
      </w:r>
      <w:r>
        <w:rPr>
          <w:rFonts w:ascii="SimHei" w:hAnsi="SimHei" w:eastAsia="黑体" w:cs="SimHei"/>
          <w:sz w:val="24"/>
          <w:szCs w:val="24"/>
        </w:rPr>
        <w:t>：制定集团总体发展战略和审定个公司（各业务单元）发展战略。</w:t>
      </w:r>
    </w:p>
    <w:p>
      <w:pPr>
        <w:rPr>
          <w:rFonts w:ascii="SimHei" w:hAnsi="SimHei" w:eastAsia="黑体" w:cs="SimHei"/>
          <w:sz w:val="24"/>
          <w:szCs w:val="24"/>
        </w:rPr>
      </w:pPr>
      <w:r>
        <w:rPr>
          <w:rFonts w:ascii="SimHei" w:hAnsi="SimHei" w:eastAsia="黑体" w:cs="SimHei"/>
          <w:sz w:val="24"/>
          <w:szCs w:val="24"/>
        </w:rPr>
        <w:t> </w:t>
      </w:r>
      <w:r>
        <w:rPr>
          <w:rFonts w:ascii="SimHei" w:hAnsi="SimHei" w:eastAsia="黑体" w:cs="SimHei"/>
          <w:sz w:val="24"/>
          <w:szCs w:val="24"/>
        </w:rPr>
        <w:t>——</w:t>
      </w:r>
      <w:r>
        <w:rPr>
          <w:rFonts w:ascii="SimHei" w:hAnsi="SimHei" w:eastAsia="黑体" w:cs="SimHei"/>
          <w:b/>
          <w:bCs/>
          <w:sz w:val="24"/>
          <w:szCs w:val="24"/>
        </w:rPr>
        <w:t>投资管理</w:t>
      </w:r>
      <w:r>
        <w:rPr>
          <w:rFonts w:ascii="SimHei" w:hAnsi="SimHei" w:eastAsia="黑体" w:cs="SimHei"/>
          <w:sz w:val="24"/>
          <w:szCs w:val="24"/>
        </w:rPr>
        <w:t>：决定集团的投资战略和重大投资项目，评估和审定个公司限额以上投资项目。</w:t>
      </w:r>
    </w:p>
    <w:p>
      <w:pPr>
        <w:rPr>
          <w:rFonts w:ascii="SimHei" w:hAnsi="SimHei" w:eastAsia="黑体" w:cs="SimHei"/>
          <w:sz w:val="24"/>
          <w:szCs w:val="24"/>
        </w:rPr>
      </w:pPr>
      <w:r>
        <w:rPr>
          <w:rFonts w:ascii="SimHei" w:hAnsi="SimHei" w:eastAsia="黑体" w:cs="SimHei"/>
          <w:sz w:val="24"/>
          <w:szCs w:val="24"/>
        </w:rPr>
        <w:t> </w:t>
      </w:r>
      <w:r>
        <w:rPr>
          <w:rFonts w:ascii="SimHei" w:hAnsi="SimHei" w:eastAsia="黑体" w:cs="SimHei"/>
          <w:sz w:val="24"/>
          <w:szCs w:val="24"/>
        </w:rPr>
        <w:t>——</w:t>
      </w:r>
      <w:r>
        <w:rPr>
          <w:rFonts w:ascii="SimHei" w:hAnsi="SimHei" w:eastAsia="黑体" w:cs="SimHei"/>
          <w:b/>
          <w:bCs/>
          <w:sz w:val="24"/>
          <w:szCs w:val="24"/>
        </w:rPr>
        <w:t>预算与财务管理：</w:t>
      </w:r>
      <w:r>
        <w:rPr>
          <w:rFonts w:ascii="SimHei" w:hAnsi="SimHei" w:eastAsia="黑体" w:cs="SimHei"/>
          <w:sz w:val="24"/>
          <w:szCs w:val="24"/>
        </w:rPr>
        <w:t>预算与财务管理的内容包括部署、审核批准、检查各公司的财务预算、资金运用、风险防范及风险控制的实施。</w:t>
      </w:r>
    </w:p>
    <w:p>
      <w:pPr>
        <w:rPr>
          <w:rFonts w:ascii="SimHei" w:hAnsi="SimHei" w:eastAsia="黑体" w:cs="SimHei"/>
          <w:sz w:val="24"/>
          <w:szCs w:val="24"/>
        </w:rPr>
      </w:pPr>
      <w:r>
        <w:rPr>
          <w:rFonts w:ascii="SimHei" w:hAnsi="SimHei" w:eastAsia="黑体" w:cs="SimHei"/>
          <w:sz w:val="24"/>
          <w:szCs w:val="24"/>
        </w:rPr>
        <w:t>——</w:t>
      </w:r>
      <w:r>
        <w:rPr>
          <w:rFonts w:ascii="SimHei" w:hAnsi="SimHei" w:eastAsia="黑体" w:cs="SimHei"/>
          <w:b/>
          <w:bCs/>
          <w:sz w:val="24"/>
          <w:szCs w:val="24"/>
        </w:rPr>
        <w:t>人力资源行政管理</w:t>
      </w:r>
      <w:r>
        <w:rPr>
          <w:rFonts w:ascii="SimHei" w:hAnsi="SimHei" w:eastAsia="黑体" w:cs="SimHei"/>
          <w:sz w:val="24"/>
          <w:szCs w:val="24"/>
        </w:rPr>
        <w:t>：负责集团职能部门和下属公司主要管理人员的任免、管理、培训，制定集团人力资源规划、政策与激励</w:t>
      </w:r>
    </w:p>
    <w:p>
      <w:pPr>
        <w:rPr>
          <w:rFonts w:ascii="SimHei" w:hAnsi="SimHei" w:eastAsia="黑体" w:cs="SimHei"/>
          <w:sz w:val="24"/>
          <w:szCs w:val="24"/>
        </w:rPr>
      </w:pPr>
      <w:r>
        <w:rPr>
          <w:rFonts w:ascii="SimHei" w:hAnsi="SimHei" w:eastAsia="黑体" w:cs="SimHei"/>
          <w:sz w:val="24"/>
          <w:szCs w:val="24"/>
        </w:rPr>
        <w:t>机制；统筹安排行政工作。</w:t>
      </w:r>
    </w:p>
    <w:p>
      <w:pPr>
        <w:rPr>
          <w:rFonts w:ascii="SimHei" w:hAnsi="SimHei" w:eastAsia="黑体" w:cs="SimHei"/>
          <w:sz w:val="24"/>
          <w:szCs w:val="24"/>
        </w:rPr>
      </w:pPr>
      <w:r>
        <w:rPr>
          <w:rFonts w:ascii="SimHei" w:hAnsi="SimHei" w:eastAsia="黑体" w:cs="SimHei"/>
          <w:sz w:val="24"/>
          <w:szCs w:val="24"/>
        </w:rPr>
        <w:t>——</w:t>
      </w:r>
      <w:r>
        <w:rPr>
          <w:rFonts w:ascii="SimHei" w:hAnsi="SimHei" w:eastAsia="黑体" w:cs="SimHei"/>
          <w:b/>
          <w:bCs/>
          <w:sz w:val="24"/>
          <w:szCs w:val="24"/>
        </w:rPr>
        <w:t>产权事务管理：</w:t>
      </w:r>
      <w:r>
        <w:rPr>
          <w:rFonts w:ascii="SimHei" w:hAnsi="SimHei" w:eastAsia="黑体" w:cs="SimHei"/>
          <w:sz w:val="24"/>
          <w:szCs w:val="24"/>
        </w:rPr>
        <w:t>产权事务管理主要包括对集团资产运行状况进行监控和评价，以及产权登记、产权界定、产权处置和交易、资产评估管理。</w:t>
      </w:r>
    </w:p>
    <w:p>
      <w:pPr>
        <w:rPr>
          <w:rFonts w:ascii="SimHei" w:hAnsi="SimHei" w:eastAsia="黑体" w:cs="SimHei"/>
          <w:sz w:val="24"/>
          <w:szCs w:val="24"/>
        </w:rPr>
      </w:pPr>
      <w:r>
        <w:rPr>
          <w:rFonts w:ascii="SimHei" w:hAnsi="SimHei" w:eastAsia="黑体" w:cs="SimHei"/>
          <w:sz w:val="24"/>
          <w:szCs w:val="24"/>
        </w:rPr>
        <w:t>——</w:t>
      </w:r>
      <w:r>
        <w:rPr>
          <w:rFonts w:ascii="SimHei" w:hAnsi="SimHei" w:eastAsia="黑体" w:cs="SimHei"/>
          <w:b/>
          <w:bCs/>
          <w:sz w:val="24"/>
          <w:szCs w:val="24"/>
        </w:rPr>
        <w:t>监控和服务</w:t>
      </w:r>
      <w:r>
        <w:rPr>
          <w:rFonts w:ascii="SimHei" w:hAnsi="SimHei" w:eastAsia="黑体" w:cs="SimHei"/>
          <w:sz w:val="24"/>
          <w:szCs w:val="24"/>
        </w:rPr>
        <w:t>：监控集团及下属子公司的经营运作状况、重点项目进展和关键财务指标；开展集团内部审计，建立健全内部风险预警和防范系统；促进集团范围内资源和服务共享，协调发挥各业务群的资源综合效益。</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3、集团组织架构的主要任务</w:t>
      </w:r>
    </w:p>
    <w:p>
      <w:pPr>
        <w:rPr>
          <w:rFonts w:ascii="SimHei" w:hAnsi="SimHei" w:eastAsia="黑体" w:cs="SimHei"/>
          <w:sz w:val="24"/>
          <w:szCs w:val="24"/>
        </w:rPr>
      </w:pPr>
      <w:r>
        <w:rPr>
          <w:rFonts w:ascii="SimHei" w:hAnsi="SimHei" w:eastAsia="黑体" w:cs="SimHei"/>
          <w:b/>
          <w:bCs/>
          <w:sz w:val="24"/>
          <w:szCs w:val="24"/>
        </w:rPr>
        <w:t> </w:t>
      </w:r>
      <w:r>
        <w:rPr>
          <w:rFonts w:ascii="SimHei" w:hAnsi="SimHei" w:eastAsia="黑体" w:cs="SimHei"/>
          <w:sz w:val="24"/>
          <w:szCs w:val="24"/>
        </w:rPr>
        <w:t>根据集团组织架构的目标、管理定位和主要管理职能，针对目前集团组织管理上突出问题和薄弱环节，此次集团组织架构调</w:t>
      </w:r>
    </w:p>
    <w:p>
      <w:pPr>
        <w:rPr>
          <w:rFonts w:ascii="SimHei" w:hAnsi="SimHei" w:eastAsia="黑体" w:cs="SimHei"/>
          <w:sz w:val="24"/>
          <w:szCs w:val="24"/>
        </w:rPr>
      </w:pPr>
    </w:p>
    <w:p>
      <w:pPr>
        <w:rPr>
          <w:rFonts w:ascii="SimHei" w:hAnsi="SimHei" w:eastAsia="黑体" w:cs="SimHei"/>
          <w:sz w:val="24"/>
          <w:szCs w:val="24"/>
        </w:rPr>
      </w:pPr>
      <w:r>
        <w:rPr>
          <w:rFonts w:ascii="SimHei" w:hAnsi="SimHei" w:eastAsia="黑体" w:cs="SimHei"/>
          <w:sz w:val="24"/>
          <w:szCs w:val="24"/>
        </w:rPr>
        <w:t>整的主要任务是：</w:t>
      </w:r>
    </w:p>
    <w:p>
      <w:pPr>
        <w:rPr>
          <w:rFonts w:ascii="SimHei" w:hAnsi="SimHei" w:eastAsia="黑体" w:cs="SimHei"/>
          <w:sz w:val="24"/>
          <w:szCs w:val="24"/>
        </w:rPr>
      </w:pPr>
      <w:r>
        <w:rPr>
          <w:rFonts w:ascii="SimHei" w:hAnsi="SimHei" w:eastAsia="黑体" w:cs="SimHei"/>
          <w:sz w:val="24"/>
          <w:szCs w:val="24"/>
        </w:rPr>
        <w:sym w:font="Wingdings" w:char="F06C"/>
      </w:r>
      <w:r>
        <w:rPr>
          <w:rFonts w:ascii="SimHei" w:hAnsi="SimHei" w:eastAsia="黑体" w:cs="SimHei"/>
          <w:sz w:val="24"/>
          <w:szCs w:val="24"/>
        </w:rPr>
        <w:t> </w:t>
      </w:r>
      <w:r>
        <w:rPr>
          <w:rFonts w:ascii="SimHei" w:hAnsi="SimHei" w:eastAsia="黑体" w:cs="SimHei"/>
          <w:sz w:val="24"/>
          <w:szCs w:val="24"/>
        </w:rPr>
        <w:t>促进集团决策体系的科学化、民主化和规范化；</w:t>
      </w:r>
    </w:p>
    <w:p>
      <w:pPr>
        <w:rPr>
          <w:rFonts w:ascii="SimHei" w:hAnsi="SimHei" w:eastAsia="黑体" w:cs="SimHei"/>
          <w:sz w:val="24"/>
          <w:szCs w:val="24"/>
        </w:rPr>
      </w:pPr>
      <w:r>
        <w:rPr>
          <w:rFonts w:ascii="SimHei" w:hAnsi="SimHei" w:eastAsia="黑体" w:cs="SimHei"/>
          <w:sz w:val="24"/>
          <w:szCs w:val="24"/>
        </w:rPr>
        <w:sym w:font="Wingdings" w:char="F06C"/>
      </w:r>
      <w:r>
        <w:rPr>
          <w:rFonts w:ascii="SimHei" w:hAnsi="SimHei" w:eastAsia="黑体" w:cs="SimHei"/>
          <w:sz w:val="24"/>
          <w:szCs w:val="24"/>
        </w:rPr>
        <w:t>加强集团的科学管理、集中协调、系统控制和风险防范；</w:t>
      </w:r>
    </w:p>
    <w:p>
      <w:pPr>
        <w:rPr>
          <w:rFonts w:ascii="SimHei" w:hAnsi="SimHei" w:eastAsia="黑体" w:cs="SimHei"/>
          <w:sz w:val="24"/>
          <w:szCs w:val="24"/>
        </w:rPr>
      </w:pPr>
      <w:r>
        <w:rPr>
          <w:rFonts w:ascii="SimHei" w:hAnsi="SimHei" w:eastAsia="黑体" w:cs="SimHei"/>
          <w:sz w:val="24"/>
          <w:szCs w:val="24"/>
        </w:rPr>
        <w:sym w:font="Wingdings" w:char="F06C"/>
      </w:r>
      <w:r>
        <w:rPr>
          <w:rFonts w:ascii="SimHei" w:hAnsi="SimHei" w:eastAsia="黑体" w:cs="SimHei"/>
          <w:sz w:val="24"/>
          <w:szCs w:val="24"/>
        </w:rPr>
        <w:t>有利于集团发展战略的实施和资源的整合与合理配置。</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三、主要内容</w:t>
      </w:r>
    </w:p>
    <w:p>
      <w:pPr>
        <w:rPr>
          <w:rFonts w:ascii="SimHei" w:hAnsi="SimHei" w:eastAsia="黑体" w:cs="SimHei"/>
          <w:b/>
          <w:bCs/>
          <w:sz w:val="24"/>
          <w:szCs w:val="24"/>
        </w:rPr>
      </w:pPr>
      <w:r>
        <w:rPr>
          <w:rFonts w:ascii="SimHei" w:hAnsi="SimHei" w:eastAsia="黑体" w:cs="SimHei"/>
          <w:b/>
          <w:bCs/>
          <w:sz w:val="24"/>
          <w:szCs w:val="24"/>
        </w:rPr>
        <w:t>（一）确定总裁办公会职权与分工</w:t>
      </w:r>
    </w:p>
    <w:p>
      <w:pPr>
        <w:rPr>
          <w:rFonts w:ascii="SimHei" w:hAnsi="SimHei" w:eastAsia="黑体" w:cs="SimHei"/>
          <w:b/>
          <w:bCs/>
          <w:sz w:val="24"/>
          <w:szCs w:val="24"/>
        </w:rPr>
      </w:pPr>
      <w:r>
        <w:rPr>
          <w:rFonts w:ascii="SimHei" w:hAnsi="SimHei" w:eastAsia="黑体" w:cs="SimHei"/>
          <w:b/>
          <w:bCs/>
          <w:sz w:val="24"/>
          <w:szCs w:val="24"/>
        </w:rPr>
        <w:t>1、明确总裁办公会职权：</w:t>
      </w:r>
    </w:p>
    <w:p>
      <w:pPr>
        <w:rPr>
          <w:rFonts w:ascii="SimHei" w:hAnsi="SimHei" w:eastAsia="黑体" w:cs="SimHei"/>
          <w:sz w:val="24"/>
          <w:szCs w:val="24"/>
        </w:rPr>
      </w:pPr>
      <w:r>
        <w:rPr>
          <w:rFonts w:ascii="SimHei" w:hAnsi="SimHei" w:eastAsia="黑体" w:cs="SimHei"/>
          <w:sz w:val="24"/>
          <w:szCs w:val="24"/>
        </w:rPr>
        <w:t>根据董事长授权，按照总裁办公会议事规则，集团经营管理班子应主要抓好重大投资和业务领域创新项目的前期运筹和策划；二级各公司的业务协调和日常运行监控管理；实施集团决定的事项；集团各职能部门的运转及管理；批准使用集团预算内管理费用等项工作。</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2、合理划分经营管理班子成员的职责分工：</w:t>
      </w:r>
    </w:p>
    <w:p>
      <w:pPr>
        <w:rPr>
          <w:rFonts w:ascii="SimHei" w:hAnsi="SimHei" w:eastAsia="黑体" w:cs="SimHei"/>
          <w:sz w:val="24"/>
          <w:szCs w:val="24"/>
        </w:rPr>
      </w:pPr>
      <w:r>
        <w:rPr>
          <w:rFonts w:ascii="SimHei" w:hAnsi="SimHei" w:eastAsia="黑体" w:cs="SimHei"/>
          <w:sz w:val="24"/>
          <w:szCs w:val="24"/>
        </w:rPr>
        <w:t>为切实加强集团的管理工作，总裁、副总裁分工明确。可作为出资人代表，兼任二级个公司总经理，管理班子成员的职责分工（略）。</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（三）调整集团机构设置和管理职能</w:t>
      </w:r>
    </w:p>
    <w:p>
      <w:pPr>
        <w:rPr>
          <w:rFonts w:ascii="SimHei" w:hAnsi="SimHei" w:eastAsia="黑体" w:cs="SimHei"/>
          <w:sz w:val="24"/>
          <w:szCs w:val="24"/>
        </w:rPr>
      </w:pPr>
      <w:r>
        <w:rPr>
          <w:rFonts w:ascii="SimHei" w:hAnsi="SimHei" w:eastAsia="黑体" w:cs="SimHei"/>
          <w:sz w:val="24"/>
          <w:szCs w:val="24"/>
        </w:rPr>
        <w:t>根据集团组织管理体系调整的目标，集团职能管理部门的设置要进一步优化和调整，职能管理作用需要大大加强，专业管理人员队伍与素质也有待加强和提高。初步研究设想是：充实加强集团总裁办公室、人事行政管理中心、财务管理中心。建议增加营运中心、调整后的集团机构设置、工作职能如下：</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1、集团总裁办公室：</w:t>
      </w:r>
    </w:p>
    <w:p>
      <w:pPr>
        <w:rPr>
          <w:rFonts w:ascii="SimHei" w:hAnsi="SimHei" w:eastAsia="黑体" w:cs="SimHei"/>
          <w:sz w:val="24"/>
          <w:szCs w:val="24"/>
        </w:rPr>
      </w:pPr>
      <w:r>
        <w:rPr>
          <w:rFonts w:ascii="SimHei" w:hAnsi="SimHei" w:eastAsia="黑体" w:cs="SimHei"/>
          <w:sz w:val="24"/>
          <w:szCs w:val="24"/>
        </w:rPr>
        <w:t>主要职能：负责集团公文办理、档案管理、公共关系、内部协调、对外宣传、外事工作管理；负责集团董事长、总裁办公会的文秘、服务和督查催办工作；为集团领导提供有关服务工作。</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2、人事行政中心：</w:t>
      </w:r>
    </w:p>
    <w:p>
      <w:pPr>
        <w:rPr>
          <w:rFonts w:ascii="SimHei" w:hAnsi="SimHei" w:eastAsia="黑体" w:cs="SimHei"/>
          <w:sz w:val="24"/>
          <w:szCs w:val="24"/>
        </w:rPr>
      </w:pPr>
      <w:r>
        <w:rPr>
          <w:rFonts w:ascii="SimHei" w:hAnsi="SimHei" w:eastAsia="黑体" w:cs="SimHei"/>
          <w:sz w:val="24"/>
          <w:szCs w:val="24"/>
        </w:rPr>
        <w:t>作为集团的人力资源、行政管理中心，主要职能：研究和制订人力资源开发规划；集团人事管理；二级全资、控股、分公司主要经营者（总经理、副总经理）的任职考核管理；集团薪酬、福利、激励与退出机制的研究与管理；集团员工经营业绩考核管理；指导和协调集团业务培训工作；后勤行政、安全保卫事务管理。</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3、财务管理中心：</w:t>
      </w:r>
    </w:p>
    <w:p>
      <w:pPr>
        <w:rPr>
          <w:rFonts w:ascii="SimHei" w:hAnsi="SimHei" w:eastAsia="黑体" w:cs="SimHei"/>
          <w:sz w:val="24"/>
          <w:szCs w:val="24"/>
        </w:rPr>
      </w:pPr>
      <w:r>
        <w:rPr>
          <w:rFonts w:ascii="SimHei" w:hAnsi="SimHei" w:eastAsia="黑体" w:cs="SimHei"/>
          <w:sz w:val="24"/>
          <w:szCs w:val="24"/>
        </w:rPr>
        <w:t>主要职能：编制集团年度财务预算，实施预算管理；资金管理；财税业务管理；集团财务核算管理；会同国际或国内会计事务所编制集团财务年报；财务运行监控与风险预警管理；参与研究、策划和运作集团重大投融资和资本运作方案；评估和审核集团金融企业限额以上投资项目的可行性研究报告；指导集团上市公司在资本市场的整体形象策划、投融资战略和实战性运作方案的研究与制订；监控集团金融产业的运营，预警和防范集团系统的金融风险。</w:t>
      </w:r>
    </w:p>
    <w:p>
      <w:pPr>
        <w:rPr>
          <w:rFonts w:ascii="SimHei" w:hAnsi="SimHei" w:eastAsia="黑体" w:cs="SimHei"/>
          <w:sz w:val="24"/>
          <w:szCs w:val="24"/>
        </w:rPr>
      </w:pPr>
      <w:r>
        <w:rPr>
          <w:rFonts w:ascii="SimHei" w:hAnsi="SimHei" w:eastAsia="黑体" w:cs="SimHei"/>
          <w:sz w:val="24"/>
          <w:szCs w:val="24"/>
        </w:rPr>
        <w:t> </w:t>
      </w:r>
    </w:p>
    <w:p>
      <w:pPr>
        <w:rPr>
          <w:rFonts w:ascii="SimHei" w:hAnsi="SimHei" w:eastAsia="黑体" w:cs="SimHei"/>
          <w:b/>
          <w:bCs/>
          <w:sz w:val="24"/>
          <w:szCs w:val="24"/>
        </w:rPr>
      </w:pPr>
      <w:r>
        <w:rPr>
          <w:rFonts w:ascii="SimHei" w:hAnsi="SimHei" w:eastAsia="黑体" w:cs="SimHei"/>
          <w:b/>
          <w:bCs/>
          <w:sz w:val="24"/>
          <w:szCs w:val="24"/>
        </w:rPr>
        <w:t>4、营运管理中心：</w:t>
      </w:r>
    </w:p>
    <w:p>
      <w:pPr>
        <w:rPr>
          <w:rFonts w:ascii="SimHei" w:hAnsi="SimHei" w:eastAsia="黑体" w:cs="SimHei"/>
          <w:sz w:val="24"/>
          <w:szCs w:val="24"/>
        </w:rPr>
      </w:pPr>
      <w:r>
        <w:rPr>
          <w:rFonts w:ascii="SimHei" w:hAnsi="SimHei" w:eastAsia="黑体" w:cs="SimHei"/>
          <w:sz w:val="24"/>
          <w:szCs w:val="24"/>
        </w:rPr>
        <w:t>主要职能：编制生产计划，安排生产进度，指导和监督下属公司管理正常生产的运行；研究集团产业结构战略性调整规划；编报国内外重大经济动态信息；研究新能集团国际化战略与实施策略。</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109"/>
    <w:rsid w:val="002B6A3C"/>
    <w:rsid w:val="00377109"/>
    <w:rsid w:val="0043305B"/>
    <w:rsid w:val="00444B3D"/>
    <w:rsid w:val="005F52F7"/>
    <w:rsid w:val="00876346"/>
    <w:rsid w:val="00922143"/>
    <w:rsid w:val="009A5D58"/>
    <w:rsid w:val="00E525E0"/>
    <w:rsid w:val="3CED0BF9"/>
  </w:rsids>
  <w:docVars>
    <w:docVar w:name="commondata" w:val="eyJoZGlkIjoiMjA3NWI2MDI3ZDkwOWJjMGQ3OGZkNjNlZTMwNmFjY2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Hei" w:hAnsi="SimHei" w:eastAsia="黑体" w:cs="SimHe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SimHei" w:hAnsi="SimHei" w:eastAsia="黑体" w:cs="SimHe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19</TotalTime>
  <Pages>4</Pages>
  <Words>1822</Words>
  <Characters>1822</Characters>
  <Application>Microsoft Office Word</Application>
  <DocSecurity>0</DocSecurity>
  <Lines>13</Lines>
  <Paragraphs>3</Paragraphs>
  <ScaleCrop>false</ScaleCrop>
  <Company>三茅</Company>
  <LinksUpToDate>false</LinksUpToDate>
  <CharactersWithSpaces>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三茅</dc:creator>
  <cp:revision>0</cp:revision>
  <cp:lastPrinted>2023-03-28T07:35:48Z</cp:lastPrinted>
  <dcterms:created xsi:type="dcterms:W3CDTF">2023-03-30T12:27:10Z</dcterms:created>
  <dcterms:modified xsi:type="dcterms:W3CDTF">2023-03-31T10:30:15Z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422CFC328EAD422394DB6C7E12A58C1D</vt:lpwstr>
  </property>
  <property fmtid="{D5CDD505-2E9C-101B-9397-08002B2CF9AE}" pid="3" name="KSOProductBuildVer">
    <vt:lpwstr>2052-11.1.0.13703</vt:lpwstr>
  </property>
</Properties>
</file>