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7"/>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323 2853 13015 1223 12646 3668 11815 4483 11262 7743 10062 6113 8215 5706 8031 7743 6738 6928 5723 8151 5631 10189 3415 8966 2769 8966 2677 11004 1108 9781 92 10189 -185 13042 0 17525 277 17932 1569 20785 1662 21192 3231 19155 6092 18340 6462 19155 8215 17117 9138 17932 9969 16302 10062 12634 11354 15487 13385 15487 13569 13042 14308 14264 15877 13449 15969 11004 16615 12226 19200 12634 19385 11004 19754 11819 21508 10189 21692 8558 21692 1630 21323 815" adj="11058">
            <v:path/>
            <v:fill on="t" focussize="0,0"/>
            <v:stroke/>
            <v:imagedata o:title=""/>
            <o:lock v:ext="edit"/>
            <v:textpath on="t" fitshape="t" fitpath="t" trim="t" xscale="f" string="专业  实用  简单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2453640</wp:posOffset>
                </wp:positionH>
                <wp:positionV relativeFrom="paragraph">
                  <wp:posOffset>93345</wp:posOffset>
                </wp:positionV>
                <wp:extent cx="4038600" cy="647700"/>
                <wp:effectExtent l="1092835" t="245110" r="12065" b="21590"/>
                <wp:wrapNone/>
                <wp:docPr id="6" name="矩形 9"/>
                <wp:cNvGraphicFramePr/>
                <a:graphic xmlns:a="http://schemas.openxmlformats.org/drawingml/2006/main">
                  <a:graphicData uri="http://schemas.microsoft.com/office/word/2010/wordprocessingShape">
                    <wps:wsp>
                      <wps:cNvSpPr/>
                      <wps:spPr>
                        <a:xfrm>
                          <a:off x="0" y="0"/>
                          <a:ext cx="403860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模块一：人力资源规划</w:t>
                            </w:r>
                          </w:p>
                        </w:txbxContent>
                      </wps:txbx>
                      <wps:bodyPr wrap="square" upright="1"/>
                    </wps:wsp>
                  </a:graphicData>
                </a:graphic>
              </wp:anchor>
            </w:drawing>
          </mc:Choice>
          <mc:Fallback>
            <w:pict>
              <v:rect id="矩形 9" o:spid="_x0000_s1026" o:spt="1" style="position:absolute;left:0pt;margin-left:193.2pt;margin-top:7.35pt;height:51pt;width:318pt;z-index:251664384;mso-width-relative:page;mso-height-relative:page;" fillcolor="#FFFFFF" filled="t" stroked="t" coordsize="21600,21600" o:gfxdata="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9vRRNgAAAALAQAADwAAAAAAAAABACAAAAAiAAAAZHJzL2Rvd25yZXYueG1sUEsBAhQAFAAA&#10;AAgAh07iQCMMb2hhAgAA9wQAAA4AAAAAAAAAAQAgAAAAJwEAAGRycy9lMm9Eb2MueG1sUEsFBgAA&#10;AAAGAAYAWQEAAPoFA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模块一：人力资源规划</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-851535</wp:posOffset>
                </wp:positionH>
                <wp:positionV relativeFrom="paragraph">
                  <wp:posOffset>64770</wp:posOffset>
                </wp:positionV>
                <wp:extent cx="7162800" cy="1838325"/>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1838325"/>
                        </a:xfrm>
                        <a:prstGeom prst="rect">
                          <a:avLst/>
                        </a:prstGeom>
                        <a:solidFill>
                          <a:srgbClr val="FFFFFF">
                            <a:alpha val="0"/>
                          </a:srgbClr>
                        </a:solidFill>
                        <a:ln>
                          <a:noFill/>
                        </a:ln>
                      </wps:spPr>
                      <wps:txbx>
                        <w:txbxContent>
                          <w:p>
                            <w:pPr>
                              <w:jc w:val="center"/>
                              <w:rPr>
                                <w:rFonts w:ascii="SimHei" w:hAnsi="SimHei" w:eastAsia="黑体" w:cs="SimHei"/>
                                <w:b/>
                                <w:sz w:val="120"/>
                                <w:szCs w:val="120"/>
                              </w:rPr>
                            </w:pPr>
                            <w:r>
                              <w:rPr>
                                <w:rFonts w:ascii="SimHei" w:hAnsi="SimHei" w:eastAsia="黑体" w:cs="SimHei"/>
                                <w:b/>
                                <w:sz w:val="120"/>
                                <w:szCs w:val="120"/>
                              </w:rPr>
                              <w:t>人力资源战略规划表</w:t>
                            </w:r>
                          </w:p>
                          <w:p>
                            <w:pPr>
                              <w:jc w:val="center"/>
                              <w:rPr>
                                <w:rFonts w:ascii="SimHei" w:hAnsi="SimHei" w:eastAsia="黑体" w:cs="SimHei"/>
                                <w:b/>
                                <w:sz w:val="120"/>
                                <w:szCs w:val="120"/>
                              </w:rPr>
                            </w:pPr>
                          </w:p>
                        </w:txbxContent>
                      </wps:txbx>
                      <wps:bodyPr wrap="square" upright="1"/>
                    </wps:wsp>
                  </a:graphicData>
                </a:graphic>
              </wp:anchor>
            </w:drawing>
          </mc:Choice>
          <mc:Fallback>
            <w:pict>
              <v:shape id="文本框 10" o:spid="_x0000_s1026" o:spt="202" type="#_x0000_t202" style="position:absolute;left:0pt;margin-left:-67.05pt;margin-top:5.1pt;height:144.75pt;width:564pt;z-index:251665408;mso-width-relative:page;mso-height-relative:page;" fillcolor="#FFFFFF" filled="t" stroked="f" coordsize="21600,21600" o:gfxdata="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EZMfA9kAAAALAQAADwAAAAAAAAAB&#10;ACAAAAAiAAAAZHJzL2Rvd25yZXYueG1sUEsBAhQAFAAAAAgAh07iQPmquNrWAQAApAMAAA4AAAAA&#10;AAAAAQAgAAAAKAEAAGRycy9lMm9Eb2MueG1sUEsFBgAAAAAGAAYAWQEAAHAFAAAAAA==&#10;">
                <v:fill on="t" opacity="0f" focussize="0,0"/>
                <v:stroke on="f"/>
                <v:imagedata o:title=""/>
                <o:lock v:ext="edit" aspectratio="f"/>
                <v:textbox>
                  <w:txbxContent>
                    <w:p>
                      <w:pPr>
                        <w:jc w:val="center"/>
                        <w:rPr>
                          <w:rFonts w:ascii="SimHei" w:hAnsi="SimHei" w:eastAsia="黑体" w:cs="SimHei"/>
                          <w:b/>
                          <w:sz w:val="120"/>
                          <w:szCs w:val="120"/>
                        </w:rPr>
                      </w:pPr>
                      <w:r>
                        <w:rPr>
                          <w:rFonts w:ascii="SimHei" w:hAnsi="SimHei" w:eastAsia="黑体" w:cs="SimHei"/>
                          <w:b/>
                          <w:sz w:val="120"/>
                          <w:szCs w:val="120"/>
                        </w:rPr>
                        <w:t>人力资源战略规划表</w:t>
                      </w:r>
                    </w:p>
                    <w:p>
                      <w:pPr>
                        <w:jc w:val="center"/>
                        <w:rPr>
                          <w:rFonts w:ascii="SimHei" w:hAnsi="SimHei" w:eastAsia="黑体" w:cs="SimHei"/>
                          <w:b/>
                          <w:sz w:val="120"/>
                          <w:szCs w:val="120"/>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编制人力资源规划</w:t>
                            </w: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color w:val="FFFFFF"/>
                          <w:sz w:val="36"/>
                          <w:szCs w:val="36"/>
                        </w:rPr>
                      </w:pPr>
                      <w:r>
                        <w:rPr>
                          <w:rFonts w:ascii="SimHei" w:hAnsi="SimHei" w:eastAsia="黑体" w:cs="SimHei"/>
                          <w:b/>
                          <w:color w:val="FFFFFF"/>
                          <w:sz w:val="36"/>
                          <w:szCs w:val="36"/>
                        </w:rPr>
                        <w:t>编制人力资源规划</w:t>
                      </w: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rPr>
      </w:pPr>
    </w:p>
    <w:p>
      <w:pPr>
        <w:jc w:val="center"/>
        <w:rPr>
          <w:rFonts w:ascii="SimHei" w:hAnsi="SimHei" w:eastAsia="黑体" w:cs="SimHei"/>
          <w:b/>
          <w:color w:val="0070C0"/>
          <w:sz w:val="44"/>
          <w:szCs w:val="44"/>
        </w:rPr>
      </w:pPr>
      <w:r>
        <w:rPr>
          <w:rFonts w:ascii="SimHei" w:hAnsi="SimHei" w:eastAsia="黑体" w:cs="SimHei"/>
          <w:b/>
          <w:color w:val="0070C0"/>
          <w:sz w:val="44"/>
          <w:szCs w:val="44"/>
        </w:rPr>
        <w:t>人力资源战略规划表</w:t>
      </w:r>
    </w:p>
    <w:p>
      <w:pPr>
        <w:jc w:val="center"/>
        <w:rPr>
          <w:rFonts w:ascii="SimHei" w:hAnsi="SimHei" w:eastAsia="黑体" w:cs="SimHei"/>
          <w:sz w:val="24"/>
        </w:rPr>
      </w:pPr>
    </w:p>
    <w:p>
      <w:pPr>
        <w:ind w:firstLine="562" w:firstLineChars="200"/>
        <w:jc w:val="left"/>
        <w:rPr>
          <w:rFonts w:ascii="SimHei" w:hAnsi="SimHei" w:eastAsia="黑体" w:cs="SimHei"/>
          <w:sz w:val="28"/>
          <w:szCs w:val="28"/>
        </w:rPr>
      </w:pPr>
      <w:r>
        <w:rPr>
          <w:rFonts w:ascii="SimHei" w:hAnsi="SimHei" w:eastAsia="黑体" w:cs="SimHei"/>
          <w:b/>
          <w:sz w:val="28"/>
          <w:szCs w:val="28"/>
        </w:rPr>
        <w:t>说明：</w:t>
      </w:r>
      <w:r>
        <w:rPr>
          <w:rFonts w:ascii="SimHei" w:hAnsi="SimHei" w:eastAsia="黑体" w:cs="SimHei"/>
          <w:sz w:val="28"/>
          <w:szCs w:val="28"/>
        </w:rPr>
        <w:t>人力资源战略规划表，主要用于人力资源规划编制阶段。要求明确列出企业战略规划的一些关键数据（对人力资源规划具有较大影响的因素）以及未来规划期内各年度人力资源数量规划以及具体的行动方案。</w:t>
      </w:r>
    </w:p>
    <w:p>
      <w:pPr>
        <w:ind w:firstLine="560" w:firstLineChars="200"/>
        <w:jc w:val="left"/>
        <w:rPr>
          <w:rFonts w:ascii="SimHei" w:hAnsi="SimHei" w:eastAsia="黑体" w:cs="SimHei"/>
          <w:sz w:val="28"/>
          <w:szCs w:val="28"/>
        </w:rPr>
      </w:pPr>
    </w:p>
    <w:tbl>
      <w:tblPr>
        <w:tblStyle w:val="11"/>
        <w:tblW w:w="96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605"/>
        <w:gridCol w:w="1577"/>
        <w:gridCol w:w="992"/>
        <w:gridCol w:w="1418"/>
        <w:gridCol w:w="1400"/>
        <w:gridCol w:w="1435"/>
        <w:gridCol w:w="141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2961" w:type="dxa"/>
            <w:gridSpan w:val="3"/>
            <w:vMerge w:val="restart"/>
            <w:tcBorders>
              <w:top w:val="single" w:color="auto" w:sz="12" w:space="0"/>
              <w:bottom w:val="single" w:color="auto" w:sz="4" w:space="0"/>
            </w:tcBorders>
            <w:shd w:val="clear" w:color="auto" w:fill="FFFF00"/>
            <w:noWrap w:val="0"/>
            <w:vAlign w:val="center"/>
          </w:tcPr>
          <w:p>
            <w:pPr>
              <w:widowControl/>
              <w:jc w:val="center"/>
              <w:rPr>
                <w:rFonts w:ascii="SimHei" w:hAnsi="SimHei" w:eastAsia="黑体" w:cs="SimHei"/>
                <w:b/>
                <w:vanish/>
                <w:kern w:val="0"/>
                <w:szCs w:val="21"/>
              </w:rPr>
            </w:pPr>
            <w:r>
              <w:rPr>
                <w:rFonts w:ascii="SimHei" w:hAnsi="SimHei" w:eastAsia="黑体" w:cs="SimHei"/>
                <w:b/>
                <w:kern w:val="0"/>
                <w:szCs w:val="21"/>
              </w:rPr>
              <w:t>规划内容</w:t>
            </w:r>
          </w:p>
          <w:p>
            <w:pPr>
              <w:jc w:val="center"/>
              <w:rPr>
                <w:rFonts w:ascii="SimHei" w:hAnsi="SimHei" w:eastAsia="黑体" w:cs="SimHei"/>
                <w:b/>
                <w:kern w:val="0"/>
                <w:szCs w:val="21"/>
              </w:rPr>
            </w:pPr>
          </w:p>
        </w:tc>
        <w:tc>
          <w:tcPr>
            <w:tcW w:w="992" w:type="dxa"/>
            <w:vMerge w:val="restart"/>
            <w:tcBorders>
              <w:top w:val="single" w:color="auto" w:sz="12" w:space="0"/>
              <w:bottom w:val="single" w:color="auto" w:sz="4" w:space="0"/>
            </w:tcBorders>
            <w:shd w:val="clear" w:color="auto" w:fill="FFFF00"/>
            <w:noWrap w:val="0"/>
            <w:vAlign w:val="center"/>
          </w:tcPr>
          <w:p>
            <w:pPr>
              <w:jc w:val="center"/>
              <w:rPr>
                <w:rFonts w:ascii="SimHei" w:hAnsi="SimHei" w:eastAsia="黑体" w:cs="SimHei"/>
                <w:b/>
              </w:rPr>
            </w:pPr>
            <w:r>
              <w:rPr>
                <w:rFonts w:ascii="SimHei" w:hAnsi="SimHei" w:eastAsia="黑体" w:cs="SimHei"/>
                <w:b/>
              </w:rPr>
              <w:t>目前</w:t>
            </w:r>
          </w:p>
        </w:tc>
        <w:tc>
          <w:tcPr>
            <w:tcW w:w="5670" w:type="dxa"/>
            <w:gridSpan w:val="4"/>
            <w:tcBorders>
              <w:top w:val="single" w:color="auto" w:sz="12" w:space="0"/>
              <w:bottom w:val="single" w:color="auto" w:sz="4" w:space="0"/>
            </w:tcBorders>
            <w:shd w:val="clear" w:color="auto" w:fill="FFFF00"/>
            <w:noWrap w:val="0"/>
            <w:vAlign w:val="center"/>
          </w:tcPr>
          <w:p>
            <w:pPr>
              <w:jc w:val="center"/>
              <w:rPr>
                <w:b/>
              </w:rPr>
            </w:pPr>
            <w:r>
              <w:rPr>
                <w:rFonts w:ascii="SimHei" w:hAnsi="SimHei" w:eastAsia="黑体" w:cs="SimHei"/>
                <w:b/>
              </w:rPr>
              <w:t>规划/预测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2961" w:type="dxa"/>
            <w:gridSpan w:val="3"/>
            <w:vMerge w:val="continue"/>
            <w:tcBorders>
              <w:top w:val="single" w:color="auto" w:sz="4" w:space="0"/>
              <w:bottom w:val="single" w:color="auto" w:sz="4" w:space="0"/>
            </w:tcBorders>
            <w:shd w:val="clear" w:color="auto" w:fill="FFFF00"/>
            <w:noWrap w:val="0"/>
            <w:vAlign w:val="center"/>
          </w:tcPr>
          <w:p>
            <w:pPr>
              <w:jc w:val="center"/>
              <w:rPr>
                <w:rFonts w:ascii="SimHei" w:hAnsi="SimHei" w:eastAsia="黑体" w:cs="SimHei"/>
                <w:b/>
                <w:szCs w:val="21"/>
              </w:rPr>
            </w:pPr>
          </w:p>
        </w:tc>
        <w:tc>
          <w:tcPr>
            <w:tcW w:w="992" w:type="dxa"/>
            <w:vMerge w:val="continue"/>
            <w:tcBorders>
              <w:top w:val="single" w:color="auto" w:sz="4" w:space="0"/>
              <w:bottom w:val="single" w:color="auto" w:sz="4" w:space="0"/>
            </w:tcBorders>
            <w:shd w:val="clear" w:color="auto" w:fill="FFFF00"/>
            <w:noWrap w:val="0"/>
            <w:vAlign w:val="center"/>
          </w:tcPr>
          <w:p>
            <w:pPr>
              <w:jc w:val="center"/>
              <w:rPr>
                <w:rFonts w:ascii="SimHei" w:hAnsi="SimHei" w:eastAsia="黑体" w:cs="SimHei"/>
                <w:b/>
              </w:rPr>
            </w:pPr>
          </w:p>
        </w:tc>
        <w:tc>
          <w:tcPr>
            <w:tcW w:w="1418" w:type="dxa"/>
            <w:tcBorders>
              <w:top w:val="single" w:color="auto" w:sz="4" w:space="0"/>
              <w:bottom w:val="single" w:color="auto" w:sz="4" w:space="0"/>
            </w:tcBorders>
            <w:shd w:val="clear" w:color="auto" w:fill="FFFF00"/>
            <w:noWrap w:val="0"/>
            <w:vAlign w:val="center"/>
          </w:tcPr>
          <w:p>
            <w:pPr>
              <w:jc w:val="center"/>
              <w:rPr>
                <w:rFonts w:ascii="SimHei" w:hAnsi="SimHei" w:eastAsia="黑体" w:cs="SimHei"/>
                <w:b/>
              </w:rPr>
            </w:pPr>
            <w:r>
              <w:rPr>
                <w:rFonts w:ascii="SimHei" w:hAnsi="SimHei" w:eastAsia="黑体" w:cs="SimHei"/>
                <w:b/>
              </w:rPr>
              <w:t>第一年</w:t>
            </w:r>
          </w:p>
        </w:tc>
        <w:tc>
          <w:tcPr>
            <w:tcW w:w="1400" w:type="dxa"/>
            <w:tcBorders>
              <w:top w:val="single" w:color="auto" w:sz="4" w:space="0"/>
              <w:bottom w:val="single" w:color="auto" w:sz="4" w:space="0"/>
            </w:tcBorders>
            <w:shd w:val="clear" w:color="auto" w:fill="FFFF00"/>
            <w:noWrap w:val="0"/>
            <w:vAlign w:val="center"/>
          </w:tcPr>
          <w:p>
            <w:pPr>
              <w:jc w:val="center"/>
              <w:rPr>
                <w:rFonts w:ascii="SimHei" w:hAnsi="SimHei" w:eastAsia="黑体" w:cs="SimHei"/>
                <w:b/>
              </w:rPr>
            </w:pPr>
            <w:r>
              <w:rPr>
                <w:rFonts w:ascii="SimHei" w:hAnsi="SimHei" w:eastAsia="黑体" w:cs="SimHei"/>
                <w:b/>
              </w:rPr>
              <w:t>第二年</w:t>
            </w:r>
          </w:p>
        </w:tc>
        <w:tc>
          <w:tcPr>
            <w:tcW w:w="1435" w:type="dxa"/>
            <w:tcBorders>
              <w:top w:val="single" w:color="auto" w:sz="4" w:space="0"/>
              <w:bottom w:val="single" w:color="auto" w:sz="4" w:space="0"/>
            </w:tcBorders>
            <w:shd w:val="clear" w:color="auto" w:fill="FFFF00"/>
            <w:noWrap w:val="0"/>
            <w:vAlign w:val="center"/>
          </w:tcPr>
          <w:p>
            <w:pPr>
              <w:jc w:val="center"/>
              <w:rPr>
                <w:rFonts w:ascii="SimHei" w:hAnsi="SimHei" w:eastAsia="黑体" w:cs="SimHei"/>
                <w:b/>
              </w:rPr>
            </w:pPr>
            <w:r>
              <w:rPr>
                <w:rFonts w:ascii="SimHei" w:hAnsi="SimHei" w:eastAsia="黑体" w:cs="SimHei"/>
                <w:b/>
              </w:rPr>
              <w:t>第三年</w:t>
            </w:r>
          </w:p>
        </w:tc>
        <w:tc>
          <w:tcPr>
            <w:tcW w:w="1417" w:type="dxa"/>
            <w:tcBorders>
              <w:top w:val="single" w:color="auto" w:sz="4" w:space="0"/>
              <w:bottom w:val="single" w:color="auto" w:sz="4" w:space="0"/>
            </w:tcBorders>
            <w:shd w:val="clear" w:color="auto" w:fill="FFFF00"/>
            <w:noWrap w:val="0"/>
            <w:vAlign w:val="center"/>
          </w:tcPr>
          <w:p>
            <w:pPr>
              <w:jc w:val="center"/>
              <w:rPr>
                <w:rFonts w:ascii="SimHei" w:hAnsi="SimHei" w:eastAsia="黑体" w:cs="SimHei"/>
                <w:b/>
              </w:rPr>
            </w:pPr>
            <w:r>
              <w:rPr>
                <w:b/>
              </w:rPr>
              <w:t>…</w:t>
            </w:r>
            <w:r>
              <w:rPr>
                <w:rFonts w:ascii="SimHei" w:hAnsi="SimHei" w:eastAsia="黑体" w:cs="SimHei"/>
                <w:b/>
              </w:rPr>
              <w:t xml:space="preserve"> </w:t>
            </w:r>
            <w:r>
              <w:rPr>
                <w:b/>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restart"/>
            <w:tcBorders>
              <w:top w:val="single" w:color="auto" w:sz="4" w:space="0"/>
            </w:tcBorders>
            <w:noWrap w:val="0"/>
            <w:vAlign w:val="center"/>
          </w:tcPr>
          <w:p>
            <w:pPr>
              <w:jc w:val="center"/>
              <w:rPr>
                <w:rFonts w:ascii="SimHei" w:hAnsi="SimHei" w:eastAsia="黑体" w:cs="SimHei"/>
              </w:rPr>
            </w:pPr>
            <w:r>
              <w:rPr>
                <w:rFonts w:ascii="SimHei" w:hAnsi="SimHei" w:eastAsia="黑体" w:cs="SimHei"/>
              </w:rPr>
              <w:t>企业战略规划</w:t>
            </w:r>
          </w:p>
        </w:tc>
        <w:tc>
          <w:tcPr>
            <w:tcW w:w="2182" w:type="dxa"/>
            <w:gridSpan w:val="2"/>
            <w:tcBorders>
              <w:top w:val="single" w:color="auto" w:sz="4" w:space="0"/>
            </w:tcBorders>
            <w:noWrap w:val="0"/>
            <w:vAlign w:val="center"/>
          </w:tcPr>
          <w:p>
            <w:pPr>
              <w:jc w:val="center"/>
              <w:rPr>
                <w:rFonts w:ascii="SimHei" w:hAnsi="SimHei" w:eastAsia="黑体" w:cs="SimHei"/>
              </w:rPr>
            </w:pPr>
            <w:r>
              <w:rPr>
                <w:rFonts w:ascii="SimHei" w:hAnsi="SimHei" w:eastAsia="黑体" w:cs="SimHei"/>
                <w:szCs w:val="14"/>
              </w:rPr>
              <w:t>行业增长率</w:t>
            </w:r>
          </w:p>
        </w:tc>
        <w:tc>
          <w:tcPr>
            <w:tcW w:w="992" w:type="dxa"/>
            <w:tcBorders>
              <w:top w:val="single" w:color="auto" w:sz="4" w:space="0"/>
            </w:tcBorders>
            <w:noWrap w:val="0"/>
            <w:vAlign w:val="center"/>
          </w:tcPr>
          <w:p>
            <w:pPr>
              <w:jc w:val="center"/>
              <w:rPr>
                <w:rFonts w:ascii="SimHei" w:hAnsi="SimHei" w:eastAsia="黑体" w:cs="SimHei"/>
              </w:rPr>
            </w:pPr>
          </w:p>
        </w:tc>
        <w:tc>
          <w:tcPr>
            <w:tcW w:w="1418" w:type="dxa"/>
            <w:tcBorders>
              <w:top w:val="single" w:color="auto" w:sz="4" w:space="0"/>
            </w:tcBorders>
            <w:noWrap w:val="0"/>
            <w:vAlign w:val="center"/>
          </w:tcPr>
          <w:p>
            <w:pPr>
              <w:jc w:val="center"/>
              <w:rPr>
                <w:rFonts w:ascii="SimHei" w:hAnsi="SimHei" w:eastAsia="黑体" w:cs="SimHei"/>
              </w:rPr>
            </w:pPr>
          </w:p>
        </w:tc>
        <w:tc>
          <w:tcPr>
            <w:tcW w:w="1400" w:type="dxa"/>
            <w:tcBorders>
              <w:top w:val="single" w:color="auto" w:sz="4" w:space="0"/>
            </w:tcBorders>
            <w:noWrap w:val="0"/>
            <w:vAlign w:val="center"/>
          </w:tcPr>
          <w:p>
            <w:pPr>
              <w:jc w:val="center"/>
              <w:rPr>
                <w:rFonts w:ascii="SimHei" w:hAnsi="SimHei" w:eastAsia="黑体" w:cs="SimHei"/>
              </w:rPr>
            </w:pPr>
          </w:p>
        </w:tc>
        <w:tc>
          <w:tcPr>
            <w:tcW w:w="1435" w:type="dxa"/>
            <w:tcBorders>
              <w:top w:val="single" w:color="auto" w:sz="4" w:space="0"/>
            </w:tcBorders>
            <w:noWrap w:val="0"/>
            <w:vAlign w:val="center"/>
          </w:tcPr>
          <w:p>
            <w:pPr>
              <w:jc w:val="center"/>
              <w:rPr>
                <w:rFonts w:ascii="SimHei" w:hAnsi="SimHei" w:eastAsia="黑体" w:cs="SimHei"/>
              </w:rPr>
            </w:pPr>
          </w:p>
        </w:tc>
        <w:tc>
          <w:tcPr>
            <w:tcW w:w="1417" w:type="dxa"/>
            <w:tcBorders>
              <w:top w:val="single" w:color="auto" w:sz="4" w:space="0"/>
            </w:tcBorders>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vanish/>
                <w:kern w:val="0"/>
              </w:rPr>
            </w:pPr>
            <w:r>
              <w:rPr>
                <w:rFonts w:ascii="SimHei" w:hAnsi="SimHei" w:eastAsia="黑体" w:cs="SimHei"/>
                <w:szCs w:val="14"/>
              </w:rPr>
              <w:t>公司年营业收入</w:t>
            </w:r>
          </w:p>
          <w:p>
            <w:pPr>
              <w:jc w:val="center"/>
              <w:rPr>
                <w:rFonts w:ascii="SimHei" w:hAnsi="SimHei" w:eastAsia="黑体" w:cs="SimHei"/>
              </w:rPr>
            </w:pP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vanish/>
                <w:kern w:val="0"/>
              </w:rPr>
            </w:pPr>
            <w:r>
              <w:rPr>
                <w:rFonts w:ascii="SimHei" w:hAnsi="SimHei" w:eastAsia="黑体" w:cs="SimHei"/>
                <w:szCs w:val="14"/>
              </w:rPr>
              <w:t>公司利润率</w:t>
            </w:r>
          </w:p>
          <w:p>
            <w:pPr>
              <w:jc w:val="center"/>
              <w:rPr>
                <w:rFonts w:ascii="SimHei" w:hAnsi="SimHei" w:eastAsia="黑体" w:cs="SimHei"/>
              </w:rPr>
            </w:pP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14"/>
              </w:rPr>
            </w:pPr>
            <w:r>
              <w:rPr>
                <w:rFonts w:ascii="SimHei" w:hAnsi="SimHei" w:eastAsia="黑体" w:cs="SimHei"/>
                <w:szCs w:val="14"/>
              </w:rPr>
              <w:t>人力成本率</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restart"/>
            <w:noWrap w:val="0"/>
            <w:vAlign w:val="center"/>
          </w:tcPr>
          <w:p>
            <w:pPr>
              <w:jc w:val="center"/>
              <w:rPr>
                <w:rFonts w:ascii="SimHei" w:hAnsi="SimHei" w:eastAsia="黑体" w:cs="SimHei"/>
              </w:rPr>
            </w:pPr>
          </w:p>
          <w:p>
            <w:pPr>
              <w:jc w:val="center"/>
              <w:rPr>
                <w:rFonts w:ascii="SimHei" w:hAnsi="SimHei" w:eastAsia="黑体" w:cs="SimHei"/>
              </w:rPr>
            </w:pPr>
          </w:p>
          <w:p>
            <w:pPr>
              <w:jc w:val="center"/>
              <w:rPr>
                <w:rFonts w:ascii="SimHei" w:hAnsi="SimHei" w:eastAsia="黑体" w:cs="SimHei"/>
              </w:rPr>
            </w:pPr>
          </w:p>
          <w:p>
            <w:pPr>
              <w:jc w:val="center"/>
              <w:rPr>
                <w:rFonts w:ascii="SimHei" w:hAnsi="SimHei" w:eastAsia="黑体" w:cs="SimHei"/>
              </w:rPr>
            </w:pPr>
          </w:p>
          <w:p>
            <w:pPr>
              <w:jc w:val="center"/>
              <w:rPr>
                <w:rFonts w:ascii="SimHei" w:hAnsi="SimHei" w:eastAsia="黑体" w:cs="SimHei"/>
              </w:rPr>
            </w:pPr>
          </w:p>
          <w:p>
            <w:pPr>
              <w:jc w:val="center"/>
              <w:rPr>
                <w:rFonts w:ascii="SimHei" w:hAnsi="SimHei" w:eastAsia="黑体" w:cs="SimHei"/>
              </w:rPr>
            </w:pPr>
            <w:r>
              <w:rPr>
                <w:rFonts w:ascii="SimHei" w:hAnsi="SimHei" w:eastAsia="黑体" w:cs="SimHei"/>
              </w:rPr>
              <w:t>人力资源战略规划（人数）</w:t>
            </w:r>
          </w:p>
        </w:tc>
        <w:tc>
          <w:tcPr>
            <w:tcW w:w="2182" w:type="dxa"/>
            <w:gridSpan w:val="2"/>
            <w:noWrap w:val="0"/>
            <w:vAlign w:val="center"/>
          </w:tcPr>
          <w:p>
            <w:pPr>
              <w:widowControl/>
              <w:jc w:val="center"/>
              <w:rPr>
                <w:rFonts w:ascii="SimHei" w:hAnsi="SimHei" w:eastAsia="黑体" w:cs="SimHei"/>
                <w:vanish/>
                <w:kern w:val="0"/>
              </w:rPr>
            </w:pPr>
            <w:r>
              <w:rPr>
                <w:rFonts w:ascii="SimHei" w:hAnsi="SimHei" w:eastAsia="黑体" w:cs="SimHei"/>
                <w:szCs w:val="14"/>
              </w:rPr>
              <w:t>员工总人数计划</w:t>
            </w:r>
          </w:p>
          <w:p>
            <w:pPr>
              <w:jc w:val="center"/>
              <w:rPr>
                <w:rFonts w:ascii="SimHei" w:hAnsi="SimHei" w:eastAsia="黑体" w:cs="SimHei"/>
              </w:rPr>
            </w:pP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restart"/>
            <w:noWrap w:val="0"/>
            <w:vAlign w:val="center"/>
          </w:tcPr>
          <w:p>
            <w:pPr>
              <w:jc w:val="center"/>
              <w:rPr>
                <w:szCs w:val="14"/>
              </w:rPr>
            </w:pPr>
            <w:r>
              <w:rPr>
                <w:rFonts w:ascii="SimHei" w:hAnsi="SimHei" w:eastAsia="黑体" w:cs="SimHei"/>
                <w:szCs w:val="14"/>
              </w:rPr>
              <w:t>各职务类别人员计划</w:t>
            </w:r>
          </w:p>
        </w:tc>
        <w:tc>
          <w:tcPr>
            <w:tcW w:w="1577" w:type="dxa"/>
            <w:noWrap w:val="0"/>
            <w:vAlign w:val="center"/>
          </w:tcPr>
          <w:p>
            <w:pPr>
              <w:jc w:val="center"/>
              <w:rPr>
                <w:rFonts w:ascii="SimHei" w:hAnsi="SimHei" w:eastAsia="黑体" w:cs="SimHei"/>
              </w:rPr>
            </w:pPr>
            <w:r>
              <w:rPr>
                <w:rFonts w:ascii="SimHei" w:hAnsi="SimHei" w:eastAsia="黑体" w:cs="SimHei"/>
                <w:szCs w:val="14"/>
              </w:rPr>
              <w:t>高层领导</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jc w:val="center"/>
              <w:rPr>
                <w:rFonts w:ascii="SimHei" w:hAnsi="SimHei" w:eastAsia="黑体" w:cs="SimHei"/>
                <w:szCs w:val="14"/>
              </w:rPr>
            </w:pPr>
            <w:r>
              <w:rPr>
                <w:rFonts w:ascii="SimHei" w:hAnsi="SimHei" w:eastAsia="黑体" w:cs="SimHei"/>
                <w:szCs w:val="14"/>
              </w:rPr>
              <w:t>部门总监</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jc w:val="center"/>
              <w:rPr>
                <w:rFonts w:ascii="SimHei" w:hAnsi="SimHei" w:eastAsia="黑体" w:cs="SimHei"/>
                <w:szCs w:val="14"/>
              </w:rPr>
            </w:pPr>
            <w:r>
              <w:rPr>
                <w:rFonts w:ascii="SimHei" w:hAnsi="SimHei" w:eastAsia="黑体" w:cs="SimHei"/>
                <w:szCs w:val="14"/>
              </w:rPr>
              <w:t>部门经理</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jc w:val="center"/>
              <w:rPr>
                <w:rFonts w:ascii="SimHei" w:hAnsi="SimHei" w:eastAsia="黑体" w:cs="SimHei"/>
                <w:szCs w:val="14"/>
              </w:rPr>
            </w:pPr>
            <w:r>
              <w:rPr>
                <w:rFonts w:ascii="SimHei" w:hAnsi="SimHei" w:eastAsia="黑体" w:cs="SimHei"/>
                <w:szCs w:val="14"/>
              </w:rPr>
              <w:t>部门主管</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jc w:val="center"/>
              <w:rPr>
                <w:rFonts w:ascii="SimHei" w:hAnsi="SimHei" w:eastAsia="黑体" w:cs="SimHei"/>
                <w:szCs w:val="14"/>
              </w:rPr>
            </w:pPr>
            <w:r>
              <w:rPr>
                <w:rFonts w:ascii="SimHei" w:hAnsi="SimHei" w:eastAsia="黑体" w:cs="SimHei"/>
                <w:szCs w:val="14"/>
              </w:rPr>
              <w:t>专业技术人员</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jc w:val="center"/>
              <w:rPr>
                <w:rFonts w:ascii="SimHei" w:hAnsi="SimHei" w:eastAsia="黑体" w:cs="SimHei"/>
                <w:szCs w:val="14"/>
              </w:rPr>
            </w:pPr>
            <w:r>
              <w:rPr>
                <w:rFonts w:ascii="SimHei" w:hAnsi="SimHei" w:eastAsia="黑体" w:cs="SimHei"/>
                <w:szCs w:val="14"/>
              </w:rPr>
              <w:t>一般员工</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restart"/>
            <w:noWrap w:val="0"/>
            <w:vAlign w:val="center"/>
          </w:tcPr>
          <w:p>
            <w:pPr>
              <w:widowControl/>
              <w:jc w:val="center"/>
              <w:rPr>
                <w:rFonts w:ascii="SimHei" w:hAnsi="SimHei" w:eastAsia="黑体" w:cs="SimHei"/>
                <w:szCs w:val="14"/>
              </w:rPr>
            </w:pPr>
            <w:r>
              <w:rPr>
                <w:rFonts w:ascii="SimHei" w:hAnsi="SimHei" w:eastAsia="黑体" w:cs="SimHei"/>
                <w:szCs w:val="14"/>
              </w:rPr>
              <w:t>各部门人员需求计划</w:t>
            </w: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总经理办公室</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行政部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财务部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人力资源部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研发部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生产部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销售部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市场部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采购部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信息部</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restart"/>
            <w:noWrap w:val="0"/>
            <w:vAlign w:val="center"/>
          </w:tcPr>
          <w:p>
            <w:pPr>
              <w:widowControl/>
              <w:jc w:val="center"/>
              <w:rPr>
                <w:rFonts w:ascii="SimHei" w:hAnsi="SimHei" w:eastAsia="黑体" w:cs="SimHei"/>
                <w:szCs w:val="14"/>
              </w:rPr>
            </w:pPr>
            <w:r>
              <w:rPr>
                <w:rFonts w:ascii="SimHei" w:hAnsi="SimHei" w:eastAsia="黑体" w:cs="SimHei"/>
                <w:szCs w:val="14"/>
              </w:rPr>
              <w:t>人员学历计划</w:t>
            </w: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中专及以下</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大专</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本科</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硕士</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605" w:type="dxa"/>
            <w:vMerge w:val="continue"/>
            <w:noWrap w:val="0"/>
            <w:vAlign w:val="center"/>
          </w:tcPr>
          <w:p>
            <w:pPr>
              <w:widowControl/>
              <w:jc w:val="center"/>
              <w:rPr>
                <w:rFonts w:ascii="SimHei" w:hAnsi="SimHei" w:eastAsia="黑体" w:cs="SimHei"/>
                <w:szCs w:val="14"/>
              </w:rPr>
            </w:pPr>
          </w:p>
        </w:tc>
        <w:tc>
          <w:tcPr>
            <w:tcW w:w="1577" w:type="dxa"/>
            <w:noWrap w:val="0"/>
            <w:vAlign w:val="center"/>
          </w:tcPr>
          <w:p>
            <w:pPr>
              <w:widowControl/>
              <w:jc w:val="center"/>
              <w:rPr>
                <w:rFonts w:ascii="SimHei" w:hAnsi="SimHei" w:eastAsia="黑体" w:cs="SimHei"/>
                <w:szCs w:val="14"/>
              </w:rPr>
            </w:pPr>
            <w:r>
              <w:rPr>
                <w:rFonts w:ascii="SimHei" w:hAnsi="SimHei" w:eastAsia="黑体" w:cs="SimHei"/>
                <w:szCs w:val="14"/>
              </w:rPr>
              <w:t>博士以上</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restart"/>
            <w:noWrap w:val="0"/>
            <w:vAlign w:val="center"/>
          </w:tcPr>
          <w:p>
            <w:pPr>
              <w:jc w:val="center"/>
              <w:rPr>
                <w:rFonts w:ascii="SimHei" w:hAnsi="SimHei" w:eastAsia="黑体" w:cs="SimHei"/>
              </w:rPr>
            </w:pPr>
            <w:r>
              <w:rPr>
                <w:rFonts w:ascii="SimHei" w:hAnsi="SimHei" w:eastAsia="黑体" w:cs="SimHei"/>
              </w:rPr>
              <w:t>人力资源战略规划（行动方案）</w:t>
            </w:r>
            <w:r>
              <w:rPr>
                <w:rStyle w:val="14"/>
              </w:rPr>
              <w:footnoteReference w:id="0"/>
            </w: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总体计划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职务编制计划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人员配置计划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人员补充计划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人员使用和调整计划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人员培训发展计划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人员考核计划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薪酬福利计划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员工关系计划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人力资源管理机制完善计划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79" w:type="dxa"/>
            <w:vMerge w:val="continue"/>
            <w:noWrap w:val="0"/>
            <w:vAlign w:val="center"/>
          </w:tcPr>
          <w:p>
            <w:pPr>
              <w:jc w:val="center"/>
              <w:rPr>
                <w:rFonts w:ascii="SimHei" w:hAnsi="SimHei" w:eastAsia="黑体" w:cs="SimHei"/>
              </w:rPr>
            </w:pPr>
          </w:p>
        </w:tc>
        <w:tc>
          <w:tcPr>
            <w:tcW w:w="2182" w:type="dxa"/>
            <w:gridSpan w:val="2"/>
            <w:noWrap w:val="0"/>
            <w:vAlign w:val="center"/>
          </w:tcPr>
          <w:p>
            <w:pPr>
              <w:widowControl/>
              <w:jc w:val="center"/>
              <w:rPr>
                <w:rFonts w:ascii="SimHei" w:hAnsi="SimHei" w:eastAsia="黑体" w:cs="SimHei"/>
                <w:szCs w:val="21"/>
              </w:rPr>
            </w:pPr>
            <w:r>
              <w:rPr>
                <w:rFonts w:ascii="SimHei" w:hAnsi="SimHei" w:eastAsia="黑体" w:cs="SimHei"/>
                <w:szCs w:val="21"/>
              </w:rPr>
              <w:t>预算费用与控制计划</w:t>
            </w:r>
          </w:p>
        </w:tc>
        <w:tc>
          <w:tcPr>
            <w:tcW w:w="992" w:type="dxa"/>
            <w:noWrap w:val="0"/>
            <w:vAlign w:val="center"/>
          </w:tcPr>
          <w:p>
            <w:pPr>
              <w:jc w:val="center"/>
              <w:rPr>
                <w:rFonts w:ascii="SimHei" w:hAnsi="SimHei" w:eastAsia="黑体" w:cs="SimHei"/>
              </w:rPr>
            </w:pPr>
          </w:p>
        </w:tc>
        <w:tc>
          <w:tcPr>
            <w:tcW w:w="1418" w:type="dxa"/>
            <w:noWrap w:val="0"/>
            <w:vAlign w:val="center"/>
          </w:tcPr>
          <w:p>
            <w:pPr>
              <w:jc w:val="center"/>
              <w:rPr>
                <w:rFonts w:ascii="SimHei" w:hAnsi="SimHei" w:eastAsia="黑体" w:cs="SimHei"/>
              </w:rPr>
            </w:pPr>
          </w:p>
        </w:tc>
        <w:tc>
          <w:tcPr>
            <w:tcW w:w="1400" w:type="dxa"/>
            <w:noWrap w:val="0"/>
            <w:vAlign w:val="center"/>
          </w:tcPr>
          <w:p>
            <w:pPr>
              <w:jc w:val="center"/>
              <w:rPr>
                <w:rFonts w:ascii="SimHei" w:hAnsi="SimHei" w:eastAsia="黑体" w:cs="SimHei"/>
              </w:rPr>
            </w:pPr>
          </w:p>
        </w:tc>
        <w:tc>
          <w:tcPr>
            <w:tcW w:w="1435" w:type="dxa"/>
            <w:noWrap w:val="0"/>
            <w:vAlign w:val="center"/>
          </w:tcPr>
          <w:p>
            <w:pPr>
              <w:jc w:val="center"/>
              <w:rPr>
                <w:rFonts w:ascii="SimHei" w:hAnsi="SimHei" w:eastAsia="黑体" w:cs="SimHei"/>
              </w:rPr>
            </w:pPr>
          </w:p>
        </w:tc>
        <w:tc>
          <w:tcPr>
            <w:tcW w:w="1417" w:type="dxa"/>
            <w:noWrap w:val="0"/>
            <w:vAlign w:val="center"/>
          </w:tcPr>
          <w:p>
            <w:pPr>
              <w:jc w:val="center"/>
              <w:rPr>
                <w:rFonts w:ascii="SimHei" w:hAnsi="SimHei" w:eastAsia="黑体" w:cs="SimHei"/>
              </w:rPr>
            </w:pPr>
          </w:p>
        </w:tc>
      </w:tr>
    </w:tbl>
    <w:p>
      <w:pPr>
        <w:spacing w:line="500" w:lineRule="exact"/>
        <w:rPr>
          <w:rFonts w:ascii="SimHei" w:hAnsi="SimHei" w:eastAsia="黑体" w:cs="SimHei"/>
          <w:szCs w:val="21"/>
        </w:rPr>
      </w:pPr>
      <w:r>
        <w:rPr>
          <w:rFonts w:ascii="SimHei" w:hAnsi="SimHei" w:eastAsia="黑体" w:cs="SimHei"/>
          <w:szCs w:val="21"/>
        </w:rPr>
        <w:t>填表人：                   审核人：            填表时间：      年      月     日</w:t>
      </w:r>
    </w:p>
    <w:p>
      <w:pPr>
        <w:spacing w:line="500" w:lineRule="exact"/>
        <w:rPr>
          <w:rFonts w:ascii="SimHei" w:hAnsi="SimHei" w:eastAsia="黑体" w:cs="SimHei"/>
          <w:szCs w:val="21"/>
        </w:rPr>
      </w:pPr>
    </w:p>
    <w:p>
      <w:pPr>
        <w:spacing w:line="500" w:lineRule="exact"/>
        <w:rPr>
          <w:rFonts w:ascii="SimHei" w:hAnsi="SimHei" w:eastAsia="黑体" w:cs="SimHei"/>
          <w:szCs w:val="21"/>
        </w:rPr>
      </w:pPr>
      <w:r>
        <w:rPr>
          <w:rFonts w:ascii="SimHei" w:hAnsi="SimHei" w:eastAsia="黑体" w:cs="SimHei"/>
          <w:szCs w:val="21"/>
        </w:rPr>
        <w:t>填表说明：本表格由人力资源部经理填写，由总经理审批。</w:t>
      </w:r>
    </w:p>
    <w:p>
      <w:pPr>
        <w:spacing w:line="500" w:lineRule="exact"/>
        <w:rPr>
          <w:rFonts w:ascii="SimHei" w:hAnsi="SimHei" w:eastAsia="黑体" w:cs="SimHei"/>
          <w:szCs w:val="21"/>
        </w:rPr>
      </w:pPr>
    </w:p>
    <w:p>
      <w:pPr>
        <w:ind w:firstLine="560" w:firstLineChars="200"/>
        <w:jc w:val="left"/>
        <w:rPr>
          <w:rFonts w:ascii="SimHei" w:hAnsi="SimHei" w:eastAsia="黑体" w:cs="SimHei"/>
          <w:sz w:val="28"/>
          <w:szCs w:val="28"/>
        </w:rPr>
      </w:pPr>
    </w:p>
    <w:sectPr>
      <w:headerReference r:id="rId4" w:type="default"/>
      <w:footerReference r:id="rId5"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SimHei" w:hAnsi="SimHei" w:eastAsia="黑体" w:cs="SimHei"/>
        <w:color w:val="333333"/>
        <w:u w:val="single"/>
      </w:rPr>
    </w:pPr>
    <w:r>
      <w:rPr>
        <w:rFonts w:ascii="SimHei" w:hAnsi="SimHei" w:eastAsia="黑体" w:cs="SimHei"/>
        <w:color w:val="333333"/>
        <w:u w:val="single"/>
      </w:rPr>
      <w:t xml:space="preserve">                                                                                                                                                                   </w:t>
    </w:r>
  </w:p>
  <w:p>
    <w:pPr>
      <w:pStyle w:val="6"/>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9"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6"/>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KcVov7JAQAAhgMAAA4AAAAAAAAAAQAgAAAAJgEAAGRy&#10;cy9lMm9Eb2MueG1sUEsFBgAAAAAGAAYAWQEAAGEFAAAAAA==&#10;">
              <v:fill on="t" focussize="0,0"/>
              <v:stroke on="f"/>
              <v:imagedata o:title=""/>
              <o:lock v:ext="edit" aspectratio="f"/>
              <v:textbox>
                <w:txbxContent>
                  <w:p>
                    <w:pPr>
                      <w:pStyle w:val="6"/>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10"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9"/>
        <w:rPr>
          <w:rFonts w:ascii="SimHei" w:hAnsi="SimHei" w:eastAsia="黑体" w:cs="SimHei"/>
        </w:rPr>
      </w:pPr>
      <w:r>
        <w:rPr>
          <w:rStyle w:val="14"/>
        </w:rPr>
        <w:footnoteRef/>
      </w:r>
      <w:r>
        <w:t xml:space="preserve"> </w:t>
      </w:r>
      <w:r>
        <w:rPr>
          <w:rFonts w:ascii="SimHei" w:hAnsi="SimHei" w:eastAsia="黑体" w:cs="SimHei"/>
        </w:rPr>
        <w:t>本部分内容也可以用附件形式呈现，该部分内容一般也会在、《人力资源规划书》中予以详细阐述，本表格中列出一些关键信息即可。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ascii="SimHei" w:hAnsi="SimHei" w:eastAsia="黑体" w:cs="SimHei"/>
      </w:rPr>
    </w:pPr>
    <w:r>
      <w:rPr>
        <w:rFonts w:ascii="SimHei" w:hAnsi="SimHei" w:eastAsia="黑体" w:cs="SimHei"/>
        <w:bCs/>
        <w:kern w:val="0"/>
      </w:rPr>
      <w:t>人力资源管理实用工具——人力资源规划——编制人力资源规划</w:t>
    </w:r>
    <w:r>
      <w:rPr>
        <w:rFonts w:ascii="SimHei" w:hAnsi="SimHei" w:eastAsia="黑体" w:cs="SimHei"/>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64857"/>
    <w:rsid w:val="00000F65"/>
    <w:rsid w:val="0000166B"/>
    <w:rsid w:val="0000277C"/>
    <w:rsid w:val="000060E4"/>
    <w:rsid w:val="00012978"/>
    <w:rsid w:val="00027E33"/>
    <w:rsid w:val="00030940"/>
    <w:rsid w:val="00035CFC"/>
    <w:rsid w:val="00066CD6"/>
    <w:rsid w:val="000909BF"/>
    <w:rsid w:val="000916A0"/>
    <w:rsid w:val="000A79B5"/>
    <w:rsid w:val="000D3CC6"/>
    <w:rsid w:val="000D55E0"/>
    <w:rsid w:val="000E39A4"/>
    <w:rsid w:val="000F5D3A"/>
    <w:rsid w:val="0010251D"/>
    <w:rsid w:val="00102E15"/>
    <w:rsid w:val="0011175D"/>
    <w:rsid w:val="00112536"/>
    <w:rsid w:val="00116C81"/>
    <w:rsid w:val="00143814"/>
    <w:rsid w:val="001571AE"/>
    <w:rsid w:val="00162457"/>
    <w:rsid w:val="00177AF8"/>
    <w:rsid w:val="00180241"/>
    <w:rsid w:val="001A17B2"/>
    <w:rsid w:val="001A3F53"/>
    <w:rsid w:val="001E1E24"/>
    <w:rsid w:val="0021054F"/>
    <w:rsid w:val="002230CF"/>
    <w:rsid w:val="00231383"/>
    <w:rsid w:val="00235756"/>
    <w:rsid w:val="00251158"/>
    <w:rsid w:val="00263060"/>
    <w:rsid w:val="00265AE3"/>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6784"/>
    <w:rsid w:val="003F54B5"/>
    <w:rsid w:val="0040780D"/>
    <w:rsid w:val="00414C63"/>
    <w:rsid w:val="00425C9E"/>
    <w:rsid w:val="00437394"/>
    <w:rsid w:val="0044432E"/>
    <w:rsid w:val="004478DC"/>
    <w:rsid w:val="00452A9B"/>
    <w:rsid w:val="00476CED"/>
    <w:rsid w:val="004816E4"/>
    <w:rsid w:val="00484DAC"/>
    <w:rsid w:val="004B07A0"/>
    <w:rsid w:val="004C2661"/>
    <w:rsid w:val="004C4E2A"/>
    <w:rsid w:val="004C5FA5"/>
    <w:rsid w:val="004D0D01"/>
    <w:rsid w:val="004D3739"/>
    <w:rsid w:val="004E1F06"/>
    <w:rsid w:val="004E3662"/>
    <w:rsid w:val="004E7AF0"/>
    <w:rsid w:val="0051755A"/>
    <w:rsid w:val="00552491"/>
    <w:rsid w:val="00571240"/>
    <w:rsid w:val="00576863"/>
    <w:rsid w:val="00583F2E"/>
    <w:rsid w:val="005913F9"/>
    <w:rsid w:val="005918ED"/>
    <w:rsid w:val="005919AB"/>
    <w:rsid w:val="00591D49"/>
    <w:rsid w:val="005A28D7"/>
    <w:rsid w:val="005C068B"/>
    <w:rsid w:val="005C5F88"/>
    <w:rsid w:val="005F0848"/>
    <w:rsid w:val="0061387C"/>
    <w:rsid w:val="00627456"/>
    <w:rsid w:val="00662C05"/>
    <w:rsid w:val="00683382"/>
    <w:rsid w:val="0069021A"/>
    <w:rsid w:val="006914C4"/>
    <w:rsid w:val="006936CF"/>
    <w:rsid w:val="006A5DD2"/>
    <w:rsid w:val="006A77BD"/>
    <w:rsid w:val="006B0130"/>
    <w:rsid w:val="006B0702"/>
    <w:rsid w:val="006B40B5"/>
    <w:rsid w:val="006C0096"/>
    <w:rsid w:val="006D6A51"/>
    <w:rsid w:val="007057F7"/>
    <w:rsid w:val="007069E0"/>
    <w:rsid w:val="00722F97"/>
    <w:rsid w:val="00727528"/>
    <w:rsid w:val="0073138A"/>
    <w:rsid w:val="00753E4C"/>
    <w:rsid w:val="00791E6B"/>
    <w:rsid w:val="007A472F"/>
    <w:rsid w:val="007D225E"/>
    <w:rsid w:val="007D3402"/>
    <w:rsid w:val="007E34D3"/>
    <w:rsid w:val="007E3A34"/>
    <w:rsid w:val="00817F27"/>
    <w:rsid w:val="00827E79"/>
    <w:rsid w:val="0084443C"/>
    <w:rsid w:val="008507E7"/>
    <w:rsid w:val="00851ADC"/>
    <w:rsid w:val="00866C23"/>
    <w:rsid w:val="0087329E"/>
    <w:rsid w:val="00887332"/>
    <w:rsid w:val="00887DA9"/>
    <w:rsid w:val="008B0EFD"/>
    <w:rsid w:val="008B426C"/>
    <w:rsid w:val="008E0D02"/>
    <w:rsid w:val="008E2804"/>
    <w:rsid w:val="008E309D"/>
    <w:rsid w:val="008F0022"/>
    <w:rsid w:val="009039EB"/>
    <w:rsid w:val="0093369A"/>
    <w:rsid w:val="009351D9"/>
    <w:rsid w:val="009C2880"/>
    <w:rsid w:val="009D2BC0"/>
    <w:rsid w:val="009D7535"/>
    <w:rsid w:val="009E5F80"/>
    <w:rsid w:val="009E706A"/>
    <w:rsid w:val="00A16130"/>
    <w:rsid w:val="00A16447"/>
    <w:rsid w:val="00A50C8C"/>
    <w:rsid w:val="00A56643"/>
    <w:rsid w:val="00A8018A"/>
    <w:rsid w:val="00A82B2F"/>
    <w:rsid w:val="00A92408"/>
    <w:rsid w:val="00A96B95"/>
    <w:rsid w:val="00AA1238"/>
    <w:rsid w:val="00AA31E4"/>
    <w:rsid w:val="00AC0EF2"/>
    <w:rsid w:val="00AC4525"/>
    <w:rsid w:val="00AE3A95"/>
    <w:rsid w:val="00AF51F5"/>
    <w:rsid w:val="00B52974"/>
    <w:rsid w:val="00B7694F"/>
    <w:rsid w:val="00BF28C9"/>
    <w:rsid w:val="00BF5B0A"/>
    <w:rsid w:val="00C17B07"/>
    <w:rsid w:val="00C26208"/>
    <w:rsid w:val="00C465E8"/>
    <w:rsid w:val="00C729F4"/>
    <w:rsid w:val="00C811C1"/>
    <w:rsid w:val="00CB0C3F"/>
    <w:rsid w:val="00CE6254"/>
    <w:rsid w:val="00CF2078"/>
    <w:rsid w:val="00CF31C7"/>
    <w:rsid w:val="00D12157"/>
    <w:rsid w:val="00D80F09"/>
    <w:rsid w:val="00DE270E"/>
    <w:rsid w:val="00DE33D8"/>
    <w:rsid w:val="00DF5442"/>
    <w:rsid w:val="00E049E9"/>
    <w:rsid w:val="00E1408C"/>
    <w:rsid w:val="00E21B9F"/>
    <w:rsid w:val="00E2368F"/>
    <w:rsid w:val="00E267E8"/>
    <w:rsid w:val="00E358D2"/>
    <w:rsid w:val="00E45DEA"/>
    <w:rsid w:val="00E542BD"/>
    <w:rsid w:val="00E7296F"/>
    <w:rsid w:val="00EA146D"/>
    <w:rsid w:val="00EA360E"/>
    <w:rsid w:val="00EC2AF1"/>
    <w:rsid w:val="00ED48AB"/>
    <w:rsid w:val="00ED6A2E"/>
    <w:rsid w:val="00EE531C"/>
    <w:rsid w:val="00EF1FD1"/>
    <w:rsid w:val="00EF707D"/>
    <w:rsid w:val="00F2282D"/>
    <w:rsid w:val="00F24648"/>
    <w:rsid w:val="00F30C54"/>
    <w:rsid w:val="00F31D3F"/>
    <w:rsid w:val="00F47734"/>
    <w:rsid w:val="00F5541E"/>
    <w:rsid w:val="00F61283"/>
    <w:rsid w:val="00F70025"/>
    <w:rsid w:val="00F74D99"/>
    <w:rsid w:val="00F853BE"/>
    <w:rsid w:val="00FA4045"/>
    <w:rsid w:val="00FA5856"/>
    <w:rsid w:val="00FD69C0"/>
    <w:rsid w:val="05964857"/>
    <w:rsid w:val="2BBA509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Salutation"/>
    <w:basedOn w:val="1"/>
    <w:next w:val="1"/>
    <w:link w:val="18"/>
    <w:uiPriority w:val="0"/>
    <w:rPr>
      <w:sz w:val="28"/>
      <w:szCs w:val="28"/>
    </w:rPr>
  </w:style>
  <w:style w:type="paragraph" w:styleId="3">
    <w:name w:val="Closing"/>
    <w:basedOn w:val="1"/>
    <w:link w:val="19"/>
    <w:uiPriority w:val="0"/>
    <w:pPr>
      <w:ind w:left="100" w:leftChars="2100"/>
    </w:pPr>
    <w:rPr>
      <w:sz w:val="28"/>
      <w:szCs w:val="28"/>
    </w:rPr>
  </w:style>
  <w:style w:type="paragraph" w:styleId="4">
    <w:name w:val="Body Text"/>
    <w:basedOn w:val="1"/>
    <w:link w:val="20"/>
    <w:uiPriority w:val="0"/>
    <w:pPr>
      <w:widowControl/>
      <w:jc w:val="center"/>
    </w:pPr>
    <w:rPr>
      <w:rFonts w:ascii="SimHei" w:hAnsi="SimHei" w:eastAsia="黑体" w:cs="SimHei"/>
      <w:sz w:val="24"/>
      <w:szCs w:val="20"/>
    </w:rPr>
  </w:style>
  <w:style w:type="paragraph" w:styleId="5">
    <w:name w:val="Balloon Text"/>
    <w:basedOn w:val="1"/>
    <w:semiHidden/>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uiPriority w:val="0"/>
    <w:pPr>
      <w:jc w:val="center"/>
    </w:pPr>
    <w:rPr>
      <w:rFonts w:ascii="SimHei" w:hAnsi="SimHei" w:eastAsia="黑体" w:cs="SimHei"/>
      <w:b/>
      <w:sz w:val="28"/>
    </w:rPr>
  </w:style>
  <w:style w:type="paragraph" w:styleId="9">
    <w:name w:val="footnote text"/>
    <w:basedOn w:val="1"/>
    <w:link w:val="22"/>
    <w:uiPriority w:val="0"/>
    <w:pPr>
      <w:snapToGrid w:val="0"/>
      <w:jc w:val="left"/>
    </w:pPr>
    <w:rPr>
      <w:sz w:val="18"/>
      <w:szCs w:val="18"/>
    </w:rPr>
  </w:style>
  <w:style w:type="paragraph" w:styleId="10">
    <w:name w:val="Body Text 2"/>
    <w:basedOn w:val="1"/>
    <w:link w:val="21"/>
    <w:uiPriority w:val="0"/>
    <w:pPr>
      <w:spacing w:after="120" w:line="480" w:lineRule="auto"/>
    </w:pPr>
  </w:style>
  <w:style w:type="character" w:styleId="13">
    <w:name w:val="Hyperlink"/>
    <w:qFormat/>
    <w:uiPriority w:val="0"/>
    <w:rPr>
      <w:color w:val="0000FF"/>
      <w:u w:val="single"/>
    </w:rPr>
  </w:style>
  <w:style w:type="character" w:styleId="14">
    <w:name w:val="footnote reference"/>
    <w:uiPriority w:val="0"/>
    <w:rPr>
      <w:vertAlign w:val="superscript"/>
    </w:rPr>
  </w:style>
  <w:style w:type="paragraph" w:customStyle="1" w:styleId="15">
    <w:name w:val="默认段落字体 Para Char Char Char Char Char Char Char"/>
    <w:basedOn w:val="1"/>
    <w:uiPriority w:val="0"/>
    <w:pPr>
      <w:tabs>
        <w:tab w:val="left" w:pos="4665"/>
        <w:tab w:val="left" w:pos="8970"/>
      </w:tabs>
      <w:ind w:firstLine="400"/>
    </w:pPr>
    <w:rPr>
      <w:rFonts w:ascii="SimHei" w:hAnsi="SimHei" w:eastAsia="黑体" w:cs="SimHei"/>
      <w:sz w:val="24"/>
      <w:szCs w:val="20"/>
    </w:rPr>
  </w:style>
  <w:style w:type="paragraph" w:customStyle="1" w:styleId="16">
    <w:name w:val="Normal DS"/>
    <w:basedOn w:val="1"/>
    <w:uiPriority w:val="0"/>
    <w:pPr>
      <w:widowControl/>
      <w:spacing w:after="260"/>
      <w:jc w:val="left"/>
    </w:pPr>
    <w:rPr>
      <w:rFonts w:ascii="SimHei" w:hAnsi="SimHei" w:eastAsia="黑体" w:cs="SimHei"/>
      <w:kern w:val="0"/>
      <w:sz w:val="23"/>
      <w:szCs w:val="20"/>
    </w:rPr>
  </w:style>
  <w:style w:type="paragraph" w:customStyle="1" w:styleId="17">
    <w:name w:val="正文140"/>
    <w:basedOn w:val="1"/>
    <w:uiPriority w:val="0"/>
    <w:pPr>
      <w:widowControl/>
      <w:spacing w:before="100" w:beforeAutospacing="1" w:after="100" w:afterAutospacing="1"/>
      <w:jc w:val="left"/>
    </w:pPr>
    <w:rPr>
      <w:rFonts w:ascii="SimHei" w:hAnsi="SimHei" w:eastAsia="黑体" w:cs="SimHei"/>
      <w:kern w:val="0"/>
      <w:sz w:val="24"/>
    </w:rPr>
  </w:style>
  <w:style w:type="character" w:customStyle="1" w:styleId="18">
    <w:name w:val="称呼 Char"/>
    <w:link w:val="2"/>
    <w:qFormat/>
    <w:uiPriority w:val="0"/>
    <w:rPr>
      <w:kern w:val="2"/>
      <w:sz w:val="28"/>
      <w:szCs w:val="28"/>
    </w:rPr>
  </w:style>
  <w:style w:type="character" w:customStyle="1" w:styleId="19">
    <w:name w:val="结束语 Char"/>
    <w:link w:val="3"/>
    <w:uiPriority w:val="0"/>
    <w:rPr>
      <w:kern w:val="2"/>
      <w:sz w:val="28"/>
      <w:szCs w:val="28"/>
    </w:rPr>
  </w:style>
  <w:style w:type="character" w:customStyle="1" w:styleId="20">
    <w:name w:val="正文文本 Char"/>
    <w:link w:val="4"/>
    <w:qFormat/>
    <w:uiPriority w:val="0"/>
    <w:rPr>
      <w:rFonts w:ascii="SimHei" w:hAnsi="SimHei" w:eastAsia="黑体" w:cs="SimHei"/>
      <w:kern w:val="2"/>
      <w:sz w:val="24"/>
    </w:rPr>
  </w:style>
  <w:style w:type="character" w:customStyle="1" w:styleId="21">
    <w:name w:val="正文文本 2 Char"/>
    <w:link w:val="10"/>
    <w:uiPriority w:val="0"/>
    <w:rPr>
      <w:kern w:val="2"/>
      <w:sz w:val="21"/>
      <w:szCs w:val="24"/>
    </w:rPr>
  </w:style>
  <w:style w:type="character" w:customStyle="1" w:styleId="22">
    <w:name w:val="脚注文本 Char"/>
    <w:link w:val="9"/>
    <w:uiPriority w:val="0"/>
    <w:rPr>
      <w:kern w:val="2"/>
      <w:sz w:val="18"/>
      <w:szCs w:val="18"/>
    </w:rPr>
  </w:style>
  <w:style w:type="character" w:customStyle="1" w:styleId="23">
    <w:name w:val="headline-content2"/>
    <w:basedOn w:val="1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c83ea30a-059f-43ab-bebf-9f332ee46893\&#20154;&#21147;&#36164;&#28304;&#25112;&#30053;&#35268;&#21010;&#34920;.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人力资源战略规划表.doc.docx</Template>
  <Pages>4</Pages>
  <Words>408</Words>
  <Characters>408</Characters>
  <Lines>442</Lines>
  <Paragraphs>110</Paragraphs>
  <TotalTime>0</TotalTime>
  <ScaleCrop>false</ScaleCrop>
  <LinksUpToDate>false</LinksUpToDate>
  <CharactersWithSpaces>459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2022-04-24T06:59:00Z</dcterms:created>
  <dc:creator>WPS_1647346321</dc:creator>
  <cp:lastModifiedBy>WPS_1647346321</cp:lastModifiedBy>
  <dcterms:modified xsi:type="dcterms:W3CDTF">2022-04-24T06:59:35Z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人力资源战略规划表.doc</vt:lpwstr>
  </property>
  <property fmtid="{D5CDD505-2E9C-101B-9397-08002B2CF9AE}" pid="3" name="fileid">
    <vt:lpwstr>602991</vt:lpwstr>
  </property>
  <property fmtid="{D5CDD505-2E9C-101B-9397-08002B2CF9AE}" pid="4" name="KSOProductBuildVer">
    <vt:lpwstr>2052-11.1.0.11636</vt:lpwstr>
  </property>
  <property fmtid="{D5CDD505-2E9C-101B-9397-08002B2CF9AE}" pid="5" name="KSOTemplateUUID">
    <vt:lpwstr>v1.0_mb_SJTJDeQnSs6iZG9VuUB/3w==</vt:lpwstr>
  </property>
  <property fmtid="{D5CDD505-2E9C-101B-9397-08002B2CF9AE}" pid="6" name="ICV">
    <vt:lpwstr>87C3B54969964F93827F27E838EFD837</vt:lpwstr>
  </property>
</Properties>
</file>