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jc w:val="center"/>
        <w:rPr>
          <w:rFonts w:ascii="SimHei" w:hAnsi="SimHei" w:eastAsia="黑体" w:cs="SimHei"/>
          <w:b/>
          <w:b/>
          <w:color w:val="FF0000"/>
          <w:sz w:val="56"/>
          <w:szCs w:val="56"/>
        </w:rPr>
      </w:pPr>
      <w:r>
        <w:rPr>
          <w:rFonts w:ascii="SimHei" w:hAnsi="SimHei" w:eastAsia="黑体" w:cs="SimHei"/>
          <w:b/>
          <w:color w:val="FF0000"/>
          <w:sz w:val="56"/>
          <w:szCs w:val="56"/>
        </w:rPr>
        <w:t>预算管理制度</w:t>
      </w:r>
    </w:p>
    <w:p>
      <w:pPr>
        <w:pStyle w:val="Heading1"/>
        <w:jc w:val="center"/>
        <w:rPr>
          <w:rFonts w:ascii="SimHei" w:hAnsi="SimHei" w:eastAsia="黑体" w:cs="SimHei"/>
          <w:bCs w:val="false"/>
          <w:sz w:val="30"/>
          <w:szCs w:val="30"/>
        </w:rPr>
      </w:pPr>
      <w:r>
        <w:rPr>
          <w:rFonts w:ascii="SimHei" w:hAnsi="SimHei" w:eastAsia="黑体" w:cs="SimHei"/>
          <w:bCs w:val="false"/>
          <w:sz w:val="30"/>
          <w:szCs w:val="30"/>
        </w:rPr>
        <w:t>第一章  总则</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为了有效地组织和协调四川宏华石油设备公司</w:t>
      </w:r>
      <w:r>
        <w:rPr>
          <w:rFonts w:ascii="SimHei" w:hAnsi="SimHei" w:eastAsia="黑体" w:cs="SimHei"/>
          <w:sz w:val="24"/>
          <w:szCs w:val="24"/>
        </w:rPr>
        <w:t>(</w:t>
      </w:r>
      <w:r>
        <w:rPr>
          <w:rFonts w:ascii="SimHei" w:hAnsi="SimHei" w:eastAsia="黑体" w:cs="SimHei"/>
          <w:sz w:val="24"/>
          <w:szCs w:val="24"/>
        </w:rPr>
        <w:t>以下简称“宏华公司”或“公司”</w:t>
      </w:r>
      <w:r>
        <w:rPr>
          <w:rFonts w:ascii="SimHei" w:hAnsi="SimHei" w:eastAsia="黑体" w:cs="SimHei"/>
          <w:sz w:val="24"/>
          <w:szCs w:val="24"/>
        </w:rPr>
        <w:t>)</w:t>
      </w:r>
      <w:r>
        <w:rPr>
          <w:rFonts w:ascii="SimHei" w:hAnsi="SimHei" w:eastAsia="黑体" w:cs="SimHei"/>
          <w:sz w:val="24"/>
          <w:szCs w:val="24"/>
        </w:rPr>
        <w:t>以及所属各控股子公司的各种经营管理活动，对公司的财务和非财务资源进行分配、控制和考核，完成既定的经营目标，特制定本制度。</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本制度适用宏华公司以及所属各控股子公司（宏天、友信、科贸等）。分公司若未特别提及，等同于子公司运用本制度。</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宏华公司实施预算管理的目的</w:t>
      </w:r>
    </w:p>
    <w:p>
      <w:pPr>
        <w:pStyle w:val="Normal"/>
        <w:numPr>
          <w:ilvl w:val="0"/>
          <w:numId w:val="21"/>
        </w:numPr>
        <w:spacing w:lineRule="auto" w:line="360"/>
        <w:rPr/>
      </w:pPr>
      <w:r>
        <w:rPr>
          <w:rFonts w:ascii="SimHei" w:hAnsi="SimHei" w:eastAsia="黑体" w:cs="SimHei"/>
          <w:sz w:val="24"/>
          <w:szCs w:val="24"/>
        </w:rPr>
        <w:t>协调宏华公司各职能部门、各下属子公司的工作；</w:t>
      </w:r>
    </w:p>
    <w:p>
      <w:pPr>
        <w:pStyle w:val="Normal"/>
        <w:numPr>
          <w:ilvl w:val="0"/>
          <w:numId w:val="21"/>
        </w:numPr>
        <w:spacing w:lineRule="auto" w:line="360"/>
        <w:rPr>
          <w:rFonts w:ascii="SimHei" w:hAnsi="SimHei" w:eastAsia="黑体" w:cs="SimHei"/>
          <w:sz w:val="24"/>
          <w:szCs w:val="24"/>
        </w:rPr>
      </w:pPr>
      <w:r>
        <w:rPr>
          <w:rFonts w:ascii="SimHei" w:hAnsi="SimHei" w:eastAsia="黑体" w:cs="SimHei"/>
          <w:sz w:val="24"/>
          <w:szCs w:val="24"/>
        </w:rPr>
        <w:t>明确各单位的奋斗目标；</w:t>
      </w:r>
    </w:p>
    <w:p>
      <w:pPr>
        <w:pStyle w:val="Normal"/>
        <w:numPr>
          <w:ilvl w:val="0"/>
          <w:numId w:val="21"/>
        </w:numPr>
        <w:spacing w:lineRule="auto" w:line="360"/>
        <w:rPr>
          <w:rFonts w:ascii="SimHei" w:hAnsi="SimHei" w:eastAsia="黑体" w:cs="SimHei"/>
          <w:sz w:val="24"/>
          <w:szCs w:val="24"/>
        </w:rPr>
      </w:pPr>
      <w:r>
        <w:rPr>
          <w:rFonts w:ascii="SimHei" w:hAnsi="SimHei" w:eastAsia="黑体" w:cs="SimHei"/>
          <w:sz w:val="24"/>
          <w:szCs w:val="24"/>
        </w:rPr>
        <w:t>控制各经营单位的经济活动；</w:t>
      </w:r>
    </w:p>
    <w:p>
      <w:pPr>
        <w:pStyle w:val="Normal"/>
        <w:numPr>
          <w:ilvl w:val="0"/>
          <w:numId w:val="21"/>
        </w:numPr>
        <w:spacing w:lineRule="auto" w:line="360"/>
        <w:rPr>
          <w:rFonts w:ascii="SimHei" w:hAnsi="SimHei" w:eastAsia="黑体" w:cs="SimHei"/>
          <w:sz w:val="24"/>
          <w:szCs w:val="24"/>
        </w:rPr>
      </w:pPr>
      <w:r>
        <w:rPr>
          <w:rFonts w:ascii="SimHei" w:hAnsi="SimHei" w:eastAsia="黑体" w:cs="SimHei"/>
          <w:sz w:val="24"/>
          <w:szCs w:val="24"/>
        </w:rPr>
        <w:t>考核各部门的工作成绩。</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预算实行统一规划、逐级管理的管理体制</w:t>
      </w:r>
    </w:p>
    <w:p>
      <w:pPr>
        <w:pStyle w:val="Normal"/>
        <w:numPr>
          <w:ilvl w:val="0"/>
          <w:numId w:val="32"/>
        </w:numPr>
        <w:spacing w:lineRule="auto" w:line="360"/>
        <w:rPr>
          <w:rFonts w:ascii="SimHei" w:hAnsi="SimHei" w:eastAsia="黑体" w:cs="SimHei"/>
          <w:sz w:val="24"/>
          <w:szCs w:val="24"/>
        </w:rPr>
      </w:pPr>
      <w:r>
        <w:rPr>
          <w:rFonts w:ascii="SimHei" w:hAnsi="SimHei" w:eastAsia="黑体" w:cs="SimHei"/>
          <w:sz w:val="24"/>
          <w:szCs w:val="24"/>
        </w:rPr>
        <w:t>公司的预算目标统一规划、逐级分解；</w:t>
      </w:r>
    </w:p>
    <w:p>
      <w:pPr>
        <w:pStyle w:val="Normal"/>
        <w:numPr>
          <w:ilvl w:val="0"/>
          <w:numId w:val="32"/>
        </w:numPr>
        <w:spacing w:lineRule="auto" w:line="360"/>
        <w:rPr/>
      </w:pPr>
      <w:r>
        <w:rPr>
          <w:rFonts w:ascii="SimHei" w:hAnsi="SimHei" w:eastAsia="黑体" w:cs="SimHei"/>
          <w:sz w:val="24"/>
          <w:szCs w:val="24"/>
        </w:rPr>
        <w:t>经下达的预算指标由宏华公司各职能部门及下属子公司负责落实；</w:t>
      </w:r>
    </w:p>
    <w:p>
      <w:pPr>
        <w:pStyle w:val="Normal"/>
        <w:numPr>
          <w:ilvl w:val="0"/>
          <w:numId w:val="32"/>
        </w:numPr>
        <w:spacing w:lineRule="auto" w:line="360"/>
        <w:rPr>
          <w:rFonts w:ascii="SimHei" w:hAnsi="SimHei" w:eastAsia="黑体" w:cs="SimHei"/>
          <w:sz w:val="24"/>
          <w:szCs w:val="24"/>
        </w:rPr>
      </w:pPr>
      <w:r>
        <w:rPr>
          <w:rFonts w:ascii="SimHei" w:hAnsi="SimHei" w:eastAsia="黑体" w:cs="SimHei"/>
          <w:sz w:val="24"/>
          <w:szCs w:val="24"/>
        </w:rPr>
        <w:t>由宏华公司统一对预算执行情况分析考核。</w:t>
      </w:r>
    </w:p>
    <w:p>
      <w:pPr>
        <w:pStyle w:val="Heading1"/>
        <w:jc w:val="center"/>
        <w:rPr>
          <w:rFonts w:ascii="SimHei" w:hAnsi="SimHei" w:eastAsia="黑体" w:cs="SimHei"/>
          <w:bCs w:val="false"/>
          <w:sz w:val="30"/>
          <w:szCs w:val="30"/>
        </w:rPr>
      </w:pPr>
      <w:r>
        <w:rPr>
          <w:rFonts w:ascii="SimHei" w:hAnsi="SimHei" w:eastAsia="黑体" w:cs="SimHei"/>
          <w:bCs w:val="false"/>
          <w:sz w:val="30"/>
          <w:szCs w:val="30"/>
        </w:rPr>
        <w:t>第二章  预算的组织体系</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预算管理的组织机构包括：预算领导机构、预算管理部门和预算执行部门。</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预算领导机构</w:t>
      </w:r>
    </w:p>
    <w:p>
      <w:pPr>
        <w:pStyle w:val="Normal"/>
        <w:spacing w:lineRule="auto" w:line="360"/>
        <w:ind w:firstLine="480"/>
        <w:rPr/>
      </w:pPr>
      <w:r>
        <w:rPr>
          <w:rFonts w:ascii="SimHei" w:hAnsi="SimHei" w:eastAsia="黑体" w:cs="SimHei"/>
          <w:sz w:val="24"/>
          <w:szCs w:val="24"/>
        </w:rPr>
        <w:t>宏华公司董事会是宏华公司预算的决策机构。</w:t>
      </w:r>
    </w:p>
    <w:p>
      <w:pPr>
        <w:pStyle w:val="Normal"/>
        <w:spacing w:lineRule="auto" w:line="360"/>
        <w:ind w:firstLine="480"/>
        <w:rPr>
          <w:rFonts w:ascii="SimHei" w:hAnsi="SimHei" w:eastAsia="黑体" w:cs="SimHei"/>
          <w:sz w:val="24"/>
          <w:szCs w:val="24"/>
        </w:rPr>
      </w:pPr>
      <w:r>
        <w:rPr>
          <w:rFonts w:ascii="SimHei" w:hAnsi="SimHei" w:eastAsia="黑体" w:cs="SimHei"/>
          <w:sz w:val="24"/>
          <w:szCs w:val="24"/>
        </w:rPr>
        <w:t>董事会职责</w:t>
      </w:r>
    </w:p>
    <w:p>
      <w:pPr>
        <w:pStyle w:val="Normal"/>
        <w:numPr>
          <w:ilvl w:val="0"/>
          <w:numId w:val="30"/>
        </w:numPr>
        <w:spacing w:lineRule="auto" w:line="360"/>
        <w:rPr>
          <w:rFonts w:ascii="SimHei" w:hAnsi="SimHei" w:eastAsia="黑体" w:cs="SimHei"/>
          <w:sz w:val="24"/>
          <w:szCs w:val="24"/>
        </w:rPr>
      </w:pPr>
      <w:r>
        <w:rPr>
          <w:rFonts w:ascii="SimHei" w:hAnsi="SimHei" w:eastAsia="黑体" w:cs="SimHei"/>
          <w:sz w:val="24"/>
          <w:szCs w:val="24"/>
        </w:rPr>
        <w:t>依据宏华公司发展战略和年度经营计划，决定宏华公司年度预算基本假设、预算目标、预算编制方针、预算编制程序、预算执行的监控方法；</w:t>
      </w:r>
    </w:p>
    <w:p>
      <w:pPr>
        <w:pStyle w:val="Normal"/>
        <w:numPr>
          <w:ilvl w:val="0"/>
          <w:numId w:val="30"/>
        </w:numPr>
        <w:spacing w:lineRule="auto" w:line="360"/>
        <w:rPr>
          <w:rFonts w:ascii="SimHei" w:hAnsi="SimHei" w:eastAsia="黑体" w:cs="SimHei"/>
          <w:sz w:val="24"/>
          <w:szCs w:val="24"/>
        </w:rPr>
      </w:pPr>
      <w:r>
        <w:rPr>
          <w:rFonts w:ascii="SimHei" w:hAnsi="SimHei" w:eastAsia="黑体" w:cs="SimHei"/>
          <w:sz w:val="24"/>
          <w:szCs w:val="24"/>
        </w:rPr>
        <w:t>审议批准宏华公司预算草案和各部门年度预算草案。</w:t>
      </w:r>
    </w:p>
    <w:p>
      <w:pPr>
        <w:pStyle w:val="Normal"/>
        <w:spacing w:lineRule="auto" w:line="360"/>
        <w:ind w:firstLine="480"/>
        <w:rPr>
          <w:rFonts w:ascii="SimHei" w:hAnsi="SimHei" w:eastAsia="黑体" w:cs="SimHei"/>
          <w:sz w:val="24"/>
          <w:szCs w:val="24"/>
        </w:rPr>
      </w:pPr>
      <w:r>
        <w:rPr>
          <w:rFonts w:ascii="SimHei" w:hAnsi="SimHei" w:eastAsia="黑体" w:cs="SimHei"/>
          <w:sz w:val="24"/>
          <w:szCs w:val="24"/>
        </w:rPr>
        <w:t>宏华公司总经理办公会预算会议是宏华公司预算的管理机构，为非常设机构。预算会议人员构成：宏华公司总经理、副总经理、财务总监、各职能部门负责人、下属子公司总经理、下属子公司财务负责人、执行部门相关人员。</w:t>
      </w:r>
    </w:p>
    <w:p>
      <w:pPr>
        <w:pStyle w:val="Normal"/>
        <w:numPr>
          <w:ilvl w:val="0"/>
          <w:numId w:val="36"/>
        </w:numPr>
        <w:spacing w:lineRule="auto" w:line="360"/>
        <w:rPr>
          <w:rFonts w:ascii="SimHei" w:hAnsi="SimHei" w:eastAsia="黑体" w:cs="SimHei"/>
          <w:sz w:val="24"/>
          <w:szCs w:val="24"/>
        </w:rPr>
      </w:pPr>
      <w:r>
        <w:rPr>
          <w:rFonts w:ascii="SimHei" w:hAnsi="SimHei" w:eastAsia="黑体" w:cs="SimHei"/>
          <w:sz w:val="24"/>
          <w:szCs w:val="24"/>
        </w:rPr>
        <w:t>审议批准预算管理部门提交的宏华公司预算草案和各部门年度预算草案；</w:t>
      </w:r>
    </w:p>
    <w:p>
      <w:pPr>
        <w:pStyle w:val="Normal"/>
        <w:numPr>
          <w:ilvl w:val="0"/>
          <w:numId w:val="36"/>
        </w:numPr>
        <w:spacing w:lineRule="auto" w:line="360"/>
        <w:rPr>
          <w:rFonts w:ascii="SimHei" w:hAnsi="SimHei" w:eastAsia="黑体" w:cs="SimHei"/>
          <w:sz w:val="24"/>
          <w:szCs w:val="24"/>
        </w:rPr>
      </w:pPr>
      <w:r>
        <w:rPr>
          <w:rFonts w:ascii="SimHei" w:hAnsi="SimHei" w:eastAsia="黑体" w:cs="SimHei"/>
          <w:sz w:val="24"/>
          <w:szCs w:val="24"/>
        </w:rPr>
        <w:t>审议批准预算管理部门提交的预算调整草案。</w:t>
      </w:r>
    </w:p>
    <w:p>
      <w:pPr>
        <w:pStyle w:val="Normal"/>
        <w:numPr>
          <w:ilvl w:val="0"/>
          <w:numId w:val="36"/>
        </w:numPr>
        <w:spacing w:lineRule="auto" w:line="360"/>
        <w:rPr>
          <w:rFonts w:ascii="SimHei" w:hAnsi="SimHei" w:eastAsia="黑体" w:cs="SimHei"/>
          <w:sz w:val="24"/>
          <w:szCs w:val="24"/>
        </w:rPr>
      </w:pPr>
      <w:r>
        <w:rPr>
          <w:rFonts w:ascii="SimHei" w:hAnsi="SimHei" w:eastAsia="黑体" w:cs="SimHei"/>
          <w:sz w:val="24"/>
          <w:szCs w:val="24"/>
        </w:rPr>
        <w:t>协调、裁定宏华公司预算重大冲突。</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预算管理部门</w:t>
      </w:r>
    </w:p>
    <w:p>
      <w:pPr>
        <w:pStyle w:val="Normal"/>
        <w:spacing w:lineRule="auto" w:line="360"/>
        <w:ind w:firstLine="480"/>
        <w:rPr>
          <w:rFonts w:ascii="SimHei" w:hAnsi="SimHei" w:eastAsia="黑体" w:cs="SimHei"/>
          <w:sz w:val="24"/>
          <w:szCs w:val="24"/>
        </w:rPr>
      </w:pPr>
      <w:r>
        <w:rPr>
          <w:rFonts w:ascii="SimHei" w:hAnsi="SimHei" w:eastAsia="黑体" w:cs="SimHei"/>
          <w:sz w:val="24"/>
          <w:szCs w:val="24"/>
        </w:rPr>
        <w:t>宏华公司财务部是预算管理部门，内设专门岗位，对公司预算工作进行管理，其职责如下：</w:t>
      </w:r>
    </w:p>
    <w:p>
      <w:pPr>
        <w:pStyle w:val="Normal"/>
        <w:numPr>
          <w:ilvl w:val="0"/>
          <w:numId w:val="28"/>
        </w:numPr>
        <w:spacing w:lineRule="auto" w:line="360"/>
        <w:rPr>
          <w:rFonts w:ascii="SimHei" w:hAnsi="SimHei" w:eastAsia="黑体" w:cs="SimHei"/>
          <w:sz w:val="24"/>
          <w:szCs w:val="24"/>
        </w:rPr>
      </w:pPr>
      <w:r>
        <w:rPr>
          <w:rFonts w:ascii="SimHei" w:hAnsi="SimHei" w:eastAsia="黑体" w:cs="SimHei"/>
          <w:sz w:val="24"/>
          <w:szCs w:val="24"/>
        </w:rPr>
        <w:t>预算管理制度的编撰；</w:t>
      </w:r>
    </w:p>
    <w:p>
      <w:pPr>
        <w:pStyle w:val="Normal"/>
        <w:numPr>
          <w:ilvl w:val="0"/>
          <w:numId w:val="28"/>
        </w:numPr>
        <w:spacing w:lineRule="auto" w:line="360"/>
        <w:rPr>
          <w:rFonts w:ascii="SimHei" w:hAnsi="SimHei" w:eastAsia="黑体" w:cs="SimHei"/>
          <w:sz w:val="24"/>
          <w:szCs w:val="24"/>
        </w:rPr>
      </w:pPr>
      <w:r>
        <w:rPr>
          <w:rFonts w:ascii="SimHei" w:hAnsi="SimHei" w:eastAsia="黑体" w:cs="SimHei"/>
          <w:sz w:val="24"/>
          <w:szCs w:val="24"/>
        </w:rPr>
        <w:t>预算的组织和汇总编制；</w:t>
      </w:r>
    </w:p>
    <w:p>
      <w:pPr>
        <w:pStyle w:val="Normal"/>
        <w:numPr>
          <w:ilvl w:val="0"/>
          <w:numId w:val="28"/>
        </w:numPr>
        <w:spacing w:lineRule="auto" w:line="360"/>
        <w:rPr>
          <w:rFonts w:ascii="SimHei" w:hAnsi="SimHei" w:eastAsia="黑体" w:cs="SimHei"/>
          <w:sz w:val="24"/>
          <w:szCs w:val="24"/>
        </w:rPr>
      </w:pPr>
      <w:r>
        <w:rPr>
          <w:rFonts w:ascii="SimHei" w:hAnsi="SimHei" w:eastAsia="黑体" w:cs="SimHei"/>
          <w:sz w:val="24"/>
          <w:szCs w:val="24"/>
        </w:rPr>
        <w:t>预算任务的下达；</w:t>
      </w:r>
    </w:p>
    <w:p>
      <w:pPr>
        <w:pStyle w:val="Normal"/>
        <w:numPr>
          <w:ilvl w:val="0"/>
          <w:numId w:val="28"/>
        </w:numPr>
        <w:spacing w:lineRule="auto" w:line="360"/>
        <w:rPr>
          <w:rFonts w:ascii="SimHei" w:hAnsi="SimHei" w:eastAsia="黑体" w:cs="SimHei"/>
          <w:sz w:val="24"/>
          <w:szCs w:val="24"/>
        </w:rPr>
      </w:pPr>
      <w:r>
        <w:rPr>
          <w:rFonts w:ascii="SimHei" w:hAnsi="SimHei" w:eastAsia="黑体" w:cs="SimHei"/>
          <w:sz w:val="24"/>
          <w:szCs w:val="24"/>
        </w:rPr>
        <w:t>预算执行的监督；</w:t>
      </w:r>
    </w:p>
    <w:p>
      <w:pPr>
        <w:pStyle w:val="Normal"/>
        <w:numPr>
          <w:ilvl w:val="0"/>
          <w:numId w:val="28"/>
        </w:numPr>
        <w:spacing w:lineRule="auto" w:line="360"/>
        <w:rPr/>
      </w:pPr>
      <w:r>
        <w:rPr>
          <w:rFonts w:ascii="SimHei" w:hAnsi="SimHei" w:eastAsia="黑体" w:cs="SimHei"/>
          <w:sz w:val="24"/>
          <w:szCs w:val="24"/>
        </w:rPr>
        <w:t>预算执行结果的分析评价等工作。</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预算执行部门</w:t>
      </w:r>
    </w:p>
    <w:p>
      <w:pPr>
        <w:pStyle w:val="Normal"/>
        <w:spacing w:lineRule="auto" w:line="360"/>
        <w:ind w:firstLine="480"/>
        <w:rPr/>
      </w:pPr>
      <w:r>
        <w:rPr>
          <w:rFonts w:ascii="SimHei" w:hAnsi="SimHei" w:eastAsia="黑体" w:cs="SimHei"/>
          <w:sz w:val="24"/>
          <w:szCs w:val="24"/>
        </w:rPr>
        <w:t>预算执行部门是各级预算执行主体，即责任中心，它是宏华公司内部具有一定权限，并能承担相应经济责任的各级部门和各下属子公司。</w:t>
      </w:r>
    </w:p>
    <w:p>
      <w:pPr>
        <w:pStyle w:val="Normal"/>
        <w:spacing w:lineRule="auto" w:line="360"/>
        <w:ind w:firstLine="480"/>
        <w:rPr/>
      </w:pPr>
      <w:r>
        <w:rPr>
          <w:rFonts w:ascii="SimHei" w:hAnsi="SimHei" w:eastAsia="黑体" w:cs="SimHei"/>
          <w:sz w:val="24"/>
          <w:szCs w:val="24"/>
        </w:rPr>
        <w:t>责任中心负责本部门及分管业务预算编制、执行、分析和控制等工作，并配合预算管理部门完成宏华公司总预算的综合平衡。</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责任中心的划分</w:t>
      </w:r>
    </w:p>
    <w:p>
      <w:pPr>
        <w:pStyle w:val="Normal"/>
        <w:spacing w:lineRule="auto" w:line="360"/>
        <w:ind w:firstLine="480"/>
        <w:rPr>
          <w:rFonts w:ascii="SimHei" w:hAnsi="SimHei" w:eastAsia="黑体" w:cs="SimHei"/>
          <w:sz w:val="24"/>
          <w:szCs w:val="24"/>
        </w:rPr>
      </w:pPr>
      <w:r>
        <w:rPr>
          <w:rFonts w:ascii="SimHei" w:hAnsi="SimHei" w:eastAsia="黑体" w:cs="SimHei"/>
          <w:sz w:val="24"/>
          <w:szCs w:val="24"/>
        </w:rPr>
        <w:t>责任中心可分为以下几类：利润中心、收入中心、成本费用中心。</w:t>
      </w:r>
    </w:p>
    <w:p>
      <w:pPr>
        <w:pStyle w:val="Normal"/>
        <w:numPr>
          <w:ilvl w:val="0"/>
          <w:numId w:val="23"/>
        </w:numPr>
        <w:spacing w:lineRule="auto" w:line="360"/>
        <w:rPr>
          <w:rFonts w:ascii="SimHei" w:hAnsi="SimHei" w:eastAsia="黑体" w:cs="SimHei"/>
          <w:sz w:val="24"/>
          <w:szCs w:val="24"/>
        </w:rPr>
      </w:pPr>
      <w:r>
        <w:rPr>
          <w:rFonts w:ascii="SimHei" w:hAnsi="SimHei" w:eastAsia="黑体" w:cs="SimHei"/>
          <w:sz w:val="24"/>
          <w:szCs w:val="24"/>
        </w:rPr>
        <w:t>利润中心：利润中心为负有利润责任的下属子公司，其决策能够决定本责任中心的利润、收入、成本费用等主要因素，控制目标是特定预算年度的利润及其相关指标；</w:t>
      </w:r>
    </w:p>
    <w:p>
      <w:pPr>
        <w:pStyle w:val="Normal"/>
        <w:numPr>
          <w:ilvl w:val="0"/>
          <w:numId w:val="23"/>
        </w:numPr>
        <w:spacing w:lineRule="auto" w:line="360"/>
        <w:rPr/>
      </w:pPr>
      <w:r>
        <w:rPr>
          <w:rFonts w:ascii="SimHei" w:hAnsi="SimHei" w:eastAsia="黑体" w:cs="SimHei"/>
          <w:sz w:val="24"/>
          <w:szCs w:val="24"/>
        </w:rPr>
        <w:t>费用中心：费用中心为负有期间费用责任的部门，控制目标是特定预算年度的各明细费用指标。</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宏华公司各预算责任中心划分</w:t>
      </w:r>
    </w:p>
    <w:p>
      <w:pPr>
        <w:pStyle w:val="Normal"/>
        <w:numPr>
          <w:ilvl w:val="0"/>
          <w:numId w:val="37"/>
        </w:numPr>
        <w:spacing w:lineRule="auto" w:line="360"/>
        <w:rPr/>
      </w:pPr>
      <w:r>
        <w:rPr>
          <w:rFonts w:ascii="SimHei" w:hAnsi="SimHei" w:eastAsia="黑体" w:cs="SimHei"/>
          <w:sz w:val="24"/>
          <w:szCs w:val="24"/>
        </w:rPr>
        <w:t>利润中心：宏华公司、各下属子公司；</w:t>
      </w:r>
    </w:p>
    <w:p>
      <w:pPr>
        <w:pStyle w:val="Normal"/>
        <w:numPr>
          <w:ilvl w:val="0"/>
          <w:numId w:val="37"/>
        </w:numPr>
        <w:spacing w:lineRule="auto" w:line="360"/>
        <w:rPr/>
      </w:pPr>
      <w:r>
        <w:rPr>
          <w:rFonts w:ascii="SimHei" w:hAnsi="SimHei" w:eastAsia="黑体" w:cs="SimHei"/>
          <w:sz w:val="24"/>
          <w:szCs w:val="24"/>
        </w:rPr>
        <w:t>费用中心：宏华公司各职能部门。</w:t>
      </w:r>
    </w:p>
    <w:p>
      <w:pPr>
        <w:pStyle w:val="Heading1"/>
        <w:jc w:val="center"/>
        <w:rPr/>
      </w:pPr>
      <w:r>
        <w:rPr>
          <w:rFonts w:ascii="SimHei" w:hAnsi="SimHei" w:eastAsia="黑体" w:cs="SimHei"/>
          <w:bCs w:val="false"/>
          <w:sz w:val="30"/>
          <w:szCs w:val="30"/>
        </w:rPr>
        <w:t>第三章  预算的编制</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预算编制的基本原则</w:t>
      </w:r>
    </w:p>
    <w:p>
      <w:pPr>
        <w:pStyle w:val="Normal"/>
        <w:numPr>
          <w:ilvl w:val="0"/>
          <w:numId w:val="31"/>
        </w:numPr>
        <w:spacing w:lineRule="auto" w:line="360"/>
        <w:rPr>
          <w:rFonts w:ascii="SimHei" w:hAnsi="SimHei" w:eastAsia="黑体" w:cs="SimHei"/>
          <w:sz w:val="24"/>
          <w:szCs w:val="24"/>
        </w:rPr>
      </w:pPr>
      <w:r>
        <w:rPr>
          <w:rFonts w:ascii="SimHei" w:hAnsi="SimHei" w:eastAsia="黑体" w:cs="SimHei"/>
          <w:sz w:val="24"/>
          <w:szCs w:val="24"/>
        </w:rPr>
        <w:t>以战略为指导、与经营计划相匹配；</w:t>
      </w:r>
    </w:p>
    <w:p>
      <w:pPr>
        <w:pStyle w:val="Normal"/>
        <w:numPr>
          <w:ilvl w:val="0"/>
          <w:numId w:val="31"/>
        </w:numPr>
        <w:spacing w:lineRule="auto" w:line="360"/>
        <w:rPr>
          <w:rFonts w:ascii="SimHei" w:hAnsi="SimHei" w:eastAsia="黑体" w:cs="SimHei"/>
          <w:sz w:val="24"/>
          <w:szCs w:val="24"/>
        </w:rPr>
      </w:pPr>
      <w:r>
        <w:rPr>
          <w:rFonts w:ascii="SimHei" w:hAnsi="SimHei" w:eastAsia="黑体" w:cs="SimHei"/>
          <w:sz w:val="24"/>
          <w:szCs w:val="24"/>
        </w:rPr>
        <w:t>预算目标的确定要实事求是，具有实现的可能性；</w:t>
      </w:r>
    </w:p>
    <w:p>
      <w:pPr>
        <w:pStyle w:val="Normal"/>
        <w:numPr>
          <w:ilvl w:val="0"/>
          <w:numId w:val="31"/>
        </w:numPr>
        <w:spacing w:lineRule="auto" w:line="360"/>
        <w:rPr>
          <w:rFonts w:ascii="SimHei" w:hAnsi="SimHei" w:eastAsia="黑体" w:cs="SimHei"/>
          <w:sz w:val="24"/>
          <w:szCs w:val="24"/>
        </w:rPr>
      </w:pPr>
      <w:r>
        <w:rPr>
          <w:rFonts w:ascii="SimHei" w:hAnsi="SimHei" w:eastAsia="黑体" w:cs="SimHei"/>
          <w:sz w:val="24"/>
          <w:szCs w:val="24"/>
        </w:rPr>
        <w:t>各责任中心预算管理的重点是可以控制的；</w:t>
      </w:r>
    </w:p>
    <w:p>
      <w:pPr>
        <w:pStyle w:val="Normal"/>
        <w:numPr>
          <w:ilvl w:val="0"/>
          <w:numId w:val="31"/>
        </w:numPr>
        <w:spacing w:lineRule="auto" w:line="360"/>
        <w:rPr>
          <w:rFonts w:ascii="SimHei" w:hAnsi="SimHei" w:eastAsia="黑体" w:cs="SimHei"/>
          <w:sz w:val="24"/>
          <w:szCs w:val="24"/>
        </w:rPr>
      </w:pPr>
      <w:r>
        <w:rPr>
          <w:rFonts w:ascii="SimHei" w:hAnsi="SimHei" w:eastAsia="黑体" w:cs="SimHei"/>
          <w:sz w:val="24"/>
          <w:szCs w:val="24"/>
        </w:rPr>
        <w:t>各预算项目谁控制、谁预算、谁受益、谁承担。</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预算编制的基本方式</w:t>
      </w:r>
    </w:p>
    <w:p>
      <w:pPr>
        <w:pStyle w:val="Normal"/>
        <w:spacing w:lineRule="auto" w:line="360"/>
        <w:ind w:firstLine="480"/>
        <w:rPr/>
      </w:pPr>
      <w:r>
        <w:rPr>
          <w:rFonts w:ascii="SimHei" w:hAnsi="SimHei" w:eastAsia="黑体" w:cs="SimHei"/>
          <w:sz w:val="24"/>
          <w:szCs w:val="24"/>
        </w:rPr>
        <w:t>预算编制要在预算会议批准的编制方针指导下进行，采取自上而下下达预算编制目标、自下而上编制预算、由财务部平衡、汇总的预算编制方式。</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年度预算的编制程序</w:t>
      </w:r>
    </w:p>
    <w:p>
      <w:pPr>
        <w:pStyle w:val="Normal"/>
        <w:numPr>
          <w:ilvl w:val="0"/>
          <w:numId w:val="16"/>
        </w:numPr>
        <w:spacing w:lineRule="auto" w:line="360"/>
        <w:rPr/>
      </w:pPr>
      <w:r>
        <w:rPr>
          <w:rFonts w:ascii="SimHei" w:hAnsi="SimHei" w:eastAsia="黑体" w:cs="SimHei"/>
          <w:sz w:val="24"/>
          <w:szCs w:val="24"/>
        </w:rPr>
        <w:t>预算编制准备：宏华公司财务部、其他各部门做好预算的各项准备工作，包括收集信息，总结本预算年度经营计划及预算的执行情况，测算有关指标数据，分析研究下一预算年度的发展趋势，预测下一预算年度预算的总体情况。</w:t>
      </w:r>
    </w:p>
    <w:p>
      <w:pPr>
        <w:pStyle w:val="Normal"/>
        <w:numPr>
          <w:ilvl w:val="0"/>
          <w:numId w:val="16"/>
        </w:numPr>
        <w:spacing w:lineRule="auto" w:line="360"/>
        <w:rPr>
          <w:rFonts w:ascii="SimHei" w:hAnsi="SimHei" w:eastAsia="黑体" w:cs="SimHei"/>
          <w:sz w:val="24"/>
          <w:szCs w:val="24"/>
        </w:rPr>
      </w:pPr>
      <w:r>
        <w:rPr>
          <w:rFonts w:ascii="SimHei" w:hAnsi="SimHei" w:eastAsia="黑体" w:cs="SimHei"/>
          <w:sz w:val="24"/>
          <w:szCs w:val="24"/>
        </w:rPr>
        <w:t>年度预算编制程序</w:t>
      </w:r>
    </w:p>
    <w:p>
      <w:pPr>
        <w:pStyle w:val="Normal"/>
        <w:numPr>
          <w:ilvl w:val="1"/>
          <w:numId w:val="16"/>
        </w:numPr>
        <w:tabs>
          <w:tab w:val="clear" w:pos="420"/>
          <w:tab w:val="left" w:pos="1080" w:leader="none"/>
        </w:tabs>
        <w:spacing w:lineRule="auto" w:line="360"/>
        <w:ind w:left="1080" w:hanging="540"/>
        <w:rPr/>
      </w:pPr>
      <w:r>
        <w:rPr>
          <w:rFonts w:ascii="SimHei" w:hAnsi="SimHei" w:eastAsia="黑体" w:cs="SimHei"/>
          <w:sz w:val="24"/>
          <w:szCs w:val="24"/>
        </w:rPr>
        <w:t xml:space="preserve">每年 </w:t>
      </w:r>
      <w:r>
        <w:rPr>
          <w:rFonts w:ascii="SimHei" w:hAnsi="SimHei" w:eastAsia="黑体" w:cs="SimHei"/>
          <w:sz w:val="24"/>
          <w:szCs w:val="24"/>
        </w:rPr>
        <w:t>----</w:t>
      </w:r>
      <w:r>
        <w:rPr>
          <w:rFonts w:ascii="SimHei" w:hAnsi="SimHei" w:eastAsia="黑体" w:cs="SimHei"/>
          <w:sz w:val="24"/>
          <w:szCs w:val="24"/>
        </w:rPr>
        <w:t>月</w:t>
      </w:r>
      <w:r>
        <w:rPr>
          <w:rFonts w:ascii="SimHei" w:hAnsi="SimHei" w:eastAsia="黑体" w:cs="SimHei"/>
          <w:sz w:val="24"/>
          <w:szCs w:val="24"/>
        </w:rPr>
        <w:t>----</w:t>
      </w:r>
      <w:r>
        <w:rPr>
          <w:rFonts w:ascii="SimHei" w:hAnsi="SimHei" w:eastAsia="黑体" w:cs="SimHei"/>
          <w:sz w:val="24"/>
          <w:szCs w:val="24"/>
        </w:rPr>
        <w:t>日前，总经理办公会预算会议确定下一预算年度的预算目标；</w:t>
      </w:r>
    </w:p>
    <w:p>
      <w:pPr>
        <w:pStyle w:val="Normal"/>
        <w:numPr>
          <w:ilvl w:val="1"/>
          <w:numId w:val="16"/>
        </w:numPr>
        <w:tabs>
          <w:tab w:val="clear" w:pos="420"/>
          <w:tab w:val="left" w:pos="1080" w:leader="none"/>
        </w:tabs>
        <w:spacing w:lineRule="auto" w:line="360"/>
        <w:ind w:left="1080" w:hanging="540"/>
        <w:rPr/>
      </w:pPr>
      <w:r>
        <w:rPr>
          <w:rFonts w:ascii="SimHei" w:hAnsi="SimHei" w:eastAsia="黑体" w:cs="SimHei"/>
          <w:sz w:val="24"/>
          <w:szCs w:val="24"/>
        </w:rPr>
        <w:t>根据下一预算年度预算目标和公司初步分解的经营计划目标，财务部负责具体分解预算目标；</w:t>
      </w:r>
    </w:p>
    <w:p>
      <w:pPr>
        <w:pStyle w:val="Normal"/>
        <w:numPr>
          <w:ilvl w:val="1"/>
          <w:numId w:val="16"/>
        </w:numPr>
        <w:tabs>
          <w:tab w:val="clear" w:pos="420"/>
          <w:tab w:val="left" w:pos="1080" w:leader="none"/>
        </w:tabs>
        <w:spacing w:lineRule="auto" w:line="360"/>
        <w:ind w:left="1080" w:hanging="540"/>
        <w:rPr/>
      </w:pPr>
      <w:r>
        <w:rPr>
          <w:rFonts w:ascii="SimHei" w:hAnsi="SimHei" w:eastAsia="黑体" w:cs="SimHei"/>
          <w:sz w:val="24"/>
          <w:szCs w:val="24"/>
        </w:rPr>
        <w:t>财务部制定详细的预算指导文件，在</w:t>
      </w:r>
      <w:r>
        <w:rPr>
          <w:rFonts w:ascii="SimHei" w:hAnsi="SimHei" w:eastAsia="黑体" w:cs="SimHei"/>
          <w:sz w:val="24"/>
          <w:szCs w:val="24"/>
        </w:rPr>
        <w:t>----</w:t>
      </w:r>
      <w:r>
        <w:rPr>
          <w:rFonts w:ascii="SimHei" w:hAnsi="SimHei" w:eastAsia="黑体" w:cs="SimHei"/>
          <w:sz w:val="24"/>
          <w:szCs w:val="24"/>
        </w:rPr>
        <w:t>月</w:t>
      </w:r>
      <w:r>
        <w:rPr>
          <w:rFonts w:ascii="SimHei" w:hAnsi="SimHei" w:eastAsia="黑体" w:cs="SimHei"/>
          <w:sz w:val="24"/>
          <w:szCs w:val="24"/>
        </w:rPr>
        <w:t>----</w:t>
      </w:r>
      <w:r>
        <w:rPr>
          <w:rFonts w:ascii="SimHei" w:hAnsi="SimHei" w:eastAsia="黑体" w:cs="SimHei"/>
          <w:sz w:val="24"/>
          <w:szCs w:val="24"/>
        </w:rPr>
        <w:t>日前下发到各部门；</w:t>
      </w:r>
    </w:p>
    <w:p>
      <w:pPr>
        <w:pStyle w:val="Normal"/>
        <w:numPr>
          <w:ilvl w:val="1"/>
          <w:numId w:val="16"/>
        </w:numPr>
        <w:tabs>
          <w:tab w:val="clear" w:pos="420"/>
          <w:tab w:val="left" w:pos="1080" w:leader="none"/>
        </w:tabs>
        <w:spacing w:lineRule="auto" w:line="360"/>
        <w:ind w:left="1080" w:hanging="540"/>
        <w:rPr/>
      </w:pPr>
      <w:r>
        <w:rPr>
          <w:rFonts w:ascii="SimHei" w:hAnsi="SimHei" w:eastAsia="黑体" w:cs="SimHei"/>
          <w:sz w:val="24"/>
          <w:szCs w:val="24"/>
        </w:rPr>
        <w:t>预算指导文件具体包括：公司预算目标下达文件、编制手册（预算假设、表格、编制说明）和编制进度要求；</w:t>
      </w:r>
    </w:p>
    <w:p>
      <w:pPr>
        <w:pStyle w:val="Normal"/>
        <w:numPr>
          <w:ilvl w:val="1"/>
          <w:numId w:val="16"/>
        </w:numPr>
        <w:tabs>
          <w:tab w:val="clear" w:pos="420"/>
          <w:tab w:val="left" w:pos="1080" w:leader="none"/>
        </w:tabs>
        <w:spacing w:lineRule="auto" w:line="360"/>
        <w:ind w:left="1080" w:hanging="540"/>
        <w:rPr/>
      </w:pPr>
      <w:r>
        <w:rPr>
          <w:rFonts w:ascii="SimHei" w:hAnsi="SimHei" w:eastAsia="黑体" w:cs="SimHei"/>
          <w:sz w:val="24"/>
          <w:szCs w:val="24"/>
        </w:rPr>
        <w:t>各职能部门及下属子公司在全面分析以前年度、预计预算年度业务情况的基础上，根据预算年度经营环境的变化、年度经营目标、预算目标、预算指导文件的要求及经营计划，编制预算年度的预算草案，交职能部门主任及子公司总经理初审，提出意见并进行修改确认；</w:t>
      </w:r>
    </w:p>
    <w:p>
      <w:pPr>
        <w:pStyle w:val="Normal"/>
        <w:numPr>
          <w:ilvl w:val="1"/>
          <w:numId w:val="16"/>
        </w:numPr>
        <w:tabs>
          <w:tab w:val="clear" w:pos="420"/>
          <w:tab w:val="left" w:pos="1080" w:leader="none"/>
        </w:tabs>
        <w:spacing w:lineRule="auto" w:line="360"/>
        <w:ind w:left="1080" w:hanging="540"/>
        <w:rPr/>
      </w:pPr>
      <w:r>
        <w:rPr>
          <w:rFonts w:ascii="SimHei" w:hAnsi="SimHei" w:eastAsia="黑体" w:cs="SimHei"/>
          <w:sz w:val="24"/>
          <w:szCs w:val="24"/>
        </w:rPr>
        <w:t>----</w:t>
      </w:r>
      <w:r>
        <w:rPr>
          <w:rFonts w:ascii="SimHei" w:hAnsi="SimHei" w:eastAsia="黑体" w:cs="SimHei"/>
          <w:sz w:val="24"/>
          <w:szCs w:val="24"/>
        </w:rPr>
        <w:t>月</w:t>
      </w:r>
      <w:r>
        <w:rPr>
          <w:rFonts w:ascii="SimHei" w:hAnsi="SimHei" w:eastAsia="黑体" w:cs="SimHei"/>
          <w:sz w:val="24"/>
          <w:szCs w:val="24"/>
        </w:rPr>
        <w:t>----</w:t>
      </w:r>
      <w:r>
        <w:rPr>
          <w:rFonts w:ascii="SimHei" w:hAnsi="SimHei" w:eastAsia="黑体" w:cs="SimHei"/>
          <w:sz w:val="24"/>
          <w:szCs w:val="24"/>
        </w:rPr>
        <w:t>日之前，宏华公司各职能部门及子公司将审核后的预算草案上报宏华公司财务部。财务部审核上报的预算草案是否符合公司总体的方针、目标，讨论通过预算草案或返回重编；</w:t>
      </w:r>
    </w:p>
    <w:p>
      <w:pPr>
        <w:pStyle w:val="Normal"/>
        <w:numPr>
          <w:ilvl w:val="1"/>
          <w:numId w:val="16"/>
        </w:numPr>
        <w:tabs>
          <w:tab w:val="clear" w:pos="420"/>
          <w:tab w:val="left" w:pos="1080" w:leader="none"/>
        </w:tabs>
        <w:spacing w:lineRule="auto" w:line="360"/>
        <w:ind w:left="1080" w:hanging="540"/>
        <w:rPr/>
      </w:pPr>
      <w:r>
        <w:rPr>
          <w:rFonts w:ascii="SimHei" w:hAnsi="SimHei" w:eastAsia="黑体" w:cs="SimHei"/>
          <w:sz w:val="24"/>
          <w:szCs w:val="24"/>
        </w:rPr>
        <w:t>在预算会议的统一领导下，宏华公司财务部负责对讨论通过预算草案汇总平衡，编制宏华预算草案，包括预计资产负债表、预计损益表、预计现金流量表及其他有关资料，提交预算会议审议；</w:t>
      </w:r>
    </w:p>
    <w:p>
      <w:pPr>
        <w:pStyle w:val="Normal"/>
        <w:numPr>
          <w:ilvl w:val="1"/>
          <w:numId w:val="16"/>
        </w:numPr>
        <w:tabs>
          <w:tab w:val="clear" w:pos="420"/>
          <w:tab w:val="left" w:pos="1080" w:leader="none"/>
        </w:tabs>
        <w:spacing w:lineRule="auto" w:line="360"/>
        <w:ind w:left="1080" w:hanging="540"/>
        <w:rPr/>
      </w:pPr>
      <w:r>
        <w:rPr>
          <w:rFonts w:ascii="SimHei" w:hAnsi="SimHei" w:eastAsia="黑体" w:cs="SimHei"/>
          <w:sz w:val="24"/>
          <w:szCs w:val="24"/>
        </w:rPr>
        <w:t>----</w:t>
      </w:r>
      <w:r>
        <w:rPr>
          <w:rFonts w:ascii="SimHei" w:hAnsi="SimHei" w:eastAsia="黑体" w:cs="SimHei"/>
          <w:sz w:val="24"/>
          <w:szCs w:val="24"/>
        </w:rPr>
        <w:t>月</w:t>
      </w:r>
      <w:r>
        <w:rPr>
          <w:rFonts w:ascii="SimHei" w:hAnsi="SimHei" w:eastAsia="黑体" w:cs="SimHei"/>
          <w:sz w:val="24"/>
          <w:szCs w:val="24"/>
        </w:rPr>
        <w:t>----</w:t>
      </w:r>
      <w:r>
        <w:rPr>
          <w:rFonts w:ascii="SimHei" w:hAnsi="SimHei" w:eastAsia="黑体" w:cs="SimHei"/>
          <w:sz w:val="24"/>
          <w:szCs w:val="24"/>
        </w:rPr>
        <w:t>日之前，预算会议组织召开年度预算编制质询会，审议通过各子公司及宏华公司整体预算草案；</w:t>
      </w:r>
    </w:p>
    <w:p>
      <w:pPr>
        <w:pStyle w:val="Normal"/>
        <w:numPr>
          <w:ilvl w:val="1"/>
          <w:numId w:val="16"/>
        </w:numPr>
        <w:tabs>
          <w:tab w:val="clear" w:pos="420"/>
          <w:tab w:val="left" w:pos="1080" w:leader="none"/>
        </w:tabs>
        <w:spacing w:lineRule="auto" w:line="360"/>
        <w:ind w:left="1080" w:hanging="540"/>
        <w:rPr/>
      </w:pPr>
      <w:r>
        <w:rPr>
          <w:rFonts w:ascii="SimHei" w:hAnsi="SimHei" w:eastAsia="黑体" w:cs="SimHei"/>
          <w:sz w:val="24"/>
          <w:szCs w:val="24"/>
        </w:rPr>
        <w:t>----</w:t>
      </w:r>
      <w:r>
        <w:rPr>
          <w:rFonts w:ascii="SimHei" w:hAnsi="SimHei" w:eastAsia="黑体" w:cs="SimHei"/>
          <w:sz w:val="24"/>
          <w:szCs w:val="24"/>
        </w:rPr>
        <w:t>月</w:t>
      </w:r>
      <w:r>
        <w:rPr>
          <w:rFonts w:ascii="SimHei" w:hAnsi="SimHei" w:eastAsia="黑体" w:cs="SimHei"/>
          <w:sz w:val="24"/>
          <w:szCs w:val="24"/>
        </w:rPr>
        <w:t>----</w:t>
      </w:r>
      <w:r>
        <w:rPr>
          <w:rFonts w:ascii="SimHei" w:hAnsi="SimHei" w:eastAsia="黑体" w:cs="SimHei"/>
          <w:sz w:val="24"/>
          <w:szCs w:val="24"/>
        </w:rPr>
        <w:t>日由财务部组织各职能部门及子公司根据年度预算质询会的决议，修改预算草案，并报宏华公司预算会议审批；</w:t>
      </w:r>
    </w:p>
    <w:p>
      <w:pPr>
        <w:pStyle w:val="Normal"/>
        <w:numPr>
          <w:ilvl w:val="1"/>
          <w:numId w:val="16"/>
        </w:numPr>
        <w:tabs>
          <w:tab w:val="clear" w:pos="420"/>
          <w:tab w:val="left" w:pos="1080" w:leader="none"/>
        </w:tabs>
        <w:spacing w:lineRule="auto" w:line="360"/>
        <w:ind w:left="1080" w:hanging="540"/>
        <w:rPr/>
      </w:pPr>
      <w:r>
        <w:rPr>
          <w:rFonts w:ascii="SimHei" w:hAnsi="SimHei" w:eastAsia="黑体" w:cs="SimHei"/>
          <w:sz w:val="24"/>
          <w:szCs w:val="24"/>
        </w:rPr>
        <w:t>----</w:t>
      </w:r>
      <w:r>
        <w:rPr>
          <w:rFonts w:ascii="SimHei" w:hAnsi="SimHei" w:eastAsia="黑体" w:cs="SimHei"/>
          <w:sz w:val="24"/>
          <w:szCs w:val="24"/>
        </w:rPr>
        <w:t>月</w:t>
      </w:r>
      <w:r>
        <w:rPr>
          <w:rFonts w:ascii="SimHei" w:hAnsi="SimHei" w:eastAsia="黑体" w:cs="SimHei"/>
          <w:sz w:val="24"/>
          <w:szCs w:val="24"/>
        </w:rPr>
        <w:t>----</w:t>
      </w:r>
      <w:r>
        <w:rPr>
          <w:rFonts w:ascii="SimHei" w:hAnsi="SimHei" w:eastAsia="黑体" w:cs="SimHei"/>
          <w:sz w:val="24"/>
          <w:szCs w:val="24"/>
        </w:rPr>
        <w:t>日财务部将预算会议批准的预算方案正式下达给各职能部门及子公司执行。</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预算编制的主要内容及编制职责：</w:t>
      </w:r>
    </w:p>
    <w:p>
      <w:pPr>
        <w:pStyle w:val="Normal"/>
        <w:numPr>
          <w:ilvl w:val="0"/>
          <w:numId w:val="17"/>
        </w:numPr>
        <w:spacing w:lineRule="auto" w:line="360"/>
        <w:rPr>
          <w:rFonts w:ascii="SimHei" w:hAnsi="SimHei" w:eastAsia="黑体" w:cs="SimHei"/>
          <w:sz w:val="24"/>
          <w:szCs w:val="24"/>
        </w:rPr>
      </w:pPr>
      <w:r>
        <w:rPr>
          <w:rFonts w:ascii="SimHei" w:hAnsi="SimHei" w:eastAsia="黑体" w:cs="SimHei"/>
          <w:sz w:val="24"/>
          <w:szCs w:val="24"/>
        </w:rPr>
        <w:t>经营预算</w:t>
      </w:r>
    </w:p>
    <w:p>
      <w:pPr>
        <w:pStyle w:val="Normal"/>
        <w:numPr>
          <w:ilvl w:val="0"/>
          <w:numId w:val="19"/>
        </w:numPr>
        <w:tabs>
          <w:tab w:val="clear" w:pos="420"/>
          <w:tab w:val="left" w:pos="1080" w:leader="none"/>
        </w:tabs>
        <w:spacing w:lineRule="auto" w:line="360"/>
        <w:ind w:left="1080" w:hanging="540"/>
        <w:rPr/>
      </w:pPr>
      <w:r>
        <w:rPr>
          <w:rFonts w:ascii="SimHei" w:hAnsi="SimHei" w:eastAsia="黑体" w:cs="SimHei"/>
          <w:sz w:val="24"/>
          <w:szCs w:val="24"/>
        </w:rPr>
        <w:t>各下属子公司以经营收入、成本、期间费用和利润为主要内容编制经营和财务预算，由财务部审核、调整。</w:t>
      </w:r>
    </w:p>
    <w:p>
      <w:pPr>
        <w:pStyle w:val="Normal"/>
        <w:numPr>
          <w:ilvl w:val="0"/>
          <w:numId w:val="17"/>
        </w:numPr>
        <w:spacing w:lineRule="auto" w:line="360"/>
        <w:rPr/>
      </w:pPr>
      <w:r>
        <w:rPr>
          <w:rFonts w:ascii="SimHei" w:hAnsi="SimHei" w:eastAsia="黑体" w:cs="SimHei"/>
          <w:sz w:val="24"/>
          <w:szCs w:val="24"/>
        </w:rPr>
        <w:t>宏华公司期间费用预算</w:t>
      </w:r>
    </w:p>
    <w:p>
      <w:pPr>
        <w:pStyle w:val="Normal"/>
        <w:numPr>
          <w:ilvl w:val="0"/>
          <w:numId w:val="3"/>
        </w:numPr>
        <w:tabs>
          <w:tab w:val="clear" w:pos="420"/>
          <w:tab w:val="left" w:pos="1080" w:leader="none"/>
        </w:tabs>
        <w:spacing w:lineRule="auto" w:line="360"/>
        <w:ind w:left="1080" w:hanging="540"/>
        <w:rPr/>
      </w:pPr>
      <w:r>
        <w:rPr>
          <w:rFonts w:ascii="SimHei" w:hAnsi="SimHei" w:eastAsia="黑体" w:cs="SimHei"/>
          <w:sz w:val="24"/>
          <w:szCs w:val="24"/>
        </w:rPr>
        <w:t>人力资源费用（包括员工工资、福利保险、培训、招聘等费用）由人力资源部编制；</w:t>
      </w:r>
    </w:p>
    <w:p>
      <w:pPr>
        <w:pStyle w:val="Normal"/>
        <w:numPr>
          <w:ilvl w:val="0"/>
          <w:numId w:val="3"/>
        </w:numPr>
        <w:tabs>
          <w:tab w:val="clear" w:pos="420"/>
          <w:tab w:val="left" w:pos="1080" w:leader="none"/>
        </w:tabs>
        <w:spacing w:lineRule="auto" w:line="360"/>
        <w:ind w:left="1080" w:hanging="540"/>
        <w:rPr/>
      </w:pPr>
      <w:r>
        <w:rPr>
          <w:rFonts w:ascii="SimHei" w:hAnsi="SimHei" w:eastAsia="黑体" w:cs="SimHei"/>
          <w:sz w:val="24"/>
          <w:szCs w:val="24"/>
        </w:rPr>
        <w:t>办公费用、物业费用、车辆使用费用、业务招待费由办公室</w:t>
      </w:r>
      <w:r>
        <w:rPr>
          <w:rFonts w:ascii="SimHei" w:hAnsi="SimHei" w:eastAsia="黑体" w:cs="SimHei"/>
          <w:sz w:val="24"/>
          <w:szCs w:val="24"/>
        </w:rPr>
        <w:t>/</w:t>
      </w:r>
      <w:r>
        <w:rPr>
          <w:rFonts w:ascii="SimHei" w:hAnsi="SimHei" w:eastAsia="黑体" w:cs="SimHei"/>
          <w:sz w:val="24"/>
          <w:szCs w:val="24"/>
        </w:rPr>
        <w:t>资产物业部编制；</w:t>
      </w:r>
    </w:p>
    <w:p>
      <w:pPr>
        <w:pStyle w:val="Normal"/>
        <w:numPr>
          <w:ilvl w:val="0"/>
          <w:numId w:val="3"/>
        </w:numPr>
        <w:tabs>
          <w:tab w:val="clear" w:pos="420"/>
          <w:tab w:val="left" w:pos="1080" w:leader="none"/>
        </w:tabs>
        <w:spacing w:lineRule="auto" w:line="360"/>
        <w:ind w:left="1080" w:hanging="540"/>
        <w:rPr/>
      </w:pPr>
      <w:r>
        <w:rPr>
          <w:rFonts w:ascii="SimHei" w:hAnsi="SimHei" w:eastAsia="黑体" w:cs="SimHei"/>
          <w:sz w:val="24"/>
          <w:szCs w:val="24"/>
        </w:rPr>
        <w:t>各种摊销费用由财务部负责编制；</w:t>
      </w:r>
    </w:p>
    <w:p>
      <w:pPr>
        <w:pStyle w:val="Normal"/>
        <w:numPr>
          <w:ilvl w:val="0"/>
          <w:numId w:val="3"/>
        </w:numPr>
        <w:tabs>
          <w:tab w:val="clear" w:pos="420"/>
          <w:tab w:val="left" w:pos="1080" w:leader="none"/>
        </w:tabs>
        <w:spacing w:lineRule="auto" w:line="360"/>
        <w:ind w:left="1080" w:hanging="540"/>
        <w:rPr/>
      </w:pPr>
      <w:r>
        <w:rPr>
          <w:rFonts w:ascii="SimHei" w:hAnsi="SimHei" w:eastAsia="黑体" w:cs="SimHei"/>
          <w:sz w:val="24"/>
          <w:szCs w:val="24"/>
        </w:rPr>
        <w:t>差旅费、招待费由各职能部门编制后财务部汇总；</w:t>
      </w:r>
    </w:p>
    <w:p>
      <w:pPr>
        <w:pStyle w:val="Normal"/>
        <w:numPr>
          <w:ilvl w:val="0"/>
          <w:numId w:val="3"/>
        </w:numPr>
        <w:tabs>
          <w:tab w:val="clear" w:pos="420"/>
          <w:tab w:val="left" w:pos="1080" w:leader="none"/>
        </w:tabs>
        <w:spacing w:lineRule="auto" w:line="360"/>
        <w:ind w:left="1080" w:hanging="540"/>
        <w:rPr/>
      </w:pPr>
      <w:r>
        <w:rPr>
          <w:rFonts w:ascii="SimHei" w:hAnsi="SimHei" w:eastAsia="黑体" w:cs="SimHei"/>
          <w:sz w:val="24"/>
          <w:szCs w:val="24"/>
        </w:rPr>
        <w:t>财务费用、税金、营业外收支预算、其它业务利润预算由财务部编制；</w:t>
      </w:r>
    </w:p>
    <w:p>
      <w:pPr>
        <w:pStyle w:val="Normal"/>
        <w:numPr>
          <w:ilvl w:val="0"/>
          <w:numId w:val="3"/>
        </w:numPr>
        <w:tabs>
          <w:tab w:val="clear" w:pos="420"/>
          <w:tab w:val="left" w:pos="1080" w:leader="none"/>
        </w:tabs>
        <w:spacing w:lineRule="auto" w:line="360"/>
        <w:ind w:left="1080" w:hanging="540"/>
        <w:rPr/>
      </w:pPr>
      <w:r>
        <w:rPr>
          <w:rFonts w:ascii="SimHei" w:hAnsi="SimHei" w:eastAsia="黑体" w:cs="SimHei"/>
          <w:sz w:val="24"/>
          <w:szCs w:val="24"/>
        </w:rPr>
        <w:t>其它各项期间费用由各职能部门根据年度预计发生情况进行编制。</w:t>
      </w:r>
    </w:p>
    <w:p>
      <w:pPr>
        <w:pStyle w:val="Normal"/>
        <w:numPr>
          <w:ilvl w:val="0"/>
          <w:numId w:val="17"/>
        </w:numPr>
        <w:spacing w:lineRule="auto" w:line="360"/>
        <w:rPr>
          <w:rFonts w:ascii="SimHei" w:hAnsi="SimHei" w:eastAsia="黑体" w:cs="SimHei"/>
          <w:sz w:val="24"/>
          <w:szCs w:val="24"/>
        </w:rPr>
      </w:pPr>
      <w:r>
        <w:rPr>
          <w:rFonts w:ascii="SimHei" w:hAnsi="SimHei" w:eastAsia="黑体" w:cs="SimHei"/>
          <w:sz w:val="24"/>
          <w:szCs w:val="24"/>
        </w:rPr>
        <w:t>资本性预算</w:t>
      </w:r>
    </w:p>
    <w:p>
      <w:pPr>
        <w:pStyle w:val="Normal"/>
        <w:numPr>
          <w:ilvl w:val="0"/>
          <w:numId w:val="14"/>
        </w:numPr>
        <w:tabs>
          <w:tab w:val="clear" w:pos="420"/>
          <w:tab w:val="left" w:pos="1080" w:leader="none"/>
        </w:tabs>
        <w:spacing w:lineRule="auto" w:line="360"/>
        <w:ind w:left="1080" w:hanging="540"/>
        <w:rPr/>
      </w:pPr>
      <w:r>
        <w:rPr>
          <w:rFonts w:ascii="SimHei" w:hAnsi="SimHei" w:eastAsia="黑体" w:cs="SimHei"/>
          <w:sz w:val="24"/>
          <w:szCs w:val="24"/>
        </w:rPr>
        <w:t>资本性收入预算是对预算期内可用于资本性投资活动的资金来源的财务安排，主要包括内部资金来源预算和融资预算；</w:t>
      </w:r>
    </w:p>
    <w:p>
      <w:pPr>
        <w:pStyle w:val="Normal"/>
        <w:numPr>
          <w:ilvl w:val="1"/>
          <w:numId w:val="14"/>
        </w:numPr>
        <w:spacing w:lineRule="auto" w:line="360"/>
        <w:rPr/>
      </w:pPr>
      <w:r>
        <w:rPr>
          <w:rFonts w:ascii="SimHei" w:hAnsi="SimHei" w:eastAsia="黑体" w:cs="SimHei"/>
          <w:sz w:val="24"/>
          <w:szCs w:val="24"/>
        </w:rPr>
        <w:t>内部资金来源预算是对预算期内税后利润、折旧的财务安排，由财务部负责编制；</w:t>
      </w:r>
    </w:p>
    <w:p>
      <w:pPr>
        <w:pStyle w:val="Normal"/>
        <w:numPr>
          <w:ilvl w:val="1"/>
          <w:numId w:val="14"/>
        </w:numPr>
        <w:spacing w:lineRule="auto" w:line="360"/>
        <w:rPr/>
      </w:pPr>
      <w:r>
        <w:rPr>
          <w:rFonts w:ascii="SimHei" w:hAnsi="SimHei" w:eastAsia="黑体" w:cs="SimHei"/>
          <w:sz w:val="24"/>
          <w:szCs w:val="24"/>
        </w:rPr>
        <w:t>融资预算是在预算期内需新借入的长短期借款、经批准发行的债券等的财务安排，由财务部负责编制；</w:t>
      </w:r>
    </w:p>
    <w:p>
      <w:pPr>
        <w:pStyle w:val="Normal"/>
        <w:numPr>
          <w:ilvl w:val="0"/>
          <w:numId w:val="14"/>
        </w:numPr>
        <w:tabs>
          <w:tab w:val="clear" w:pos="420"/>
          <w:tab w:val="left" w:pos="1080" w:leader="none"/>
        </w:tabs>
        <w:spacing w:lineRule="auto" w:line="360"/>
        <w:ind w:left="1080" w:hanging="540"/>
        <w:rPr>
          <w:rFonts w:ascii="SimHei" w:hAnsi="SimHei" w:eastAsia="黑体" w:cs="SimHei"/>
          <w:sz w:val="24"/>
          <w:szCs w:val="24"/>
        </w:rPr>
      </w:pPr>
      <w:r>
        <w:rPr>
          <w:rFonts w:ascii="SimHei" w:hAnsi="SimHei" w:eastAsia="黑体" w:cs="SimHei"/>
          <w:sz w:val="24"/>
          <w:szCs w:val="24"/>
        </w:rPr>
        <w:t>资本性支出预算是对预算期内进行资本性投资活动预计产生的现金支付的财务安排，包括固定资产投资预算、权益性投资预算、前期费用预算、还本付息预算、其它资本性支出预算；</w:t>
      </w:r>
    </w:p>
    <w:p>
      <w:pPr>
        <w:pStyle w:val="Normal"/>
        <w:numPr>
          <w:ilvl w:val="1"/>
          <w:numId w:val="14"/>
        </w:numPr>
        <w:spacing w:lineRule="auto" w:line="360"/>
        <w:rPr/>
      </w:pPr>
      <w:r>
        <w:rPr>
          <w:rFonts w:ascii="SimHei" w:hAnsi="SimHei" w:eastAsia="黑体" w:cs="SimHei"/>
          <w:sz w:val="24"/>
          <w:szCs w:val="24"/>
        </w:rPr>
        <w:t>固定资产投资预算包括固定资产购置预算，由资产物业部和子公司负责编制；</w:t>
      </w:r>
    </w:p>
    <w:p>
      <w:pPr>
        <w:pStyle w:val="Normal"/>
        <w:numPr>
          <w:ilvl w:val="1"/>
          <w:numId w:val="14"/>
        </w:numPr>
        <w:spacing w:lineRule="auto" w:line="360"/>
        <w:rPr/>
      </w:pPr>
      <w:r>
        <w:rPr>
          <w:rFonts w:ascii="SimHei" w:hAnsi="SimHei" w:eastAsia="黑体" w:cs="SimHei"/>
          <w:sz w:val="24"/>
          <w:szCs w:val="24"/>
        </w:rPr>
        <w:t>权益性投资预算管理包括股权投资预算、债权投资预算，由投资部门协助财务部负责编制；</w:t>
      </w:r>
    </w:p>
    <w:p>
      <w:pPr>
        <w:pStyle w:val="Normal"/>
        <w:numPr>
          <w:ilvl w:val="1"/>
          <w:numId w:val="14"/>
        </w:numPr>
        <w:spacing w:lineRule="auto" w:line="360"/>
        <w:rPr/>
      </w:pPr>
      <w:r>
        <w:rPr>
          <w:rFonts w:ascii="SimHei" w:hAnsi="SimHei" w:eastAsia="黑体" w:cs="SimHei"/>
          <w:sz w:val="24"/>
          <w:szCs w:val="24"/>
        </w:rPr>
        <w:t>借款的还本付息预算由财务部负责编制；</w:t>
      </w:r>
    </w:p>
    <w:p>
      <w:pPr>
        <w:pStyle w:val="Normal"/>
        <w:numPr>
          <w:ilvl w:val="1"/>
          <w:numId w:val="14"/>
        </w:numPr>
        <w:spacing w:lineRule="auto" w:line="360"/>
        <w:rPr/>
      </w:pPr>
      <w:r>
        <w:rPr>
          <w:rFonts w:ascii="SimHei" w:hAnsi="SimHei" w:eastAsia="黑体" w:cs="SimHei"/>
          <w:sz w:val="24"/>
          <w:szCs w:val="24"/>
        </w:rPr>
        <w:t>债券的还本付息预算由财务部负责编制；</w:t>
      </w:r>
    </w:p>
    <w:p>
      <w:pPr>
        <w:pStyle w:val="Normal"/>
        <w:numPr>
          <w:ilvl w:val="1"/>
          <w:numId w:val="14"/>
        </w:numPr>
        <w:spacing w:lineRule="auto" w:line="360"/>
        <w:rPr>
          <w:rFonts w:ascii="SimHei" w:hAnsi="SimHei" w:eastAsia="黑体" w:cs="SimHei"/>
          <w:sz w:val="24"/>
          <w:szCs w:val="24"/>
        </w:rPr>
      </w:pPr>
      <w:r>
        <w:rPr>
          <w:rFonts w:ascii="SimHei" w:hAnsi="SimHei" w:eastAsia="黑体" w:cs="SimHei"/>
          <w:sz w:val="24"/>
          <w:szCs w:val="24"/>
        </w:rPr>
        <w:t>其他资本性支出主要包括处理重大事故、自然灾害所需的恢复性投入，根据国家政策给予的援助性资本投入等，由相应责任中心负责。</w:t>
      </w:r>
    </w:p>
    <w:p>
      <w:pPr>
        <w:pStyle w:val="Normal"/>
        <w:numPr>
          <w:ilvl w:val="0"/>
          <w:numId w:val="14"/>
        </w:numPr>
        <w:tabs>
          <w:tab w:val="clear" w:pos="420"/>
          <w:tab w:val="left" w:pos="1080" w:leader="none"/>
        </w:tabs>
        <w:spacing w:lineRule="auto" w:line="360"/>
        <w:ind w:left="1080" w:hanging="540"/>
        <w:rPr>
          <w:rFonts w:ascii="SimHei" w:hAnsi="SimHei" w:eastAsia="黑体" w:cs="SimHei"/>
          <w:sz w:val="24"/>
          <w:szCs w:val="24"/>
        </w:rPr>
      </w:pPr>
      <w:r>
        <w:rPr>
          <w:rFonts w:ascii="SimHei" w:hAnsi="SimHei" w:eastAsia="黑体" w:cs="SimHei"/>
          <w:sz w:val="24"/>
          <w:szCs w:val="24"/>
        </w:rPr>
        <w:t>在预算编制期无法预测发生的新投资项目，在项目确定时编制专项投资预算，包括和此项投资相关的所有收入、成本、费用，并据此调整资金预算、筹资计划和预计财务报表。专项投资预算的编制需要各相关部门配合共同完成，财务部平衡、汇总。专项投资预算必须经宏华公司预算会议批准。</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财务预算报表的编制</w:t>
      </w:r>
    </w:p>
    <w:p>
      <w:pPr>
        <w:pStyle w:val="Normal"/>
        <w:spacing w:lineRule="auto" w:line="360"/>
        <w:ind w:firstLine="480"/>
        <w:rPr/>
      </w:pPr>
      <w:r>
        <w:rPr>
          <w:rFonts w:ascii="SimHei" w:hAnsi="SimHei" w:eastAsia="黑体" w:cs="SimHei"/>
          <w:sz w:val="24"/>
          <w:szCs w:val="24"/>
        </w:rPr>
        <w:t>财务部负责编制公司损益预算表、资产负债预算表、现金流量预算表。</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预算预备费</w:t>
      </w:r>
    </w:p>
    <w:p>
      <w:pPr>
        <w:pStyle w:val="Normal"/>
        <w:spacing w:lineRule="auto" w:line="360"/>
        <w:ind w:firstLine="480"/>
        <w:rPr>
          <w:rFonts w:ascii="SimHei" w:hAnsi="SimHei" w:eastAsia="黑体" w:cs="SimHei"/>
          <w:sz w:val="24"/>
          <w:szCs w:val="24"/>
        </w:rPr>
      </w:pPr>
      <w:r>
        <w:rPr>
          <w:rFonts w:ascii="SimHei" w:hAnsi="SimHei" w:eastAsia="黑体" w:cs="SimHei"/>
          <w:sz w:val="24"/>
          <w:szCs w:val="24"/>
        </w:rPr>
        <w:t>预算编制时，公司预留一定的预备费作为不可预见的支出准备，预备费总额为公司年度成本费用总额的一定比例。</w:t>
      </w:r>
    </w:p>
    <w:p>
      <w:pPr>
        <w:pStyle w:val="Normal"/>
        <w:numPr>
          <w:ilvl w:val="0"/>
          <w:numId w:val="8"/>
        </w:numPr>
        <w:spacing w:lineRule="auto" w:line="360"/>
        <w:rPr/>
      </w:pPr>
      <w:r>
        <w:rPr>
          <w:rFonts w:ascii="SimHei" w:hAnsi="SimHei" w:eastAsia="黑体" w:cs="SimHei"/>
          <w:sz w:val="24"/>
          <w:szCs w:val="24"/>
        </w:rPr>
        <w:t>每年编制年度预算时，根据预算编制和执行经验、对预算年度基本假设的信赖和争议程度、预算年度重大经营政策环境的变化，以及其他不确定因素等，由财务部建议年度预算预备费的提留比例，经预算会议审批通过；</w:t>
      </w:r>
    </w:p>
    <w:p>
      <w:pPr>
        <w:pStyle w:val="Normal"/>
        <w:numPr>
          <w:ilvl w:val="0"/>
          <w:numId w:val="8"/>
        </w:numPr>
        <w:spacing w:lineRule="auto" w:line="360"/>
        <w:rPr/>
      </w:pPr>
      <w:r>
        <w:rPr>
          <w:rFonts w:ascii="SimHei" w:hAnsi="SimHei" w:eastAsia="黑体" w:cs="SimHei"/>
          <w:sz w:val="24"/>
          <w:szCs w:val="24"/>
        </w:rPr>
        <w:t>在公司预算工作执行有一定积累、预算数据较准确的前提下，或者当预测预算年度经营环境比较稳定时，预算预备费提留比例可以略低；当预测到预算年度经营环境将发生剧烈变化时，预算预备费提留比例可以适度提高。</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预算期和预算编制期</w:t>
      </w:r>
    </w:p>
    <w:p>
      <w:pPr>
        <w:pStyle w:val="Normal"/>
        <w:spacing w:lineRule="auto" w:line="360"/>
        <w:ind w:firstLine="480"/>
        <w:rPr>
          <w:rFonts w:ascii="SimHei" w:hAnsi="SimHei" w:eastAsia="黑体" w:cs="SimHei"/>
          <w:sz w:val="24"/>
          <w:szCs w:val="24"/>
        </w:rPr>
      </w:pPr>
      <w:r>
        <w:rPr>
          <w:rFonts w:ascii="SimHei" w:hAnsi="SimHei" w:eastAsia="黑体" w:cs="SimHei"/>
          <w:sz w:val="24"/>
          <w:szCs w:val="24"/>
        </w:rPr>
        <w:t>预算期指预算编制覆盖的经营期间。与会计年度相一致，</w:t>
      </w:r>
      <w:r>
        <w:rPr>
          <w:rFonts w:ascii="SimHei" w:hAnsi="SimHei" w:eastAsia="黑体" w:cs="SimHei"/>
          <w:color w:val="FF0000"/>
          <w:sz w:val="24"/>
          <w:szCs w:val="24"/>
        </w:rPr>
        <w:t>为每年的</w:t>
      </w:r>
      <w:r>
        <w:rPr>
          <w:rFonts w:ascii="SimHei" w:hAnsi="SimHei" w:eastAsia="黑体" w:cs="SimHei"/>
          <w:color w:val="FF0000"/>
          <w:sz w:val="24"/>
          <w:szCs w:val="24"/>
        </w:rPr>
        <w:t>1</w:t>
      </w:r>
      <w:r>
        <w:rPr>
          <w:rFonts w:ascii="SimHei" w:hAnsi="SimHei" w:eastAsia="黑体" w:cs="SimHei"/>
          <w:color w:val="FF0000"/>
          <w:sz w:val="24"/>
          <w:szCs w:val="24"/>
        </w:rPr>
        <w:t>月</w:t>
      </w:r>
      <w:r>
        <w:rPr>
          <w:rFonts w:ascii="SimHei" w:hAnsi="SimHei" w:eastAsia="黑体" w:cs="SimHei"/>
          <w:color w:val="FF0000"/>
          <w:sz w:val="24"/>
          <w:szCs w:val="24"/>
        </w:rPr>
        <w:t>1</w:t>
      </w:r>
      <w:r>
        <w:rPr>
          <w:rFonts w:ascii="SimHei" w:hAnsi="SimHei" w:eastAsia="黑体" w:cs="SimHei"/>
          <w:color w:val="FF0000"/>
          <w:sz w:val="24"/>
          <w:szCs w:val="24"/>
        </w:rPr>
        <w:t>日至</w:t>
      </w:r>
      <w:r>
        <w:rPr>
          <w:rFonts w:ascii="SimHei" w:hAnsi="SimHei" w:eastAsia="黑体" w:cs="SimHei"/>
          <w:color w:val="FF0000"/>
          <w:sz w:val="24"/>
          <w:szCs w:val="24"/>
        </w:rPr>
        <w:t>12</w:t>
      </w:r>
      <w:r>
        <w:rPr>
          <w:rFonts w:ascii="SimHei" w:hAnsi="SimHei" w:eastAsia="黑体" w:cs="SimHei"/>
          <w:color w:val="FF0000"/>
          <w:sz w:val="24"/>
          <w:szCs w:val="24"/>
        </w:rPr>
        <w:t>月</w:t>
      </w:r>
      <w:r>
        <w:rPr>
          <w:rFonts w:ascii="SimHei" w:hAnsi="SimHei" w:eastAsia="黑体" w:cs="SimHei"/>
          <w:color w:val="FF0000"/>
          <w:sz w:val="24"/>
          <w:szCs w:val="24"/>
        </w:rPr>
        <w:t>31</w:t>
      </w:r>
      <w:r>
        <w:rPr>
          <w:rFonts w:ascii="SimHei" w:hAnsi="SimHei" w:eastAsia="黑体" w:cs="SimHei"/>
          <w:color w:val="FF0000"/>
          <w:sz w:val="24"/>
          <w:szCs w:val="24"/>
        </w:rPr>
        <w:t>日；</w:t>
      </w:r>
    </w:p>
    <w:p>
      <w:pPr>
        <w:pStyle w:val="Normal"/>
        <w:spacing w:lineRule="auto" w:line="360"/>
        <w:ind w:firstLine="480"/>
        <w:rPr>
          <w:rFonts w:ascii="SimHei" w:hAnsi="SimHei" w:eastAsia="黑体" w:cs="SimHei"/>
          <w:sz w:val="24"/>
          <w:szCs w:val="24"/>
        </w:rPr>
      </w:pPr>
      <w:r>
        <w:rPr>
          <w:rFonts w:ascii="SimHei" w:hAnsi="SimHei" w:eastAsia="黑体" w:cs="SimHei"/>
          <w:sz w:val="24"/>
          <w:szCs w:val="24"/>
        </w:rPr>
        <w:t>预算编制期指预算实际编制的时间。公司在每年</w:t>
      </w:r>
      <w:r>
        <w:rPr>
          <w:rFonts w:ascii="SimHei" w:hAnsi="SimHei" w:eastAsia="黑体" w:cs="SimHei"/>
          <w:sz w:val="24"/>
          <w:szCs w:val="24"/>
        </w:rPr>
        <w:t>11</w:t>
      </w:r>
      <w:r>
        <w:rPr>
          <w:rFonts w:ascii="SimHei" w:hAnsi="SimHei" w:eastAsia="黑体" w:cs="SimHei"/>
          <w:sz w:val="24"/>
          <w:szCs w:val="24"/>
        </w:rPr>
        <w:t>月（暂定）开始着手编制下一预算年度的年度预算。</w:t>
      </w:r>
    </w:p>
    <w:p>
      <w:pPr>
        <w:pStyle w:val="Heading1"/>
        <w:jc w:val="center"/>
        <w:rPr>
          <w:rFonts w:ascii="SimHei" w:hAnsi="SimHei" w:eastAsia="黑体" w:cs="SimHei"/>
          <w:bCs w:val="false"/>
          <w:sz w:val="30"/>
          <w:szCs w:val="30"/>
        </w:rPr>
      </w:pPr>
      <w:r>
        <w:rPr>
          <w:rFonts w:ascii="SimHei" w:hAnsi="SimHei" w:eastAsia="黑体" w:cs="SimHei"/>
          <w:bCs w:val="false"/>
          <w:sz w:val="30"/>
          <w:szCs w:val="30"/>
        </w:rPr>
        <w:t>第四章  预算的执行、控制和分析</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公司年度预算方案和分劈月度预算方案一经批准下达，即具有指令性，各责任中心必须按照预算方案的要求，认真组织实施，以确保预算目标的实现。</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预算的执行部门</w:t>
      </w:r>
    </w:p>
    <w:p>
      <w:pPr>
        <w:pStyle w:val="Normal"/>
        <w:numPr>
          <w:ilvl w:val="0"/>
          <w:numId w:val="15"/>
        </w:numPr>
        <w:spacing w:lineRule="auto" w:line="360"/>
        <w:rPr>
          <w:rFonts w:ascii="SimHei" w:hAnsi="SimHei" w:eastAsia="黑体" w:cs="SimHei"/>
          <w:sz w:val="24"/>
          <w:szCs w:val="24"/>
        </w:rPr>
      </w:pPr>
      <w:r>
        <w:rPr>
          <w:rFonts w:ascii="SimHei" w:hAnsi="SimHei" w:eastAsia="黑体" w:cs="SimHei"/>
          <w:sz w:val="24"/>
          <w:szCs w:val="24"/>
        </w:rPr>
        <w:t>各责任中心是预算的执行机构</w:t>
      </w:r>
    </w:p>
    <w:p>
      <w:pPr>
        <w:pStyle w:val="Normal"/>
        <w:numPr>
          <w:ilvl w:val="0"/>
          <w:numId w:val="15"/>
        </w:numPr>
        <w:spacing w:lineRule="auto" w:line="360"/>
        <w:rPr>
          <w:rFonts w:ascii="SimHei" w:hAnsi="SimHei" w:eastAsia="黑体" w:cs="SimHei"/>
          <w:sz w:val="24"/>
          <w:szCs w:val="24"/>
        </w:rPr>
      </w:pPr>
      <w:r>
        <w:rPr>
          <w:rFonts w:ascii="SimHei" w:hAnsi="SimHei" w:eastAsia="黑体" w:cs="SimHei"/>
          <w:sz w:val="24"/>
          <w:szCs w:val="24"/>
        </w:rPr>
        <w:t>预算执行的直接责任人</w:t>
      </w:r>
    </w:p>
    <w:p>
      <w:pPr>
        <w:pStyle w:val="Normal"/>
        <w:numPr>
          <w:ilvl w:val="0"/>
          <w:numId w:val="35"/>
        </w:numPr>
        <w:spacing w:lineRule="auto" w:line="360"/>
        <w:rPr/>
      </w:pPr>
      <w:r>
        <w:rPr>
          <w:rFonts w:ascii="SimHei" w:hAnsi="SimHei" w:eastAsia="黑体" w:cs="SimHei"/>
          <w:sz w:val="24"/>
          <w:szCs w:val="24"/>
        </w:rPr>
        <w:t>主管具体业务和部门的宏华公司经营层对于其负责的责任中心的预算执行负有主要责任；</w:t>
      </w:r>
    </w:p>
    <w:p>
      <w:pPr>
        <w:pStyle w:val="Normal"/>
        <w:numPr>
          <w:ilvl w:val="0"/>
          <w:numId w:val="35"/>
        </w:numPr>
        <w:spacing w:lineRule="auto" w:line="360"/>
        <w:rPr>
          <w:rFonts w:ascii="SimHei" w:hAnsi="SimHei" w:eastAsia="黑体" w:cs="SimHei"/>
          <w:sz w:val="24"/>
          <w:szCs w:val="24"/>
        </w:rPr>
      </w:pPr>
      <w:r>
        <w:rPr>
          <w:rFonts w:ascii="SimHei" w:hAnsi="SimHei" w:eastAsia="黑体" w:cs="SimHei"/>
          <w:sz w:val="24"/>
          <w:szCs w:val="24"/>
        </w:rPr>
        <w:t>各责任中心的负责人是责任中心预算执行的直接责任人。</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预算的执行控制体系</w:t>
      </w:r>
    </w:p>
    <w:p>
      <w:pPr>
        <w:pStyle w:val="Normal"/>
        <w:numPr>
          <w:ilvl w:val="0"/>
          <w:numId w:val="33"/>
        </w:numPr>
        <w:spacing w:lineRule="auto" w:line="360"/>
        <w:rPr>
          <w:rFonts w:ascii="SimHei" w:hAnsi="SimHei" w:eastAsia="黑体" w:cs="SimHei"/>
          <w:sz w:val="24"/>
          <w:szCs w:val="24"/>
        </w:rPr>
      </w:pPr>
      <w:r>
        <w:rPr>
          <w:rFonts w:ascii="SimHei" w:hAnsi="SimHei" w:eastAsia="黑体" w:cs="SimHei"/>
          <w:sz w:val="24"/>
          <w:szCs w:val="24"/>
        </w:rPr>
        <w:t>责任中心负责人：各责任中心的负责人根据本责任中心的预算目标，负责本责任中心具体业务活动的领导和监督，按照预算目标控制资金及成本的支出，完成指定的工作目标；</w:t>
      </w:r>
    </w:p>
    <w:p>
      <w:pPr>
        <w:pStyle w:val="Normal"/>
        <w:numPr>
          <w:ilvl w:val="0"/>
          <w:numId w:val="33"/>
        </w:numPr>
        <w:spacing w:lineRule="auto" w:line="360"/>
        <w:rPr>
          <w:rFonts w:ascii="SimHei" w:hAnsi="SimHei" w:eastAsia="黑体" w:cs="SimHei"/>
          <w:sz w:val="24"/>
          <w:szCs w:val="24"/>
        </w:rPr>
      </w:pPr>
      <w:r>
        <w:rPr>
          <w:rFonts w:ascii="SimHei" w:hAnsi="SimHei" w:eastAsia="黑体" w:cs="SimHei"/>
          <w:sz w:val="24"/>
          <w:szCs w:val="24"/>
        </w:rPr>
        <w:t>公司职能部门：依据预算目标对责任中心的各种经济行为实施过程控制，确保预算执行部门在预算目标框架下运营；</w:t>
      </w:r>
    </w:p>
    <w:p>
      <w:pPr>
        <w:pStyle w:val="Normal"/>
        <w:numPr>
          <w:ilvl w:val="0"/>
          <w:numId w:val="33"/>
        </w:numPr>
        <w:spacing w:lineRule="auto" w:line="360"/>
        <w:rPr/>
      </w:pPr>
      <w:r>
        <w:rPr>
          <w:rFonts w:ascii="SimHei" w:hAnsi="SimHei" w:eastAsia="黑体" w:cs="SimHei"/>
          <w:sz w:val="24"/>
          <w:szCs w:val="24"/>
        </w:rPr>
        <w:t>宏华公司总经理：对各责任中心的预算外行为进行审批控制。</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预算资金控制</w:t>
      </w:r>
    </w:p>
    <w:p>
      <w:pPr>
        <w:pStyle w:val="Normal"/>
        <w:numPr>
          <w:ilvl w:val="0"/>
          <w:numId w:val="13"/>
        </w:numPr>
        <w:spacing w:lineRule="auto" w:line="360"/>
        <w:rPr>
          <w:rFonts w:ascii="SimHei" w:hAnsi="SimHei" w:eastAsia="黑体" w:cs="SimHei"/>
          <w:sz w:val="24"/>
          <w:szCs w:val="24"/>
        </w:rPr>
      </w:pPr>
      <w:r>
        <w:rPr>
          <w:rFonts w:ascii="SimHei" w:hAnsi="SimHei" w:eastAsia="黑体" w:cs="SimHei"/>
          <w:sz w:val="24"/>
          <w:szCs w:val="24"/>
        </w:rPr>
        <w:t>预算内资金控制：</w:t>
      </w:r>
    </w:p>
    <w:p>
      <w:pPr>
        <w:pStyle w:val="Normal"/>
        <w:numPr>
          <w:ilvl w:val="0"/>
          <w:numId w:val="11"/>
        </w:numPr>
        <w:spacing w:lineRule="auto" w:line="360"/>
        <w:rPr/>
      </w:pPr>
      <w:r>
        <w:rPr>
          <w:rFonts w:ascii="SimHei" w:hAnsi="SimHei" w:eastAsia="黑体" w:cs="SimHei"/>
          <w:sz w:val="24"/>
          <w:szCs w:val="24"/>
        </w:rPr>
        <w:t>预算内支出，根据不同的审批权限由公司各责任中心负责人、分管领导、宏华公司总经理审批；</w:t>
      </w:r>
    </w:p>
    <w:p>
      <w:pPr>
        <w:pStyle w:val="Normal"/>
        <w:numPr>
          <w:ilvl w:val="0"/>
          <w:numId w:val="11"/>
        </w:numPr>
        <w:spacing w:lineRule="auto" w:line="360"/>
        <w:rPr/>
      </w:pPr>
      <w:r>
        <w:rPr>
          <w:rFonts w:ascii="SimHei" w:hAnsi="SimHei" w:eastAsia="黑体" w:cs="SimHei"/>
          <w:sz w:val="24"/>
          <w:szCs w:val="24"/>
        </w:rPr>
        <w:t>需要使用资金的预算责任中心，按照批复的年度预算编制月度预算，提报《资金支出申请表》，并附相关文件、合同或资料，按公司授权审批权限审批后，送财务部审核；</w:t>
      </w:r>
    </w:p>
    <w:p>
      <w:pPr>
        <w:pStyle w:val="Normal"/>
        <w:numPr>
          <w:ilvl w:val="0"/>
          <w:numId w:val="11"/>
        </w:numPr>
        <w:spacing w:lineRule="auto" w:line="360"/>
        <w:rPr/>
      </w:pPr>
      <w:r>
        <w:rPr>
          <w:rFonts w:ascii="SimHei" w:hAnsi="SimHei" w:eastAsia="黑体" w:cs="SimHei"/>
          <w:sz w:val="24"/>
          <w:szCs w:val="24"/>
        </w:rPr>
        <w:t>预算责任中心，按照审批同意的月度预算《资金支出申请表》，编制“周用款计划”，公司财务部根据资金的周转情况和资金需求情况以及《资金支出申请表》和“周用款计划”办理拨付手续；</w:t>
      </w:r>
    </w:p>
    <w:p>
      <w:pPr>
        <w:pStyle w:val="Normal"/>
        <w:numPr>
          <w:ilvl w:val="0"/>
          <w:numId w:val="11"/>
        </w:numPr>
        <w:spacing w:lineRule="auto" w:line="360"/>
        <w:rPr/>
      </w:pPr>
      <w:r>
        <w:rPr>
          <w:rFonts w:ascii="SimHei" w:hAnsi="SimHei" w:eastAsia="黑体" w:cs="SimHei"/>
          <w:sz w:val="24"/>
          <w:szCs w:val="24"/>
        </w:rPr>
        <w:t>财务部建立预算资金拨付台帐制度，各预算责任中心建立预算执行台帐，每季度末与财务部核对；</w:t>
      </w:r>
    </w:p>
    <w:p>
      <w:pPr>
        <w:pStyle w:val="Normal"/>
        <w:numPr>
          <w:ilvl w:val="0"/>
          <w:numId w:val="11"/>
        </w:numPr>
        <w:spacing w:lineRule="auto" w:line="360"/>
        <w:rPr/>
      </w:pPr>
      <w:r>
        <w:rPr>
          <w:rFonts w:ascii="SimHei" w:hAnsi="SimHei" w:eastAsia="黑体" w:cs="SimHei"/>
          <w:sz w:val="24"/>
          <w:szCs w:val="24"/>
        </w:rPr>
        <w:t>对于不可预见的支出，各责任中心根据业务的实际需要，提出资金使用申请，经分管领导审批，向总经理提交申请。总经理判定是否需要动用预算预备费，并综合平衡各个申请，决定预算预备费的实际使用。批准的预算预备费的使用由财务部统一管理，预备费使用的考核与预算内费用的考核相同。</w:t>
      </w:r>
    </w:p>
    <w:p>
      <w:pPr>
        <w:pStyle w:val="Normal"/>
        <w:numPr>
          <w:ilvl w:val="0"/>
          <w:numId w:val="13"/>
        </w:numPr>
        <w:spacing w:lineRule="auto" w:line="360"/>
        <w:rPr>
          <w:rFonts w:ascii="SimHei" w:hAnsi="SimHei" w:eastAsia="黑体" w:cs="SimHei"/>
          <w:sz w:val="24"/>
          <w:szCs w:val="24"/>
        </w:rPr>
      </w:pPr>
      <w:r>
        <w:rPr>
          <w:rFonts w:ascii="SimHei" w:hAnsi="SimHei" w:eastAsia="黑体" w:cs="SimHei"/>
          <w:sz w:val="24"/>
          <w:szCs w:val="24"/>
        </w:rPr>
        <w:t>预算外资金控制：</w:t>
      </w:r>
    </w:p>
    <w:p>
      <w:pPr>
        <w:pStyle w:val="Normal"/>
        <w:numPr>
          <w:ilvl w:val="0"/>
          <w:numId w:val="38"/>
        </w:numPr>
        <w:spacing w:lineRule="auto" w:line="360"/>
        <w:rPr/>
      </w:pPr>
      <w:r>
        <w:rPr>
          <w:rFonts w:ascii="SimHei" w:hAnsi="SimHei" w:eastAsia="黑体" w:cs="SimHei"/>
          <w:sz w:val="24"/>
          <w:szCs w:val="24"/>
        </w:rPr>
        <w:t>预算外资金申请，需由责任中心填写申请，该申请应该包括使用目的、使用的责任中心和责任人、使用目标、使用方式等内容。总经理对各责任中心的预算外行为进行审批控制；</w:t>
      </w:r>
    </w:p>
    <w:p>
      <w:pPr>
        <w:pStyle w:val="Normal"/>
        <w:numPr>
          <w:ilvl w:val="0"/>
          <w:numId w:val="38"/>
        </w:numPr>
        <w:spacing w:lineRule="auto" w:line="360"/>
        <w:rPr/>
      </w:pPr>
      <w:r>
        <w:rPr>
          <w:rFonts w:ascii="SimHei" w:hAnsi="SimHei" w:eastAsia="黑体" w:cs="SimHei"/>
          <w:sz w:val="24"/>
          <w:szCs w:val="24"/>
        </w:rPr>
        <w:t>预算外资金的实际使用应在其影响的当期及后期的预算表中做出清晰的标志，预算外资金的使用由财务部统一管理，预算外资金使用的考核按照申请中明确的使用目标单独进行。</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预算执行信息反馈表单：由各级责任部门定期填制、并逐级汇总上报的一系列表单，用来全面、系统地报告每个责任中心及整个公司预算执行的进度和结果。</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预算反馈报告</w:t>
      </w:r>
    </w:p>
    <w:p>
      <w:pPr>
        <w:pStyle w:val="Normal"/>
        <w:spacing w:lineRule="auto" w:line="360"/>
        <w:ind w:firstLine="480"/>
        <w:rPr>
          <w:rFonts w:ascii="SimHei" w:hAnsi="SimHei" w:eastAsia="黑体" w:cs="SimHei"/>
          <w:sz w:val="24"/>
          <w:szCs w:val="24"/>
        </w:rPr>
      </w:pPr>
      <w:r>
        <w:rPr>
          <w:rFonts w:ascii="SimHei" w:hAnsi="SimHei" w:eastAsia="黑体" w:cs="SimHei"/>
          <w:sz w:val="24"/>
          <w:szCs w:val="24"/>
        </w:rPr>
        <w:t>预算执行情况报告采用两种形式：预算执行分析报告和专题反馈报告。</w:t>
      </w:r>
    </w:p>
    <w:p>
      <w:pPr>
        <w:pStyle w:val="Normal"/>
        <w:numPr>
          <w:ilvl w:val="0"/>
          <w:numId w:val="26"/>
        </w:numPr>
        <w:spacing w:lineRule="auto" w:line="360"/>
        <w:rPr>
          <w:rFonts w:ascii="SimHei" w:hAnsi="SimHei" w:eastAsia="黑体" w:cs="SimHei"/>
          <w:sz w:val="24"/>
          <w:szCs w:val="24"/>
        </w:rPr>
      </w:pPr>
      <w:r>
        <w:rPr>
          <w:rFonts w:ascii="SimHei" w:hAnsi="SimHei" w:eastAsia="黑体" w:cs="SimHei"/>
          <w:sz w:val="24"/>
          <w:szCs w:val="24"/>
        </w:rPr>
        <w:t>预算执行分析报告是定期编制的报告，用来全面、系统地报告每个责任中心的预算执行的进度和结果。</w:t>
      </w:r>
    </w:p>
    <w:p>
      <w:pPr>
        <w:pStyle w:val="Normal"/>
        <w:numPr>
          <w:ilvl w:val="0"/>
          <w:numId w:val="26"/>
        </w:numPr>
        <w:spacing w:lineRule="auto" w:line="360"/>
        <w:rPr>
          <w:rFonts w:ascii="SimHei" w:hAnsi="SimHei" w:eastAsia="黑体" w:cs="SimHei"/>
          <w:sz w:val="24"/>
          <w:szCs w:val="24"/>
        </w:rPr>
      </w:pPr>
      <w:r>
        <w:rPr>
          <w:rFonts w:ascii="SimHei" w:hAnsi="SimHei" w:eastAsia="黑体" w:cs="SimHei"/>
          <w:sz w:val="24"/>
          <w:szCs w:val="24"/>
        </w:rPr>
        <w:t>专题报告是对重大预算差异的调研报告，不定期编制。</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预算会议成员应定期地收到预算执行情况的反馈报告，以了解和掌握预算执行的进程。当预算执行差异过大时，相关责任部门要上报专题反馈报告。</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总经理办公会预算会议</w:t>
      </w:r>
    </w:p>
    <w:p>
      <w:pPr>
        <w:pStyle w:val="Normal"/>
        <w:numPr>
          <w:ilvl w:val="0"/>
          <w:numId w:val="29"/>
        </w:numPr>
        <w:spacing w:lineRule="auto" w:line="360"/>
        <w:rPr/>
      </w:pPr>
      <w:r>
        <w:rPr>
          <w:rFonts w:ascii="SimHei" w:hAnsi="SimHei" w:eastAsia="黑体" w:cs="SimHei"/>
          <w:sz w:val="24"/>
          <w:szCs w:val="24"/>
        </w:rPr>
        <w:t>预算会议根据财务总监报请的审议内容，定期、不定期召开会议；</w:t>
      </w:r>
    </w:p>
    <w:p>
      <w:pPr>
        <w:pStyle w:val="Normal"/>
        <w:numPr>
          <w:ilvl w:val="0"/>
          <w:numId w:val="29"/>
        </w:numPr>
        <w:spacing w:lineRule="auto" w:line="360"/>
        <w:rPr/>
      </w:pPr>
      <w:r>
        <w:rPr>
          <w:rFonts w:ascii="SimHei" w:hAnsi="SimHei" w:eastAsia="黑体" w:cs="SimHei"/>
          <w:sz w:val="24"/>
          <w:szCs w:val="24"/>
        </w:rPr>
        <w:t>预算会议由宏华公司总经理确定会议议程，召集并主持；</w:t>
      </w:r>
    </w:p>
    <w:p>
      <w:pPr>
        <w:pStyle w:val="Normal"/>
        <w:numPr>
          <w:ilvl w:val="0"/>
          <w:numId w:val="29"/>
        </w:numPr>
        <w:spacing w:lineRule="auto" w:line="360"/>
        <w:rPr>
          <w:rFonts w:ascii="SimHei" w:hAnsi="SimHei" w:eastAsia="黑体" w:cs="SimHei"/>
          <w:sz w:val="24"/>
          <w:szCs w:val="24"/>
        </w:rPr>
      </w:pPr>
      <w:r>
        <w:rPr>
          <w:rFonts w:ascii="SimHei" w:hAnsi="SimHei" w:eastAsia="黑体" w:cs="SimHei"/>
          <w:sz w:val="24"/>
          <w:szCs w:val="24"/>
        </w:rPr>
        <w:t>预算会议应当由四分之三以上的成员出席方可举行；</w:t>
      </w:r>
    </w:p>
    <w:p>
      <w:pPr>
        <w:pStyle w:val="Normal"/>
        <w:numPr>
          <w:ilvl w:val="0"/>
          <w:numId w:val="29"/>
        </w:numPr>
        <w:spacing w:lineRule="auto" w:line="360"/>
        <w:rPr/>
      </w:pPr>
      <w:r>
        <w:rPr>
          <w:rFonts w:ascii="SimHei" w:hAnsi="SimHei" w:eastAsia="黑体" w:cs="SimHei"/>
          <w:sz w:val="24"/>
          <w:szCs w:val="24"/>
        </w:rPr>
        <w:t>预算会议做出的决议，必须经全体成员三分之二以上表决通过方为有效。总经理具有一票否决权。</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预算管理的例会制度</w:t>
      </w:r>
    </w:p>
    <w:p>
      <w:pPr>
        <w:pStyle w:val="Normal"/>
        <w:spacing w:lineRule="auto" w:line="360"/>
        <w:ind w:firstLine="480"/>
        <w:rPr>
          <w:rFonts w:ascii="SimHei" w:hAnsi="SimHei" w:eastAsia="黑体" w:cs="SimHei"/>
          <w:sz w:val="24"/>
          <w:szCs w:val="24"/>
        </w:rPr>
      </w:pPr>
      <w:r>
        <w:rPr>
          <w:rFonts w:ascii="SimHei" w:hAnsi="SimHei" w:eastAsia="黑体" w:cs="SimHei"/>
          <w:sz w:val="24"/>
          <w:szCs w:val="24"/>
        </w:rPr>
        <w:t>公司通过预算管理的例会制度保证预算与考核的衔接。</w:t>
      </w:r>
    </w:p>
    <w:p>
      <w:pPr>
        <w:pStyle w:val="Normal"/>
        <w:numPr>
          <w:ilvl w:val="0"/>
          <w:numId w:val="4"/>
        </w:numPr>
        <w:spacing w:lineRule="auto" w:line="360"/>
        <w:rPr/>
      </w:pPr>
      <w:r>
        <w:rPr>
          <w:rFonts w:ascii="SimHei" w:hAnsi="SimHei" w:eastAsia="黑体" w:cs="SimHei"/>
          <w:sz w:val="24"/>
          <w:szCs w:val="24"/>
        </w:rPr>
        <w:t>预算管理的例会分月度</w:t>
      </w:r>
      <w:r>
        <w:rPr>
          <w:rFonts w:ascii="SimHei" w:hAnsi="SimHei" w:eastAsia="黑体" w:cs="SimHei"/>
          <w:sz w:val="24"/>
          <w:szCs w:val="24"/>
        </w:rPr>
        <w:t>/</w:t>
      </w:r>
      <w:r>
        <w:rPr>
          <w:rFonts w:ascii="SimHei" w:hAnsi="SimHei" w:eastAsia="黑体" w:cs="SimHei"/>
          <w:sz w:val="24"/>
          <w:szCs w:val="24"/>
        </w:rPr>
        <w:t>季度</w:t>
      </w:r>
      <w:r>
        <w:rPr>
          <w:rFonts w:ascii="SimHei" w:hAnsi="SimHei" w:eastAsia="黑体" w:cs="SimHei"/>
          <w:sz w:val="24"/>
          <w:szCs w:val="24"/>
        </w:rPr>
        <w:t>/</w:t>
      </w:r>
      <w:r>
        <w:rPr>
          <w:rFonts w:ascii="SimHei" w:hAnsi="SimHei" w:eastAsia="黑体" w:cs="SimHei"/>
          <w:sz w:val="24"/>
          <w:szCs w:val="24"/>
        </w:rPr>
        <w:t>年度例会，目的是对前一月</w:t>
      </w:r>
      <w:r>
        <w:rPr>
          <w:rFonts w:ascii="SimHei" w:hAnsi="SimHei" w:eastAsia="黑体" w:cs="SimHei"/>
          <w:sz w:val="24"/>
          <w:szCs w:val="24"/>
        </w:rPr>
        <w:t>/</w:t>
      </w:r>
      <w:r>
        <w:rPr>
          <w:rFonts w:ascii="SimHei" w:hAnsi="SimHei" w:eastAsia="黑体" w:cs="SimHei"/>
          <w:sz w:val="24"/>
          <w:szCs w:val="24"/>
        </w:rPr>
        <w:t>季</w:t>
      </w:r>
      <w:r>
        <w:rPr>
          <w:rFonts w:ascii="SimHei" w:hAnsi="SimHei" w:eastAsia="黑体" w:cs="SimHei"/>
          <w:sz w:val="24"/>
          <w:szCs w:val="24"/>
        </w:rPr>
        <w:t>/</w:t>
      </w:r>
      <w:r>
        <w:rPr>
          <w:rFonts w:ascii="SimHei" w:hAnsi="SimHei" w:eastAsia="黑体" w:cs="SimHei"/>
          <w:sz w:val="24"/>
          <w:szCs w:val="24"/>
        </w:rPr>
        <w:t>年各部门的预算目标完成情况进行分析、评价、考核，及时发现和解决经营中的潜在问题，确定改进措施，明确下阶段的工作重点，确保预算的完成，或者必要时修正预算，以适应外部环境的变化。对完成或超额完成预算指标的各单位，由公司根据有关规定对该单位及其负责人给予表彰和奖励；对完不成年度预算指标的公司各部门，根据不同情节，对该单位及其主要负责人给予相应的处罚，追究其经济或行政责任。</w:t>
      </w:r>
    </w:p>
    <w:p>
      <w:pPr>
        <w:pStyle w:val="Normal"/>
        <w:numPr>
          <w:ilvl w:val="0"/>
          <w:numId w:val="4"/>
        </w:numPr>
        <w:spacing w:lineRule="auto" w:line="360"/>
        <w:rPr>
          <w:rFonts w:ascii="SimHei" w:hAnsi="SimHei" w:eastAsia="黑体" w:cs="SimHei"/>
          <w:sz w:val="24"/>
          <w:szCs w:val="24"/>
        </w:rPr>
      </w:pPr>
      <w:r>
        <w:rPr>
          <w:rFonts w:ascii="SimHei" w:hAnsi="SimHei" w:eastAsia="黑体" w:cs="SimHei"/>
          <w:sz w:val="24"/>
          <w:szCs w:val="24"/>
        </w:rPr>
        <w:t>预算管理的例会细则：</w:t>
      </w:r>
    </w:p>
    <w:p>
      <w:pPr>
        <w:pStyle w:val="Normal"/>
        <w:numPr>
          <w:ilvl w:val="0"/>
          <w:numId w:val="6"/>
        </w:numPr>
        <w:spacing w:lineRule="auto" w:line="360"/>
        <w:rPr/>
      </w:pPr>
      <w:r>
        <w:rPr>
          <w:rFonts w:ascii="SimHei" w:hAnsi="SimHei" w:eastAsia="黑体" w:cs="SimHei"/>
          <w:sz w:val="24"/>
          <w:szCs w:val="24"/>
        </w:rPr>
        <w:t>会议准备：财务部在每月</w:t>
      </w:r>
      <w:r>
        <w:rPr>
          <w:rFonts w:ascii="SimHei" w:hAnsi="SimHei" w:eastAsia="黑体" w:cs="SimHei"/>
          <w:sz w:val="24"/>
          <w:szCs w:val="24"/>
        </w:rPr>
        <w:t>/</w:t>
      </w:r>
      <w:r>
        <w:rPr>
          <w:rFonts w:ascii="SimHei" w:hAnsi="SimHei" w:eastAsia="黑体" w:cs="SimHei"/>
          <w:sz w:val="24"/>
          <w:szCs w:val="24"/>
        </w:rPr>
        <w:t>季</w:t>
      </w:r>
      <w:r>
        <w:rPr>
          <w:rFonts w:ascii="SimHei" w:hAnsi="SimHei" w:eastAsia="黑体" w:cs="SimHei"/>
          <w:sz w:val="24"/>
          <w:szCs w:val="24"/>
        </w:rPr>
        <w:t>/</w:t>
      </w:r>
      <w:r>
        <w:rPr>
          <w:rFonts w:ascii="SimHei" w:hAnsi="SimHei" w:eastAsia="黑体" w:cs="SimHei"/>
          <w:sz w:val="24"/>
          <w:szCs w:val="24"/>
        </w:rPr>
        <w:t>年初填制上一月</w:t>
      </w:r>
      <w:r>
        <w:rPr>
          <w:rFonts w:ascii="SimHei" w:hAnsi="SimHei" w:eastAsia="黑体" w:cs="SimHei"/>
          <w:sz w:val="24"/>
          <w:szCs w:val="24"/>
        </w:rPr>
        <w:t>/</w:t>
      </w:r>
      <w:r>
        <w:rPr>
          <w:rFonts w:ascii="SimHei" w:hAnsi="SimHei" w:eastAsia="黑体" w:cs="SimHei"/>
          <w:sz w:val="24"/>
          <w:szCs w:val="24"/>
        </w:rPr>
        <w:t>季</w:t>
      </w:r>
      <w:r>
        <w:rPr>
          <w:rFonts w:ascii="SimHei" w:hAnsi="SimHei" w:eastAsia="黑体" w:cs="SimHei"/>
          <w:sz w:val="24"/>
          <w:szCs w:val="24"/>
        </w:rPr>
        <w:t>/</w:t>
      </w:r>
      <w:r>
        <w:rPr>
          <w:rFonts w:ascii="SimHei" w:hAnsi="SimHei" w:eastAsia="黑体" w:cs="SimHei"/>
          <w:sz w:val="24"/>
          <w:szCs w:val="24"/>
        </w:rPr>
        <w:t>年预算完成情况表，在例会前一周对上一月</w:t>
      </w:r>
      <w:r>
        <w:rPr>
          <w:rFonts w:ascii="SimHei" w:hAnsi="SimHei" w:eastAsia="黑体" w:cs="SimHei"/>
          <w:sz w:val="24"/>
          <w:szCs w:val="24"/>
        </w:rPr>
        <w:t>/</w:t>
      </w:r>
      <w:r>
        <w:rPr>
          <w:rFonts w:ascii="SimHei" w:hAnsi="SimHei" w:eastAsia="黑体" w:cs="SimHei"/>
          <w:sz w:val="24"/>
          <w:szCs w:val="24"/>
        </w:rPr>
        <w:t>季</w:t>
      </w:r>
      <w:r>
        <w:rPr>
          <w:rFonts w:ascii="SimHei" w:hAnsi="SimHei" w:eastAsia="黑体" w:cs="SimHei"/>
          <w:sz w:val="24"/>
          <w:szCs w:val="24"/>
        </w:rPr>
        <w:t>/</w:t>
      </w:r>
      <w:r>
        <w:rPr>
          <w:rFonts w:ascii="SimHei" w:hAnsi="SimHei" w:eastAsia="黑体" w:cs="SimHei"/>
          <w:sz w:val="24"/>
          <w:szCs w:val="24"/>
        </w:rPr>
        <w:t>年预算完成情况做差异分析并找出主要问题；各单位提前十天做出本单位预算完成情况差异分析和解决问题拟用的措施；</w:t>
      </w:r>
    </w:p>
    <w:p>
      <w:pPr>
        <w:pStyle w:val="Normal"/>
        <w:numPr>
          <w:ilvl w:val="0"/>
          <w:numId w:val="6"/>
        </w:numPr>
        <w:spacing w:lineRule="auto" w:line="360"/>
        <w:rPr>
          <w:rFonts w:ascii="SimHei" w:hAnsi="SimHei" w:eastAsia="黑体" w:cs="SimHei"/>
          <w:sz w:val="24"/>
          <w:szCs w:val="24"/>
        </w:rPr>
      </w:pPr>
      <w:r>
        <w:rPr>
          <w:rFonts w:ascii="SimHei" w:hAnsi="SimHei" w:eastAsia="黑体" w:cs="SimHei"/>
          <w:sz w:val="24"/>
          <w:szCs w:val="24"/>
        </w:rPr>
        <w:t>参会人员：预算会议成员、各单位有关人员视情况参加；</w:t>
      </w:r>
    </w:p>
    <w:p>
      <w:pPr>
        <w:pStyle w:val="Normal"/>
        <w:numPr>
          <w:ilvl w:val="0"/>
          <w:numId w:val="6"/>
        </w:numPr>
        <w:spacing w:lineRule="auto" w:line="360"/>
        <w:rPr/>
      </w:pPr>
      <w:r>
        <w:rPr>
          <w:rFonts w:ascii="SimHei" w:hAnsi="SimHei" w:eastAsia="黑体" w:cs="SimHei"/>
          <w:sz w:val="24"/>
          <w:szCs w:val="24"/>
        </w:rPr>
        <w:t>召开时间：月度</w:t>
      </w:r>
      <w:r>
        <w:rPr>
          <w:rFonts w:ascii="SimHei" w:hAnsi="SimHei" w:eastAsia="黑体" w:cs="SimHei"/>
          <w:sz w:val="24"/>
          <w:szCs w:val="24"/>
        </w:rPr>
        <w:t>/</w:t>
      </w:r>
      <w:r>
        <w:rPr>
          <w:rFonts w:ascii="SimHei" w:hAnsi="SimHei" w:eastAsia="黑体" w:cs="SimHei"/>
          <w:sz w:val="24"/>
          <w:szCs w:val="24"/>
        </w:rPr>
        <w:t>季度例会在每月</w:t>
      </w:r>
      <w:r>
        <w:rPr>
          <w:rFonts w:ascii="SimHei" w:hAnsi="SimHei" w:eastAsia="黑体" w:cs="SimHei"/>
          <w:sz w:val="24"/>
          <w:szCs w:val="24"/>
          <w:u w:val="single"/>
        </w:rPr>
        <w:t>15</w:t>
      </w:r>
      <w:r>
        <w:rPr>
          <w:rFonts w:ascii="SimHei" w:hAnsi="SimHei" w:eastAsia="黑体" w:cs="SimHei"/>
          <w:sz w:val="24"/>
          <w:szCs w:val="24"/>
        </w:rPr>
        <w:t>日以前，年度例会在</w:t>
      </w:r>
      <w:r>
        <w:rPr>
          <w:rFonts w:ascii="SimHei" w:hAnsi="SimHei" w:eastAsia="黑体" w:cs="SimHei"/>
          <w:sz w:val="24"/>
          <w:szCs w:val="24"/>
          <w:u w:val="single"/>
        </w:rPr>
        <w:t>2</w:t>
      </w:r>
      <w:r>
        <w:rPr>
          <w:rFonts w:ascii="SimHei" w:hAnsi="SimHei" w:eastAsia="黑体" w:cs="SimHei"/>
          <w:sz w:val="24"/>
          <w:szCs w:val="24"/>
        </w:rPr>
        <w:t>月；</w:t>
      </w:r>
    </w:p>
    <w:p>
      <w:pPr>
        <w:pStyle w:val="Normal"/>
        <w:numPr>
          <w:ilvl w:val="0"/>
          <w:numId w:val="6"/>
        </w:numPr>
        <w:spacing w:lineRule="auto" w:line="360"/>
        <w:rPr>
          <w:rFonts w:ascii="SimHei" w:hAnsi="SimHei" w:eastAsia="黑体" w:cs="SimHei"/>
          <w:sz w:val="24"/>
          <w:szCs w:val="24"/>
        </w:rPr>
      </w:pPr>
      <w:r>
        <w:rPr>
          <w:rFonts w:ascii="SimHei" w:hAnsi="SimHei" w:eastAsia="黑体" w:cs="SimHei"/>
          <w:sz w:val="24"/>
          <w:szCs w:val="24"/>
        </w:rPr>
        <w:t>会议议程：</w:t>
      </w:r>
    </w:p>
    <w:p>
      <w:pPr>
        <w:pStyle w:val="Normal"/>
        <w:numPr>
          <w:ilvl w:val="1"/>
          <w:numId w:val="6"/>
        </w:numPr>
        <w:spacing w:lineRule="auto" w:line="360"/>
        <w:rPr>
          <w:rFonts w:ascii="SimHei" w:hAnsi="SimHei" w:eastAsia="黑体" w:cs="SimHei"/>
          <w:sz w:val="24"/>
          <w:szCs w:val="24"/>
        </w:rPr>
      </w:pPr>
      <w:r>
        <w:rPr>
          <w:rFonts w:ascii="SimHei" w:hAnsi="SimHei" w:eastAsia="黑体" w:cs="SimHei"/>
          <w:sz w:val="24"/>
          <w:szCs w:val="24"/>
        </w:rPr>
        <w:t>责任中心负责人汇报上月</w:t>
      </w:r>
      <w:r>
        <w:rPr>
          <w:rFonts w:ascii="SimHei" w:hAnsi="SimHei" w:eastAsia="黑体" w:cs="SimHei"/>
          <w:sz w:val="24"/>
          <w:szCs w:val="24"/>
        </w:rPr>
        <w:t>/</w:t>
      </w:r>
      <w:r>
        <w:rPr>
          <w:rFonts w:ascii="SimHei" w:hAnsi="SimHei" w:eastAsia="黑体" w:cs="SimHei"/>
          <w:sz w:val="24"/>
          <w:szCs w:val="24"/>
        </w:rPr>
        <w:t>季</w:t>
      </w:r>
      <w:r>
        <w:rPr>
          <w:rFonts w:ascii="SimHei" w:hAnsi="SimHei" w:eastAsia="黑体" w:cs="SimHei"/>
          <w:sz w:val="24"/>
          <w:szCs w:val="24"/>
        </w:rPr>
        <w:t>/</w:t>
      </w:r>
      <w:r>
        <w:rPr>
          <w:rFonts w:ascii="SimHei" w:hAnsi="SimHei" w:eastAsia="黑体" w:cs="SimHei"/>
          <w:sz w:val="24"/>
          <w:szCs w:val="24"/>
        </w:rPr>
        <w:t>年部门工作完成情况；</w:t>
      </w:r>
    </w:p>
    <w:p>
      <w:pPr>
        <w:pStyle w:val="Normal"/>
        <w:numPr>
          <w:ilvl w:val="1"/>
          <w:numId w:val="6"/>
        </w:numPr>
        <w:spacing w:lineRule="auto" w:line="360"/>
        <w:rPr>
          <w:rFonts w:ascii="SimHei" w:hAnsi="SimHei" w:eastAsia="黑体" w:cs="SimHei"/>
          <w:sz w:val="24"/>
          <w:szCs w:val="24"/>
        </w:rPr>
      </w:pPr>
      <w:r>
        <w:rPr>
          <w:rFonts w:ascii="SimHei" w:hAnsi="SimHei" w:eastAsia="黑体" w:cs="SimHei"/>
          <w:sz w:val="24"/>
          <w:szCs w:val="24"/>
        </w:rPr>
        <w:t>分管领导总结主管工作预算执行情况及存在的主要问题；</w:t>
      </w:r>
    </w:p>
    <w:p>
      <w:pPr>
        <w:pStyle w:val="Normal"/>
        <w:numPr>
          <w:ilvl w:val="1"/>
          <w:numId w:val="6"/>
        </w:numPr>
        <w:spacing w:lineRule="auto" w:line="360"/>
        <w:rPr/>
      </w:pPr>
      <w:r>
        <w:rPr>
          <w:rFonts w:ascii="SimHei" w:hAnsi="SimHei" w:eastAsia="黑体" w:cs="SimHei"/>
          <w:sz w:val="24"/>
          <w:szCs w:val="24"/>
        </w:rPr>
        <w:t>财务总监介绍上月</w:t>
      </w:r>
      <w:r>
        <w:rPr>
          <w:rFonts w:ascii="SimHei" w:hAnsi="SimHei" w:eastAsia="黑体" w:cs="SimHei"/>
          <w:sz w:val="24"/>
          <w:szCs w:val="24"/>
        </w:rPr>
        <w:t>/</w:t>
      </w:r>
      <w:r>
        <w:rPr>
          <w:rFonts w:ascii="SimHei" w:hAnsi="SimHei" w:eastAsia="黑体" w:cs="SimHei"/>
          <w:sz w:val="24"/>
          <w:szCs w:val="24"/>
        </w:rPr>
        <w:t>季</w:t>
      </w:r>
      <w:r>
        <w:rPr>
          <w:rFonts w:ascii="SimHei" w:hAnsi="SimHei" w:eastAsia="黑体" w:cs="SimHei"/>
          <w:sz w:val="24"/>
          <w:szCs w:val="24"/>
        </w:rPr>
        <w:t>/</w:t>
      </w:r>
      <w:r>
        <w:rPr>
          <w:rFonts w:ascii="SimHei" w:hAnsi="SimHei" w:eastAsia="黑体" w:cs="SimHei"/>
          <w:sz w:val="24"/>
          <w:szCs w:val="24"/>
        </w:rPr>
        <w:t>年公司总体预算执行情况，主要预算差异及其原因；</w:t>
      </w:r>
    </w:p>
    <w:p>
      <w:pPr>
        <w:pStyle w:val="Normal"/>
        <w:numPr>
          <w:ilvl w:val="1"/>
          <w:numId w:val="6"/>
        </w:numPr>
        <w:spacing w:lineRule="auto" w:line="360"/>
        <w:rPr/>
      </w:pPr>
      <w:r>
        <w:rPr>
          <w:rFonts w:ascii="SimHei" w:hAnsi="SimHei" w:eastAsia="黑体" w:cs="SimHei"/>
          <w:sz w:val="24"/>
          <w:szCs w:val="24"/>
        </w:rPr>
        <w:t>逐一对各部门上月</w:t>
      </w:r>
      <w:r>
        <w:rPr>
          <w:rFonts w:ascii="SimHei" w:hAnsi="SimHei" w:eastAsia="黑体" w:cs="SimHei"/>
          <w:sz w:val="24"/>
          <w:szCs w:val="24"/>
        </w:rPr>
        <w:t>/</w:t>
      </w:r>
      <w:r>
        <w:rPr>
          <w:rFonts w:ascii="SimHei" w:hAnsi="SimHei" w:eastAsia="黑体" w:cs="SimHei"/>
          <w:sz w:val="24"/>
          <w:szCs w:val="24"/>
        </w:rPr>
        <w:t>季</w:t>
      </w:r>
      <w:r>
        <w:rPr>
          <w:rFonts w:ascii="SimHei" w:hAnsi="SimHei" w:eastAsia="黑体" w:cs="SimHei"/>
          <w:sz w:val="24"/>
          <w:szCs w:val="24"/>
        </w:rPr>
        <w:t>/</w:t>
      </w:r>
      <w:r>
        <w:rPr>
          <w:rFonts w:ascii="SimHei" w:hAnsi="SimHei" w:eastAsia="黑体" w:cs="SimHei"/>
          <w:sz w:val="24"/>
          <w:szCs w:val="24"/>
        </w:rPr>
        <w:t>年预算完成情况进行分析、评价、考核，揭示存在的问题，明确改进目标；</w:t>
      </w:r>
    </w:p>
    <w:p>
      <w:pPr>
        <w:pStyle w:val="Normal"/>
        <w:numPr>
          <w:ilvl w:val="1"/>
          <w:numId w:val="6"/>
        </w:numPr>
        <w:spacing w:lineRule="auto" w:line="360"/>
        <w:rPr>
          <w:rFonts w:ascii="SimHei" w:hAnsi="SimHei" w:eastAsia="黑体" w:cs="SimHei"/>
          <w:sz w:val="24"/>
          <w:szCs w:val="24"/>
        </w:rPr>
      </w:pPr>
      <w:r>
        <w:rPr>
          <w:rFonts w:ascii="SimHei" w:hAnsi="SimHei" w:eastAsia="黑体" w:cs="SimHei"/>
          <w:sz w:val="24"/>
          <w:szCs w:val="24"/>
        </w:rPr>
        <w:t>讨论各部门草拟的改进措施，通过或令其修改；</w:t>
      </w:r>
    </w:p>
    <w:p>
      <w:pPr>
        <w:pStyle w:val="Normal"/>
        <w:numPr>
          <w:ilvl w:val="1"/>
          <w:numId w:val="6"/>
        </w:numPr>
        <w:spacing w:lineRule="auto" w:line="360"/>
        <w:rPr/>
      </w:pPr>
      <w:r>
        <w:rPr>
          <w:rFonts w:ascii="SimHei" w:hAnsi="SimHei" w:eastAsia="黑体" w:cs="SimHei"/>
          <w:sz w:val="24"/>
          <w:szCs w:val="24"/>
        </w:rPr>
        <w:t>总经理宣布闭会。</w:t>
      </w:r>
    </w:p>
    <w:p>
      <w:pPr>
        <w:pStyle w:val="Normal"/>
        <w:numPr>
          <w:ilvl w:val="0"/>
          <w:numId w:val="6"/>
        </w:numPr>
        <w:spacing w:lineRule="auto" w:line="360"/>
        <w:rPr>
          <w:rFonts w:ascii="SimHei" w:hAnsi="SimHei" w:eastAsia="黑体" w:cs="SimHei"/>
          <w:sz w:val="24"/>
          <w:szCs w:val="24"/>
        </w:rPr>
      </w:pPr>
      <w:r>
        <w:rPr>
          <w:rFonts w:ascii="SimHei" w:hAnsi="SimHei" w:eastAsia="黑体" w:cs="SimHei"/>
          <w:sz w:val="24"/>
          <w:szCs w:val="24"/>
        </w:rPr>
        <w:t>会后事项：</w:t>
      </w:r>
    </w:p>
    <w:p>
      <w:pPr>
        <w:pStyle w:val="Normal"/>
        <w:numPr>
          <w:ilvl w:val="1"/>
          <w:numId w:val="6"/>
        </w:numPr>
        <w:spacing w:lineRule="auto" w:line="360"/>
        <w:rPr>
          <w:rFonts w:ascii="SimHei" w:hAnsi="SimHei" w:eastAsia="黑体" w:cs="SimHei"/>
          <w:sz w:val="24"/>
          <w:szCs w:val="24"/>
        </w:rPr>
      </w:pPr>
      <w:r>
        <w:rPr>
          <w:rFonts w:ascii="SimHei" w:hAnsi="SimHei" w:eastAsia="黑体" w:cs="SimHei"/>
          <w:sz w:val="24"/>
          <w:szCs w:val="24"/>
        </w:rPr>
        <w:t>预算会议总结、下达会议决议、会议责成解决事项，落实责任部门；</w:t>
      </w:r>
    </w:p>
    <w:p>
      <w:pPr>
        <w:pStyle w:val="Normal"/>
        <w:numPr>
          <w:ilvl w:val="1"/>
          <w:numId w:val="6"/>
        </w:numPr>
        <w:spacing w:lineRule="auto" w:line="360"/>
        <w:rPr/>
      </w:pPr>
      <w:r>
        <w:rPr>
          <w:rFonts w:ascii="SimHei" w:hAnsi="SimHei" w:eastAsia="黑体" w:cs="SimHei"/>
          <w:sz w:val="24"/>
          <w:szCs w:val="24"/>
        </w:rPr>
        <w:t>财务部负责督促落实会议决议；</w:t>
      </w:r>
    </w:p>
    <w:p>
      <w:pPr>
        <w:pStyle w:val="Normal"/>
        <w:numPr>
          <w:ilvl w:val="1"/>
          <w:numId w:val="6"/>
        </w:numPr>
        <w:spacing w:lineRule="auto" w:line="360"/>
        <w:rPr/>
      </w:pPr>
      <w:r>
        <w:rPr>
          <w:rFonts w:ascii="SimHei" w:hAnsi="SimHei" w:eastAsia="黑体" w:cs="SimHei"/>
          <w:sz w:val="24"/>
          <w:szCs w:val="24"/>
        </w:rPr>
        <w:t>财务部跟踪以上事项的完成情况，及时与有关部门沟通并向总经理汇报；</w:t>
      </w:r>
    </w:p>
    <w:p>
      <w:pPr>
        <w:pStyle w:val="Normal"/>
        <w:numPr>
          <w:ilvl w:val="1"/>
          <w:numId w:val="6"/>
        </w:numPr>
        <w:spacing w:lineRule="auto" w:line="360"/>
        <w:rPr/>
      </w:pPr>
      <w:r>
        <w:rPr>
          <w:rFonts w:ascii="SimHei" w:hAnsi="SimHei" w:eastAsia="黑体" w:cs="SimHei"/>
          <w:sz w:val="24"/>
          <w:szCs w:val="24"/>
        </w:rPr>
        <w:t>人力资源部统计、记录考核结果。</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预算差异分析</w:t>
      </w:r>
    </w:p>
    <w:p>
      <w:pPr>
        <w:pStyle w:val="Normal"/>
        <w:numPr>
          <w:ilvl w:val="0"/>
          <w:numId w:val="20"/>
        </w:numPr>
        <w:spacing w:lineRule="auto" w:line="360"/>
        <w:rPr>
          <w:rFonts w:ascii="SimHei" w:hAnsi="SimHei" w:eastAsia="黑体" w:cs="SimHei"/>
          <w:sz w:val="24"/>
          <w:szCs w:val="24"/>
        </w:rPr>
      </w:pPr>
      <w:r>
        <w:rPr>
          <w:rFonts w:ascii="SimHei" w:hAnsi="SimHei" w:eastAsia="黑体" w:cs="SimHei"/>
          <w:sz w:val="24"/>
          <w:szCs w:val="24"/>
        </w:rPr>
        <w:t>预算差异分析</w:t>
      </w:r>
    </w:p>
    <w:p>
      <w:pPr>
        <w:pStyle w:val="Normal"/>
        <w:spacing w:lineRule="auto" w:line="360"/>
        <w:ind w:firstLine="480"/>
        <w:rPr/>
      </w:pPr>
      <w:r>
        <w:rPr>
          <w:rFonts w:ascii="SimHei" w:hAnsi="SimHei" w:eastAsia="黑体" w:cs="SimHei"/>
          <w:sz w:val="24"/>
          <w:szCs w:val="24"/>
        </w:rPr>
        <w:t>在预算执行过程中，财务部及各责任中心都要对差异进行分析，发现问题，找出原因，并提出改进措施，对整个经营活动加强控制。</w:t>
      </w:r>
    </w:p>
    <w:p>
      <w:pPr>
        <w:pStyle w:val="Normal"/>
        <w:numPr>
          <w:ilvl w:val="0"/>
          <w:numId w:val="20"/>
        </w:numPr>
        <w:spacing w:lineRule="auto" w:line="360"/>
        <w:rPr>
          <w:rFonts w:ascii="SimHei" w:hAnsi="SimHei" w:eastAsia="黑体" w:cs="SimHei"/>
          <w:sz w:val="24"/>
          <w:szCs w:val="24"/>
        </w:rPr>
      </w:pPr>
      <w:r>
        <w:rPr>
          <w:rFonts w:ascii="SimHei" w:hAnsi="SimHei" w:eastAsia="黑体" w:cs="SimHei"/>
          <w:sz w:val="24"/>
          <w:szCs w:val="24"/>
        </w:rPr>
        <w:t>负责分析差异的责任部门</w:t>
      </w:r>
    </w:p>
    <w:p>
      <w:pPr>
        <w:pStyle w:val="Normal"/>
        <w:numPr>
          <w:ilvl w:val="0"/>
          <w:numId w:val="12"/>
        </w:numPr>
        <w:spacing w:lineRule="auto" w:line="360"/>
        <w:rPr>
          <w:rFonts w:ascii="SimHei" w:hAnsi="SimHei" w:eastAsia="黑体" w:cs="SimHei"/>
          <w:sz w:val="24"/>
          <w:szCs w:val="24"/>
        </w:rPr>
      </w:pPr>
      <w:r>
        <w:rPr>
          <w:rFonts w:ascii="SimHei" w:hAnsi="SimHei" w:eastAsia="黑体" w:cs="SimHei"/>
          <w:sz w:val="24"/>
          <w:szCs w:val="24"/>
        </w:rPr>
        <w:t>预算会议</w:t>
      </w:r>
    </w:p>
    <w:p>
      <w:pPr>
        <w:pStyle w:val="Normal"/>
        <w:numPr>
          <w:ilvl w:val="1"/>
          <w:numId w:val="12"/>
        </w:numPr>
        <w:spacing w:lineRule="auto" w:line="360"/>
        <w:rPr/>
      </w:pPr>
      <w:r>
        <w:rPr>
          <w:rFonts w:ascii="SimHei" w:hAnsi="SimHei" w:eastAsia="黑体" w:cs="SimHei"/>
          <w:sz w:val="24"/>
          <w:szCs w:val="24"/>
        </w:rPr>
        <w:t>审批财务部提交的重大差异分析报告；</w:t>
      </w:r>
    </w:p>
    <w:p>
      <w:pPr>
        <w:pStyle w:val="Normal"/>
        <w:numPr>
          <w:ilvl w:val="1"/>
          <w:numId w:val="12"/>
        </w:numPr>
        <w:spacing w:lineRule="auto" w:line="360"/>
        <w:rPr/>
      </w:pPr>
      <w:r>
        <w:rPr>
          <w:rFonts w:ascii="SimHei" w:hAnsi="SimHei" w:eastAsia="黑体" w:cs="SimHei"/>
          <w:sz w:val="24"/>
          <w:szCs w:val="24"/>
        </w:rPr>
        <w:t>确定导致差异的原因，并提出处理意见。</w:t>
      </w:r>
    </w:p>
    <w:p>
      <w:pPr>
        <w:pStyle w:val="Normal"/>
        <w:numPr>
          <w:ilvl w:val="0"/>
          <w:numId w:val="12"/>
        </w:numPr>
        <w:spacing w:lineRule="auto" w:line="360"/>
        <w:rPr>
          <w:rFonts w:ascii="SimHei" w:hAnsi="SimHei" w:eastAsia="黑体" w:cs="SimHei"/>
          <w:sz w:val="24"/>
          <w:szCs w:val="24"/>
        </w:rPr>
      </w:pPr>
      <w:r>
        <w:rPr>
          <w:rFonts w:ascii="SimHei" w:hAnsi="SimHei" w:eastAsia="黑体" w:cs="SimHei"/>
          <w:sz w:val="24"/>
          <w:szCs w:val="24"/>
        </w:rPr>
        <w:t>财务部</w:t>
      </w:r>
    </w:p>
    <w:p>
      <w:pPr>
        <w:pStyle w:val="Normal"/>
        <w:numPr>
          <w:ilvl w:val="1"/>
          <w:numId w:val="12"/>
        </w:numPr>
        <w:spacing w:lineRule="auto" w:line="360"/>
        <w:rPr>
          <w:rFonts w:ascii="SimHei" w:hAnsi="SimHei" w:eastAsia="黑体" w:cs="SimHei"/>
          <w:sz w:val="24"/>
          <w:szCs w:val="24"/>
        </w:rPr>
      </w:pPr>
      <w:r>
        <w:rPr>
          <w:rFonts w:ascii="SimHei" w:hAnsi="SimHei" w:eastAsia="黑体" w:cs="SimHei"/>
          <w:sz w:val="24"/>
          <w:szCs w:val="24"/>
        </w:rPr>
        <w:t>分析预算执行情况，汇总各单位提供的差异分析报告，并加以综合分析，出具公司总的预算差异分析报告，并上报预算会议；</w:t>
      </w:r>
    </w:p>
    <w:p>
      <w:pPr>
        <w:pStyle w:val="Normal"/>
        <w:numPr>
          <w:ilvl w:val="1"/>
          <w:numId w:val="12"/>
        </w:numPr>
        <w:spacing w:lineRule="auto" w:line="360"/>
        <w:rPr>
          <w:rFonts w:ascii="SimHei" w:hAnsi="SimHei" w:eastAsia="黑体" w:cs="SimHei"/>
          <w:sz w:val="24"/>
          <w:szCs w:val="24"/>
        </w:rPr>
      </w:pPr>
      <w:r>
        <w:rPr>
          <w:rFonts w:ascii="SimHei" w:hAnsi="SimHei" w:eastAsia="黑体" w:cs="SimHei"/>
          <w:sz w:val="24"/>
          <w:szCs w:val="24"/>
        </w:rPr>
        <w:t>确认导致差异的原因；</w:t>
      </w:r>
    </w:p>
    <w:p>
      <w:pPr>
        <w:pStyle w:val="Normal"/>
        <w:numPr>
          <w:ilvl w:val="1"/>
          <w:numId w:val="12"/>
        </w:numPr>
        <w:spacing w:lineRule="auto" w:line="360"/>
        <w:rPr>
          <w:rFonts w:ascii="SimHei" w:hAnsi="SimHei" w:eastAsia="黑体" w:cs="SimHei"/>
          <w:sz w:val="24"/>
          <w:szCs w:val="24"/>
        </w:rPr>
      </w:pPr>
      <w:r>
        <w:rPr>
          <w:rFonts w:ascii="SimHei" w:hAnsi="SimHei" w:eastAsia="黑体" w:cs="SimHei"/>
          <w:sz w:val="24"/>
          <w:szCs w:val="24"/>
        </w:rPr>
        <w:t>确认应对差异负责的责任部门，提出处理意见，并上报预算会议；</w:t>
      </w:r>
    </w:p>
    <w:p>
      <w:pPr>
        <w:pStyle w:val="Normal"/>
        <w:numPr>
          <w:ilvl w:val="1"/>
          <w:numId w:val="12"/>
        </w:numPr>
        <w:spacing w:lineRule="auto" w:line="360"/>
        <w:rPr>
          <w:rFonts w:ascii="SimHei" w:hAnsi="SimHei" w:eastAsia="黑体" w:cs="SimHei"/>
          <w:sz w:val="24"/>
          <w:szCs w:val="24"/>
        </w:rPr>
      </w:pPr>
      <w:r>
        <w:rPr>
          <w:rFonts w:ascii="SimHei" w:hAnsi="SimHei" w:eastAsia="黑体" w:cs="SimHei"/>
          <w:sz w:val="24"/>
          <w:szCs w:val="24"/>
        </w:rPr>
        <w:t>向有关责任部门提供差异用的数据，协调差异分析工作。</w:t>
      </w:r>
    </w:p>
    <w:p>
      <w:pPr>
        <w:pStyle w:val="Normal"/>
        <w:numPr>
          <w:ilvl w:val="0"/>
          <w:numId w:val="12"/>
        </w:numPr>
        <w:spacing w:lineRule="auto" w:line="360"/>
        <w:rPr>
          <w:rFonts w:ascii="SimHei" w:hAnsi="SimHei" w:eastAsia="黑体" w:cs="SimHei"/>
          <w:sz w:val="24"/>
          <w:szCs w:val="24"/>
        </w:rPr>
      </w:pPr>
      <w:r>
        <w:rPr>
          <w:rFonts w:ascii="SimHei" w:hAnsi="SimHei" w:eastAsia="黑体" w:cs="SimHei"/>
          <w:sz w:val="24"/>
          <w:szCs w:val="24"/>
        </w:rPr>
        <w:t>各责任中心</w:t>
      </w:r>
    </w:p>
    <w:p>
      <w:pPr>
        <w:pStyle w:val="Normal"/>
        <w:numPr>
          <w:ilvl w:val="1"/>
          <w:numId w:val="12"/>
        </w:numPr>
        <w:spacing w:lineRule="auto" w:line="360"/>
        <w:rPr>
          <w:rFonts w:ascii="SimHei" w:hAnsi="SimHei" w:eastAsia="黑体" w:cs="SimHei"/>
          <w:sz w:val="24"/>
          <w:szCs w:val="24"/>
        </w:rPr>
      </w:pPr>
      <w:r>
        <w:rPr>
          <w:rFonts w:ascii="SimHei" w:hAnsi="SimHei" w:eastAsia="黑体" w:cs="SimHei"/>
          <w:sz w:val="24"/>
          <w:szCs w:val="24"/>
        </w:rPr>
        <w:t>记录本单位预算执行情况，找出问题，分析本单位差异产生的原因，提出改进建议；</w:t>
      </w:r>
    </w:p>
    <w:p>
      <w:pPr>
        <w:pStyle w:val="Normal"/>
        <w:numPr>
          <w:ilvl w:val="1"/>
          <w:numId w:val="12"/>
        </w:numPr>
        <w:spacing w:lineRule="auto" w:line="360"/>
        <w:rPr/>
      </w:pPr>
      <w:r>
        <w:rPr>
          <w:rFonts w:ascii="SimHei" w:hAnsi="SimHei" w:eastAsia="黑体" w:cs="SimHei"/>
          <w:sz w:val="24"/>
          <w:szCs w:val="24"/>
        </w:rPr>
        <w:t>出具预算差异分析报告，上报公司财务部；</w:t>
      </w:r>
    </w:p>
    <w:p>
      <w:pPr>
        <w:pStyle w:val="Normal"/>
        <w:numPr>
          <w:ilvl w:val="1"/>
          <w:numId w:val="12"/>
        </w:numPr>
        <w:spacing w:lineRule="auto" w:line="360"/>
        <w:rPr>
          <w:rFonts w:ascii="SimHei" w:hAnsi="SimHei" w:eastAsia="黑体" w:cs="SimHei"/>
          <w:sz w:val="24"/>
          <w:szCs w:val="24"/>
        </w:rPr>
      </w:pPr>
      <w:r>
        <w:rPr>
          <w:rFonts w:ascii="SimHei" w:hAnsi="SimHei" w:eastAsia="黑体" w:cs="SimHei"/>
          <w:sz w:val="24"/>
          <w:szCs w:val="24"/>
        </w:rPr>
        <w:t>落实由本单位负责的改进措施。</w:t>
      </w:r>
    </w:p>
    <w:p>
      <w:pPr>
        <w:pStyle w:val="Normal"/>
        <w:numPr>
          <w:ilvl w:val="0"/>
          <w:numId w:val="20"/>
        </w:numPr>
        <w:spacing w:lineRule="auto" w:line="360"/>
        <w:rPr>
          <w:rFonts w:ascii="SimHei" w:hAnsi="SimHei" w:eastAsia="黑体" w:cs="SimHei"/>
          <w:sz w:val="24"/>
          <w:szCs w:val="24"/>
        </w:rPr>
      </w:pPr>
      <w:r>
        <w:rPr>
          <w:rFonts w:ascii="SimHei" w:hAnsi="SimHei" w:eastAsia="黑体" w:cs="SimHei"/>
          <w:sz w:val="24"/>
          <w:szCs w:val="24"/>
        </w:rPr>
        <w:t>预算差异分析程序</w:t>
      </w:r>
    </w:p>
    <w:p>
      <w:pPr>
        <w:pStyle w:val="Normal"/>
        <w:numPr>
          <w:ilvl w:val="0"/>
          <w:numId w:val="39"/>
        </w:numPr>
        <w:spacing w:lineRule="auto" w:line="360"/>
        <w:rPr/>
      </w:pPr>
      <w:r>
        <w:rPr>
          <w:rFonts w:ascii="SimHei" w:hAnsi="SimHei" w:eastAsia="黑体" w:cs="SimHei"/>
          <w:sz w:val="24"/>
          <w:szCs w:val="24"/>
        </w:rPr>
        <w:t>预算执行过程中，各责任中心要及时检查、追踪预算的执行情况，形成预算分析报告，于每月</w:t>
      </w:r>
      <w:r>
        <w:rPr>
          <w:rFonts w:ascii="SimHei" w:hAnsi="SimHei" w:eastAsia="黑体" w:cs="SimHei"/>
          <w:sz w:val="24"/>
          <w:szCs w:val="24"/>
        </w:rPr>
        <w:t>----</w:t>
      </w:r>
      <w:r>
        <w:rPr>
          <w:rFonts w:ascii="SimHei" w:hAnsi="SimHei" w:eastAsia="黑体" w:cs="SimHei"/>
          <w:sz w:val="24"/>
          <w:szCs w:val="24"/>
        </w:rPr>
        <w:t>日前将上月预算分析报告交财务部；</w:t>
      </w:r>
    </w:p>
    <w:p>
      <w:pPr>
        <w:pStyle w:val="Normal"/>
        <w:numPr>
          <w:ilvl w:val="0"/>
          <w:numId w:val="39"/>
        </w:numPr>
        <w:spacing w:lineRule="auto" w:line="360"/>
        <w:rPr/>
      </w:pPr>
      <w:r>
        <w:rPr>
          <w:rFonts w:ascii="SimHei" w:hAnsi="SimHei" w:eastAsia="黑体" w:cs="SimHei"/>
          <w:sz w:val="24"/>
          <w:szCs w:val="24"/>
        </w:rPr>
        <w:t>财务部根据自己的记录与各单位的预算分析报告进行核对，纠正偏差，分析差异产生的原因，落实责任部门，不利差异的改进措施以及有利差异今后进行巩固、推广的措施建议，并提出处理建议，于每月</w:t>
      </w:r>
      <w:r>
        <w:rPr>
          <w:rFonts w:ascii="SimHei" w:hAnsi="SimHei" w:eastAsia="黑体" w:cs="SimHei"/>
          <w:sz w:val="24"/>
          <w:szCs w:val="24"/>
        </w:rPr>
        <w:t>----</w:t>
      </w:r>
      <w:r>
        <w:rPr>
          <w:rFonts w:ascii="SimHei" w:hAnsi="SimHei" w:eastAsia="黑体" w:cs="SimHei"/>
          <w:sz w:val="24"/>
          <w:szCs w:val="24"/>
        </w:rPr>
        <w:t>日前，形成每月总的预算分析报告，出具初步预算考核意见；</w:t>
      </w:r>
    </w:p>
    <w:p>
      <w:pPr>
        <w:pStyle w:val="Normal"/>
        <w:numPr>
          <w:ilvl w:val="0"/>
          <w:numId w:val="39"/>
        </w:numPr>
        <w:spacing w:lineRule="auto" w:line="360"/>
        <w:rPr>
          <w:rFonts w:ascii="SimHei" w:hAnsi="SimHei" w:eastAsia="黑体" w:cs="SimHei"/>
          <w:sz w:val="24"/>
          <w:szCs w:val="24"/>
        </w:rPr>
      </w:pPr>
      <w:r>
        <w:rPr>
          <w:rFonts w:ascii="SimHei" w:hAnsi="SimHei" w:eastAsia="黑体" w:cs="SimHei"/>
          <w:sz w:val="24"/>
          <w:szCs w:val="24"/>
        </w:rPr>
        <w:t>每月</w:t>
      </w:r>
      <w:r>
        <w:rPr>
          <w:rFonts w:ascii="SimHei" w:hAnsi="SimHei" w:eastAsia="黑体" w:cs="SimHei"/>
          <w:sz w:val="24"/>
          <w:szCs w:val="24"/>
        </w:rPr>
        <w:t>----</w:t>
      </w:r>
      <w:r>
        <w:rPr>
          <w:rFonts w:ascii="SimHei" w:hAnsi="SimHei" w:eastAsia="黑体" w:cs="SimHei"/>
          <w:sz w:val="24"/>
          <w:szCs w:val="24"/>
        </w:rPr>
        <w:t>日前，开预算月度例会，对前一月各部门的预算目标完成情况进行分析、评价、考核，形成正式的公司预算分析报告、预算考核意见，交预算会议审批，为预算的执行进行动态控制提供依据；</w:t>
      </w:r>
    </w:p>
    <w:p>
      <w:pPr>
        <w:pStyle w:val="Normal"/>
        <w:numPr>
          <w:ilvl w:val="0"/>
          <w:numId w:val="39"/>
        </w:numPr>
        <w:spacing w:lineRule="auto" w:line="360"/>
        <w:rPr/>
      </w:pPr>
      <w:r>
        <w:rPr>
          <w:rFonts w:ascii="SimHei" w:hAnsi="SimHei" w:eastAsia="黑体" w:cs="SimHei"/>
          <w:sz w:val="24"/>
          <w:szCs w:val="24"/>
        </w:rPr>
        <w:t>每月</w:t>
      </w:r>
      <w:r>
        <w:rPr>
          <w:rFonts w:ascii="SimHei" w:hAnsi="SimHei" w:eastAsia="黑体" w:cs="SimHei"/>
          <w:sz w:val="24"/>
          <w:szCs w:val="24"/>
        </w:rPr>
        <w:t>----</w:t>
      </w:r>
      <w:r>
        <w:rPr>
          <w:rFonts w:ascii="SimHei" w:hAnsi="SimHei" w:eastAsia="黑体" w:cs="SimHei"/>
          <w:sz w:val="24"/>
          <w:szCs w:val="24"/>
        </w:rPr>
        <w:t>日前，财务部根据审批后的公司预算分析报告，由财务总监召集，组织相关责任部门落实各项不利差异的改进措施，以及有利差异今后进行巩固、推广的措施，将每月预算考核意见提交人力资源部，由人力资源部根据公司相关制度规定，对相关责任部门、责任人进行考核。</w:t>
      </w:r>
    </w:p>
    <w:p>
      <w:pPr>
        <w:pStyle w:val="Normal"/>
        <w:numPr>
          <w:ilvl w:val="0"/>
          <w:numId w:val="20"/>
        </w:numPr>
        <w:spacing w:lineRule="auto" w:line="360"/>
        <w:rPr>
          <w:rFonts w:ascii="SimHei" w:hAnsi="SimHei" w:eastAsia="黑体" w:cs="SimHei"/>
          <w:sz w:val="24"/>
          <w:szCs w:val="24"/>
        </w:rPr>
      </w:pPr>
      <w:r>
        <w:rPr>
          <w:rFonts w:ascii="SimHei" w:hAnsi="SimHei" w:eastAsia="黑体" w:cs="SimHei"/>
          <w:sz w:val="24"/>
          <w:szCs w:val="24"/>
        </w:rPr>
        <w:t>预算差异分析内容</w:t>
      </w:r>
    </w:p>
    <w:p>
      <w:pPr>
        <w:pStyle w:val="Normal"/>
        <w:numPr>
          <w:ilvl w:val="0"/>
          <w:numId w:val="5"/>
        </w:numPr>
        <w:spacing w:lineRule="auto" w:line="360"/>
        <w:rPr>
          <w:rFonts w:ascii="SimHei" w:hAnsi="SimHei" w:eastAsia="黑体" w:cs="SimHei"/>
          <w:sz w:val="24"/>
          <w:szCs w:val="24"/>
        </w:rPr>
      </w:pPr>
      <w:r>
        <w:rPr>
          <w:rFonts w:ascii="SimHei" w:hAnsi="SimHei" w:eastAsia="黑体" w:cs="SimHei"/>
          <w:sz w:val="24"/>
          <w:szCs w:val="24"/>
        </w:rPr>
        <w:t>各责任中心预算差异分析内容</w:t>
      </w:r>
    </w:p>
    <w:p>
      <w:pPr>
        <w:pStyle w:val="Normal"/>
        <w:numPr>
          <w:ilvl w:val="1"/>
          <w:numId w:val="5"/>
        </w:numPr>
        <w:spacing w:lineRule="auto" w:line="360"/>
        <w:rPr>
          <w:rFonts w:ascii="SimHei" w:hAnsi="SimHei" w:eastAsia="黑体" w:cs="SimHei"/>
          <w:sz w:val="24"/>
          <w:szCs w:val="24"/>
        </w:rPr>
      </w:pPr>
      <w:r>
        <w:rPr>
          <w:rFonts w:ascii="SimHei" w:hAnsi="SimHei" w:eastAsia="黑体" w:cs="SimHei"/>
          <w:sz w:val="24"/>
          <w:szCs w:val="24"/>
        </w:rPr>
        <w:t>将预算的执行进度与结果的计量数据与预算指标加以比较，找出本责任部门存在的差异，列示产生差异的项目本期预算额、本期实际发生额、本期差异额、累计预算额、累计实际发生额、累计差异额；</w:t>
      </w:r>
    </w:p>
    <w:p>
      <w:pPr>
        <w:pStyle w:val="Normal"/>
        <w:numPr>
          <w:ilvl w:val="1"/>
          <w:numId w:val="5"/>
        </w:numPr>
        <w:spacing w:lineRule="auto" w:line="360"/>
        <w:rPr/>
      </w:pPr>
      <w:r>
        <w:rPr>
          <w:rFonts w:ascii="SimHei" w:hAnsi="SimHei" w:eastAsia="黑体" w:cs="SimHei"/>
          <w:sz w:val="24"/>
          <w:szCs w:val="24"/>
        </w:rPr>
        <w:t>对差异额进行分析：产生不利差异的原因、责任归属、改进措施以及形成有利差异的原因今后进行巩固、推广的建议。</w:t>
      </w:r>
    </w:p>
    <w:p>
      <w:pPr>
        <w:pStyle w:val="Normal"/>
        <w:numPr>
          <w:ilvl w:val="0"/>
          <w:numId w:val="5"/>
        </w:numPr>
        <w:spacing w:lineRule="auto" w:line="360"/>
        <w:rPr/>
      </w:pPr>
      <w:r>
        <w:rPr>
          <w:rFonts w:ascii="SimHei" w:hAnsi="SimHei" w:eastAsia="黑体" w:cs="SimHei"/>
          <w:sz w:val="24"/>
          <w:szCs w:val="24"/>
        </w:rPr>
        <w:t>财务部预算差异分析内容</w:t>
      </w:r>
    </w:p>
    <w:p>
      <w:pPr>
        <w:pStyle w:val="Normal"/>
        <w:numPr>
          <w:ilvl w:val="1"/>
          <w:numId w:val="5"/>
        </w:numPr>
        <w:spacing w:lineRule="auto" w:line="360"/>
        <w:rPr>
          <w:rFonts w:ascii="SimHei" w:hAnsi="SimHei" w:eastAsia="黑体" w:cs="SimHei"/>
          <w:sz w:val="24"/>
          <w:szCs w:val="24"/>
        </w:rPr>
      </w:pPr>
      <w:r>
        <w:rPr>
          <w:rFonts w:ascii="SimHei" w:hAnsi="SimHei" w:eastAsia="黑体" w:cs="SimHei"/>
          <w:sz w:val="24"/>
          <w:szCs w:val="24"/>
        </w:rPr>
        <w:t>分析汇总各责任中心预算分析报告，找出公司存在的差异，列示产生差异的项目本期预算额、本期实际发生额、本期差异额、差异率、累计预算额、累计实际发生额、累计差异额、累计差异率；</w:t>
      </w:r>
    </w:p>
    <w:p>
      <w:pPr>
        <w:pStyle w:val="Normal"/>
        <w:numPr>
          <w:ilvl w:val="1"/>
          <w:numId w:val="5"/>
        </w:numPr>
        <w:spacing w:lineRule="auto" w:line="360"/>
        <w:rPr/>
      </w:pPr>
      <w:r>
        <w:rPr>
          <w:rFonts w:ascii="SimHei" w:hAnsi="SimHei" w:eastAsia="黑体" w:cs="SimHei"/>
          <w:sz w:val="24"/>
          <w:szCs w:val="24"/>
        </w:rPr>
        <w:t>由财务总监召集，在各责任中心的配合下，对差异进行全面、详细、深入的分析，以确定造成差异的原因。造成不利差异的原因有很多种，例如：</w:t>
      </w:r>
    </w:p>
    <w:p>
      <w:pPr>
        <w:pStyle w:val="Normal"/>
        <w:numPr>
          <w:ilvl w:val="2"/>
          <w:numId w:val="5"/>
        </w:numPr>
        <w:spacing w:lineRule="auto" w:line="360"/>
        <w:rPr>
          <w:rFonts w:ascii="SimHei" w:hAnsi="SimHei" w:eastAsia="黑体" w:cs="SimHei"/>
          <w:sz w:val="24"/>
          <w:szCs w:val="24"/>
        </w:rPr>
      </w:pPr>
      <w:r>
        <w:rPr>
          <w:rFonts w:ascii="SimHei" w:hAnsi="SimHei" w:eastAsia="黑体" w:cs="SimHei"/>
          <w:sz w:val="24"/>
          <w:szCs w:val="24"/>
        </w:rPr>
        <w:t>现行的有关管理制度，业务流程规定或操作规定不合理或过于复杂难以使用；</w:t>
      </w:r>
    </w:p>
    <w:p>
      <w:pPr>
        <w:pStyle w:val="Normal"/>
        <w:numPr>
          <w:ilvl w:val="2"/>
          <w:numId w:val="5"/>
        </w:numPr>
        <w:spacing w:lineRule="auto" w:line="360"/>
        <w:rPr>
          <w:rFonts w:ascii="SimHei" w:hAnsi="SimHei" w:eastAsia="黑体" w:cs="SimHei"/>
          <w:sz w:val="24"/>
          <w:szCs w:val="24"/>
        </w:rPr>
      </w:pPr>
      <w:r>
        <w:rPr>
          <w:rFonts w:ascii="SimHei" w:hAnsi="SimHei" w:eastAsia="黑体" w:cs="SimHei"/>
          <w:sz w:val="24"/>
          <w:szCs w:val="24"/>
        </w:rPr>
        <w:t>管理人员和员工的工作没有遵守有关的规定；</w:t>
      </w:r>
    </w:p>
    <w:p>
      <w:pPr>
        <w:pStyle w:val="Normal"/>
        <w:numPr>
          <w:ilvl w:val="2"/>
          <w:numId w:val="5"/>
        </w:numPr>
        <w:spacing w:lineRule="auto" w:line="360"/>
        <w:rPr/>
      </w:pPr>
      <w:r>
        <w:rPr>
          <w:rFonts w:ascii="SimHei" w:hAnsi="SimHei" w:eastAsia="黑体" w:cs="SimHei"/>
          <w:sz w:val="24"/>
          <w:szCs w:val="24"/>
        </w:rPr>
        <w:t>公司外部环境因素导致（预算编制时考虑不全面，预算编制时所假设环境因素发生了重大的变化）；</w:t>
      </w:r>
    </w:p>
    <w:p>
      <w:pPr>
        <w:pStyle w:val="Normal"/>
        <w:numPr>
          <w:ilvl w:val="1"/>
          <w:numId w:val="5"/>
        </w:numPr>
        <w:spacing w:lineRule="auto" w:line="360"/>
        <w:rPr>
          <w:rFonts w:ascii="SimHei" w:hAnsi="SimHei" w:eastAsia="黑体" w:cs="SimHei"/>
          <w:sz w:val="24"/>
          <w:szCs w:val="24"/>
        </w:rPr>
      </w:pPr>
      <w:r>
        <w:rPr>
          <w:rFonts w:ascii="SimHei" w:hAnsi="SimHei" w:eastAsia="黑体" w:cs="SimHei"/>
          <w:sz w:val="24"/>
          <w:szCs w:val="24"/>
        </w:rPr>
        <w:t>确定不利差异的责任归属、改进措施，以及形成有利差异的原因，今后进行巩固、推广的建议；</w:t>
      </w:r>
    </w:p>
    <w:p>
      <w:pPr>
        <w:pStyle w:val="Normal"/>
        <w:numPr>
          <w:ilvl w:val="1"/>
          <w:numId w:val="5"/>
        </w:numPr>
        <w:spacing w:lineRule="auto" w:line="360"/>
        <w:rPr>
          <w:rFonts w:ascii="SimHei" w:hAnsi="SimHei" w:eastAsia="黑体" w:cs="SimHei"/>
          <w:sz w:val="24"/>
          <w:szCs w:val="24"/>
        </w:rPr>
      </w:pPr>
      <w:r>
        <w:rPr>
          <w:rFonts w:ascii="SimHei" w:hAnsi="SimHei" w:eastAsia="黑体" w:cs="SimHei"/>
          <w:sz w:val="24"/>
          <w:szCs w:val="24"/>
        </w:rPr>
        <w:t>提出对预算执行不利差异的相关责任部门的处理意见。</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预算的冲突与仲裁</w:t>
      </w:r>
    </w:p>
    <w:p>
      <w:pPr>
        <w:pStyle w:val="Normal"/>
        <w:numPr>
          <w:ilvl w:val="0"/>
          <w:numId w:val="7"/>
        </w:numPr>
        <w:spacing w:lineRule="auto" w:line="360"/>
        <w:rPr/>
      </w:pPr>
      <w:r>
        <w:rPr>
          <w:rFonts w:ascii="SimHei" w:hAnsi="SimHei" w:eastAsia="黑体" w:cs="SimHei"/>
          <w:sz w:val="24"/>
          <w:szCs w:val="24"/>
        </w:rPr>
        <w:t>当执行预算时，各责任中心间发生利益冲突，且各责任中心间协调无效时，应将有关事项报经财务部协调，协调无效时由其上报预算会议仲裁；</w:t>
      </w:r>
    </w:p>
    <w:p>
      <w:pPr>
        <w:pStyle w:val="Normal"/>
        <w:numPr>
          <w:ilvl w:val="0"/>
          <w:numId w:val="7"/>
        </w:numPr>
        <w:spacing w:lineRule="auto" w:line="360"/>
        <w:rPr/>
      </w:pPr>
      <w:r>
        <w:rPr>
          <w:rFonts w:ascii="SimHei" w:hAnsi="SimHei" w:eastAsia="黑体" w:cs="SimHei"/>
          <w:sz w:val="24"/>
          <w:szCs w:val="24"/>
        </w:rPr>
        <w:t>预算会议做出仲裁决议后，通过财务部下达“预算仲裁决议书”给相关单位；</w:t>
      </w:r>
    </w:p>
    <w:p>
      <w:pPr>
        <w:pStyle w:val="Normal"/>
        <w:numPr>
          <w:ilvl w:val="0"/>
          <w:numId w:val="7"/>
        </w:numPr>
        <w:spacing w:lineRule="auto" w:line="360"/>
        <w:rPr>
          <w:rFonts w:ascii="SimHei" w:hAnsi="SimHei" w:eastAsia="黑体" w:cs="SimHei"/>
          <w:sz w:val="24"/>
          <w:szCs w:val="24"/>
        </w:rPr>
      </w:pPr>
      <w:r>
        <w:rPr>
          <w:rFonts w:ascii="SimHei" w:hAnsi="SimHei" w:eastAsia="黑体" w:cs="SimHei"/>
          <w:sz w:val="24"/>
          <w:szCs w:val="24"/>
        </w:rPr>
        <w:t>仲裁决议一经形成，各单位须无条件执行。</w:t>
      </w:r>
    </w:p>
    <w:p>
      <w:pPr>
        <w:pStyle w:val="Heading1"/>
        <w:jc w:val="center"/>
        <w:rPr>
          <w:rFonts w:ascii="SimHei" w:hAnsi="SimHei" w:eastAsia="黑体" w:cs="SimHei"/>
          <w:bCs w:val="false"/>
          <w:sz w:val="30"/>
          <w:szCs w:val="30"/>
        </w:rPr>
      </w:pPr>
      <w:r>
        <w:rPr>
          <w:rFonts w:ascii="SimHei" w:hAnsi="SimHei" w:eastAsia="黑体" w:cs="SimHei"/>
          <w:bCs w:val="false"/>
          <w:sz w:val="30"/>
          <w:szCs w:val="30"/>
        </w:rPr>
        <w:t>第五章  预算的调整</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预算调整原则</w:t>
      </w:r>
    </w:p>
    <w:p>
      <w:pPr>
        <w:pStyle w:val="Normal"/>
        <w:numPr>
          <w:ilvl w:val="0"/>
          <w:numId w:val="25"/>
        </w:numPr>
        <w:spacing w:lineRule="auto" w:line="360"/>
        <w:rPr/>
      </w:pPr>
      <w:r>
        <w:rPr>
          <w:rFonts w:ascii="SimHei" w:hAnsi="SimHei" w:eastAsia="黑体" w:cs="SimHei"/>
          <w:sz w:val="24"/>
          <w:szCs w:val="24"/>
        </w:rPr>
        <w:t>公司预算的调整权属于公司总经理办公会预算会议；</w:t>
      </w:r>
    </w:p>
    <w:p>
      <w:pPr>
        <w:pStyle w:val="Normal"/>
        <w:numPr>
          <w:ilvl w:val="0"/>
          <w:numId w:val="25"/>
        </w:numPr>
        <w:spacing w:lineRule="auto" w:line="360"/>
        <w:rPr>
          <w:rFonts w:ascii="SimHei" w:hAnsi="SimHei" w:eastAsia="黑体" w:cs="SimHei"/>
          <w:sz w:val="24"/>
          <w:szCs w:val="24"/>
        </w:rPr>
      </w:pPr>
      <w:r>
        <w:rPr>
          <w:rFonts w:ascii="SimHei" w:hAnsi="SimHei" w:eastAsia="黑体" w:cs="SimHei"/>
          <w:sz w:val="24"/>
          <w:szCs w:val="24"/>
        </w:rPr>
        <w:t>预算调整因素：预算执行中发生下列情况之一时，可以调整预算：</w:t>
      </w:r>
    </w:p>
    <w:p>
      <w:pPr>
        <w:pStyle w:val="Normal"/>
        <w:numPr>
          <w:ilvl w:val="0"/>
          <w:numId w:val="24"/>
        </w:numPr>
        <w:spacing w:lineRule="auto" w:line="360"/>
        <w:rPr>
          <w:rFonts w:ascii="SimHei" w:hAnsi="SimHei" w:eastAsia="黑体" w:cs="SimHei"/>
          <w:sz w:val="24"/>
          <w:szCs w:val="24"/>
        </w:rPr>
      </w:pPr>
      <w:r>
        <w:rPr>
          <w:rFonts w:ascii="SimHei" w:hAnsi="SimHei" w:eastAsia="黑体" w:cs="SimHei"/>
          <w:sz w:val="24"/>
          <w:szCs w:val="24"/>
        </w:rPr>
        <w:t>调整公司发展战略，需重新制订公司经营计划；</w:t>
      </w:r>
    </w:p>
    <w:p>
      <w:pPr>
        <w:pStyle w:val="Normal"/>
        <w:numPr>
          <w:ilvl w:val="0"/>
          <w:numId w:val="24"/>
        </w:numPr>
        <w:spacing w:lineRule="auto" w:line="360"/>
        <w:rPr>
          <w:rFonts w:ascii="SimHei" w:hAnsi="SimHei" w:eastAsia="黑体" w:cs="SimHei"/>
          <w:sz w:val="24"/>
          <w:szCs w:val="24"/>
        </w:rPr>
      </w:pPr>
      <w:r>
        <w:rPr>
          <w:rFonts w:ascii="SimHei" w:hAnsi="SimHei" w:eastAsia="黑体" w:cs="SimHei"/>
          <w:sz w:val="24"/>
          <w:szCs w:val="24"/>
        </w:rPr>
        <w:t>市场形势发生重大变化，需要调整相应预算；</w:t>
      </w:r>
    </w:p>
    <w:p>
      <w:pPr>
        <w:pStyle w:val="Normal"/>
        <w:numPr>
          <w:ilvl w:val="0"/>
          <w:numId w:val="24"/>
        </w:numPr>
        <w:spacing w:lineRule="auto" w:line="360"/>
        <w:rPr>
          <w:rFonts w:ascii="SimHei" w:hAnsi="SimHei" w:eastAsia="黑体" w:cs="SimHei"/>
          <w:sz w:val="24"/>
          <w:szCs w:val="24"/>
        </w:rPr>
      </w:pPr>
      <w:r>
        <w:rPr>
          <w:rFonts w:ascii="SimHei" w:hAnsi="SimHei" w:eastAsia="黑体" w:cs="SimHei"/>
          <w:sz w:val="24"/>
          <w:szCs w:val="24"/>
        </w:rPr>
        <w:t>国家相关政策发生重大变化；</w:t>
      </w:r>
    </w:p>
    <w:p>
      <w:pPr>
        <w:pStyle w:val="Normal"/>
        <w:numPr>
          <w:ilvl w:val="0"/>
          <w:numId w:val="24"/>
        </w:numPr>
        <w:spacing w:lineRule="auto" w:line="360"/>
        <w:rPr>
          <w:rFonts w:ascii="SimHei" w:hAnsi="SimHei" w:eastAsia="黑体" w:cs="SimHei"/>
          <w:sz w:val="24"/>
          <w:szCs w:val="24"/>
        </w:rPr>
      </w:pPr>
      <w:r>
        <w:rPr>
          <w:rFonts w:ascii="SimHei" w:hAnsi="SimHei" w:eastAsia="黑体" w:cs="SimHei"/>
          <w:sz w:val="24"/>
          <w:szCs w:val="24"/>
        </w:rPr>
        <w:t>生产经营条件发生重大变化；</w:t>
      </w:r>
    </w:p>
    <w:p>
      <w:pPr>
        <w:pStyle w:val="Normal"/>
        <w:numPr>
          <w:ilvl w:val="0"/>
          <w:numId w:val="24"/>
        </w:numPr>
        <w:spacing w:lineRule="auto" w:line="360"/>
        <w:rPr>
          <w:rFonts w:ascii="SimHei" w:hAnsi="SimHei" w:eastAsia="黑体" w:cs="SimHei"/>
          <w:sz w:val="24"/>
          <w:szCs w:val="24"/>
        </w:rPr>
      </w:pPr>
      <w:r>
        <w:rPr>
          <w:rFonts w:ascii="SimHei" w:hAnsi="SimHei" w:eastAsia="黑体" w:cs="SimHei"/>
          <w:sz w:val="24"/>
          <w:szCs w:val="24"/>
        </w:rPr>
        <w:t>不可抗力的作用；</w:t>
      </w:r>
    </w:p>
    <w:p>
      <w:pPr>
        <w:pStyle w:val="Normal"/>
        <w:numPr>
          <w:ilvl w:val="0"/>
          <w:numId w:val="24"/>
        </w:numPr>
        <w:spacing w:lineRule="auto" w:line="360"/>
        <w:rPr>
          <w:rFonts w:ascii="SimHei" w:hAnsi="SimHei" w:eastAsia="黑体" w:cs="SimHei"/>
          <w:sz w:val="24"/>
          <w:szCs w:val="24"/>
        </w:rPr>
      </w:pPr>
      <w:r>
        <w:rPr>
          <w:rFonts w:ascii="SimHei" w:hAnsi="SimHei" w:eastAsia="黑体" w:cs="SimHei"/>
          <w:sz w:val="24"/>
          <w:szCs w:val="24"/>
        </w:rPr>
        <w:t>预算会议认为应该调整的其他事项。</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由上而下的预算调整</w:t>
      </w:r>
    </w:p>
    <w:p>
      <w:pPr>
        <w:pStyle w:val="Normal"/>
        <w:numPr>
          <w:ilvl w:val="0"/>
          <w:numId w:val="34"/>
        </w:numPr>
        <w:spacing w:lineRule="auto" w:line="360"/>
        <w:rPr/>
      </w:pPr>
      <w:r>
        <w:rPr>
          <w:rFonts w:ascii="SimHei" w:hAnsi="SimHei" w:eastAsia="黑体" w:cs="SimHei"/>
          <w:sz w:val="24"/>
          <w:szCs w:val="24"/>
        </w:rPr>
        <w:t>当某一项或几项因素向着有利方向变化，而且具备中长期的稳定趋势，总经理办公会可以在预算年度内进行公司经营目标的调整，并下达预算调整方案。预算调整方案中必须包括：</w:t>
      </w:r>
    </w:p>
    <w:p>
      <w:pPr>
        <w:pStyle w:val="Normal"/>
        <w:numPr>
          <w:ilvl w:val="0"/>
          <w:numId w:val="18"/>
        </w:numPr>
        <w:spacing w:lineRule="auto" w:line="360"/>
        <w:rPr>
          <w:rFonts w:ascii="SimHei" w:hAnsi="SimHei" w:eastAsia="黑体" w:cs="SimHei"/>
          <w:sz w:val="24"/>
          <w:szCs w:val="24"/>
        </w:rPr>
      </w:pPr>
      <w:r>
        <w:rPr>
          <w:rFonts w:ascii="SimHei" w:hAnsi="SimHei" w:eastAsia="黑体" w:cs="SimHei"/>
          <w:sz w:val="24"/>
          <w:szCs w:val="24"/>
        </w:rPr>
        <w:t>公司经营目标调整的原因；</w:t>
      </w:r>
    </w:p>
    <w:p>
      <w:pPr>
        <w:pStyle w:val="Normal"/>
        <w:numPr>
          <w:ilvl w:val="0"/>
          <w:numId w:val="18"/>
        </w:numPr>
        <w:spacing w:lineRule="auto" w:line="360"/>
        <w:rPr>
          <w:rFonts w:ascii="SimHei" w:hAnsi="SimHei" w:eastAsia="黑体" w:cs="SimHei"/>
          <w:sz w:val="24"/>
          <w:szCs w:val="24"/>
        </w:rPr>
      </w:pPr>
      <w:r>
        <w:rPr>
          <w:rFonts w:ascii="SimHei" w:hAnsi="SimHei" w:eastAsia="黑体" w:cs="SimHei"/>
          <w:sz w:val="24"/>
          <w:szCs w:val="24"/>
        </w:rPr>
        <w:t>调整后的预算</w:t>
      </w:r>
    </w:p>
    <w:p>
      <w:pPr>
        <w:pStyle w:val="Normal"/>
        <w:numPr>
          <w:ilvl w:val="0"/>
          <w:numId w:val="34"/>
        </w:numPr>
        <w:spacing w:lineRule="auto" w:line="360"/>
        <w:rPr/>
      </w:pPr>
      <w:r>
        <w:rPr>
          <w:rFonts w:ascii="SimHei" w:hAnsi="SimHei" w:eastAsia="黑体" w:cs="SimHei"/>
          <w:sz w:val="24"/>
          <w:szCs w:val="24"/>
        </w:rPr>
        <w:t>由上而下的预算调整的程序</w:t>
      </w:r>
    </w:p>
    <w:p>
      <w:pPr>
        <w:pStyle w:val="Normal"/>
        <w:numPr>
          <w:ilvl w:val="0"/>
          <w:numId w:val="2"/>
        </w:numPr>
        <w:spacing w:lineRule="auto" w:line="360"/>
        <w:rPr/>
      </w:pPr>
      <w:r>
        <w:rPr>
          <w:rFonts w:ascii="SimHei" w:hAnsi="SimHei" w:eastAsia="黑体" w:cs="SimHei"/>
          <w:sz w:val="24"/>
          <w:szCs w:val="24"/>
        </w:rPr>
        <w:t>总经理办公会提出公司经营目标的调整方案，经协商后达成最终预算调整方案，由预算会议下达给公司财务部；</w:t>
      </w:r>
    </w:p>
    <w:p>
      <w:pPr>
        <w:pStyle w:val="Normal"/>
        <w:numPr>
          <w:ilvl w:val="0"/>
          <w:numId w:val="2"/>
        </w:numPr>
        <w:spacing w:lineRule="auto" w:line="360"/>
        <w:rPr/>
      </w:pPr>
      <w:r>
        <w:rPr>
          <w:rFonts w:ascii="SimHei" w:hAnsi="SimHei" w:eastAsia="黑体" w:cs="SimHei"/>
          <w:sz w:val="24"/>
          <w:szCs w:val="24"/>
        </w:rPr>
        <w:t>财务部组织对公司年度及当期预算进行调整，将调整的预算，报预算会议审批；</w:t>
      </w:r>
    </w:p>
    <w:p>
      <w:pPr>
        <w:pStyle w:val="Normal"/>
        <w:numPr>
          <w:ilvl w:val="0"/>
          <w:numId w:val="2"/>
        </w:numPr>
        <w:spacing w:lineRule="auto" w:line="360"/>
        <w:rPr/>
      </w:pPr>
      <w:r>
        <w:rPr>
          <w:rFonts w:ascii="SimHei" w:hAnsi="SimHei" w:eastAsia="黑体" w:cs="SimHei"/>
          <w:sz w:val="24"/>
          <w:szCs w:val="24"/>
        </w:rPr>
        <w:t>预算会议对调整的预算批准后，由财务部下达各部门执行，同时存留预算调整方案。</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由下而上的预算调整</w:t>
      </w:r>
    </w:p>
    <w:p>
      <w:pPr>
        <w:pStyle w:val="Normal"/>
        <w:numPr>
          <w:ilvl w:val="0"/>
          <w:numId w:val="22"/>
        </w:numPr>
        <w:spacing w:lineRule="auto" w:line="360"/>
        <w:rPr>
          <w:rFonts w:ascii="SimHei" w:hAnsi="SimHei" w:eastAsia="黑体" w:cs="SimHei"/>
          <w:sz w:val="24"/>
          <w:szCs w:val="24"/>
        </w:rPr>
      </w:pPr>
      <w:r>
        <w:rPr>
          <w:rFonts w:ascii="SimHei" w:hAnsi="SimHei" w:eastAsia="黑体" w:cs="SimHei"/>
          <w:sz w:val="24"/>
          <w:szCs w:val="24"/>
        </w:rPr>
        <w:t>当某一项或几项因素向着劣势方向变化，影响预算的执行时，应首先挖掘与预算目标相关的其他因素的潜力，或采取其他措施来弥补，只有在无法弥补的情况下，才能提出预算调整申请。预算调整申请中必须包括：</w:t>
      </w:r>
    </w:p>
    <w:p>
      <w:pPr>
        <w:pStyle w:val="Normal"/>
        <w:numPr>
          <w:ilvl w:val="0"/>
          <w:numId w:val="10"/>
        </w:numPr>
        <w:spacing w:lineRule="auto" w:line="360"/>
        <w:rPr>
          <w:rFonts w:ascii="SimHei" w:hAnsi="SimHei" w:eastAsia="黑体" w:cs="SimHei"/>
          <w:sz w:val="24"/>
          <w:szCs w:val="24"/>
        </w:rPr>
      </w:pPr>
      <w:r>
        <w:rPr>
          <w:rFonts w:ascii="SimHei" w:hAnsi="SimHei" w:eastAsia="黑体" w:cs="SimHei"/>
          <w:sz w:val="24"/>
          <w:szCs w:val="24"/>
        </w:rPr>
        <w:t>导致无法实现预算的原因；</w:t>
      </w:r>
    </w:p>
    <w:p>
      <w:pPr>
        <w:pStyle w:val="Normal"/>
        <w:numPr>
          <w:ilvl w:val="0"/>
          <w:numId w:val="10"/>
        </w:numPr>
        <w:spacing w:lineRule="auto" w:line="360"/>
        <w:rPr/>
      </w:pPr>
      <w:r>
        <w:rPr>
          <w:rFonts w:ascii="SimHei" w:hAnsi="SimHei" w:eastAsia="黑体" w:cs="SimHei"/>
          <w:sz w:val="24"/>
          <w:szCs w:val="24"/>
        </w:rPr>
        <w:t>已经采取的其他弥补措施和效果；</w:t>
      </w:r>
    </w:p>
    <w:p>
      <w:pPr>
        <w:pStyle w:val="Normal"/>
        <w:numPr>
          <w:ilvl w:val="0"/>
          <w:numId w:val="10"/>
        </w:numPr>
        <w:spacing w:lineRule="auto" w:line="360"/>
        <w:rPr>
          <w:rFonts w:ascii="SimHei" w:hAnsi="SimHei" w:eastAsia="黑体" w:cs="SimHei"/>
          <w:sz w:val="24"/>
          <w:szCs w:val="24"/>
        </w:rPr>
      </w:pPr>
      <w:r>
        <w:rPr>
          <w:rFonts w:ascii="SimHei" w:hAnsi="SimHei" w:eastAsia="黑体" w:cs="SimHei"/>
          <w:sz w:val="24"/>
          <w:szCs w:val="24"/>
        </w:rPr>
        <w:t>与该项预算调整相关的业绩调整；</w:t>
      </w:r>
    </w:p>
    <w:p>
      <w:pPr>
        <w:pStyle w:val="Normal"/>
        <w:numPr>
          <w:ilvl w:val="0"/>
          <w:numId w:val="10"/>
        </w:numPr>
        <w:spacing w:lineRule="auto" w:line="360"/>
        <w:rPr>
          <w:rFonts w:ascii="SimHei" w:hAnsi="SimHei" w:eastAsia="黑体" w:cs="SimHei"/>
          <w:sz w:val="24"/>
          <w:szCs w:val="24"/>
        </w:rPr>
      </w:pPr>
      <w:r>
        <w:rPr>
          <w:rFonts w:ascii="SimHei" w:hAnsi="SimHei" w:eastAsia="黑体" w:cs="SimHei"/>
          <w:sz w:val="24"/>
          <w:szCs w:val="24"/>
        </w:rPr>
        <w:t>调整后的预算。</w:t>
      </w:r>
    </w:p>
    <w:p>
      <w:pPr>
        <w:pStyle w:val="Normal"/>
        <w:numPr>
          <w:ilvl w:val="0"/>
          <w:numId w:val="22"/>
        </w:numPr>
        <w:spacing w:lineRule="auto" w:line="360"/>
        <w:rPr>
          <w:rFonts w:ascii="SimHei" w:hAnsi="SimHei" w:eastAsia="黑体" w:cs="SimHei"/>
          <w:sz w:val="24"/>
          <w:szCs w:val="24"/>
        </w:rPr>
      </w:pPr>
      <w:r>
        <w:rPr>
          <w:rFonts w:ascii="SimHei" w:hAnsi="SimHei" w:eastAsia="黑体" w:cs="SimHei"/>
          <w:sz w:val="24"/>
          <w:szCs w:val="24"/>
        </w:rPr>
        <w:t>由下而上的预算调整的程序</w:t>
      </w:r>
    </w:p>
    <w:p>
      <w:pPr>
        <w:pStyle w:val="Normal"/>
        <w:numPr>
          <w:ilvl w:val="0"/>
          <w:numId w:val="9"/>
        </w:numPr>
        <w:spacing w:lineRule="auto" w:line="360"/>
        <w:rPr/>
      </w:pPr>
      <w:r>
        <w:rPr>
          <w:rFonts w:ascii="SimHei" w:hAnsi="SimHei" w:eastAsia="黑体" w:cs="SimHei"/>
          <w:sz w:val="24"/>
          <w:szCs w:val="24"/>
        </w:rPr>
        <w:t>当遇到特殊情况需要调整预算时，由相应的责任中心填写预算调整申请表，提交预算调整分析报告，说明调整内容及原因，并后附相关文件（如市场价格变动情况说明、相关政策变化情况说明、变更前后的经营计划、公司下达追加（或缩减）任务、项目可行性建议书等），交宏华公司分管领导审批；</w:t>
      </w:r>
    </w:p>
    <w:p>
      <w:pPr>
        <w:pStyle w:val="Normal"/>
        <w:numPr>
          <w:ilvl w:val="0"/>
          <w:numId w:val="9"/>
        </w:numPr>
        <w:spacing w:lineRule="auto" w:line="360"/>
        <w:rPr/>
      </w:pPr>
      <w:r>
        <w:rPr>
          <w:rFonts w:ascii="SimHei" w:hAnsi="SimHei" w:eastAsia="黑体" w:cs="SimHei"/>
          <w:sz w:val="24"/>
          <w:szCs w:val="24"/>
        </w:rPr>
        <w:t>宏华公司分管领导签字同意的预算调整申请表上交公司财务部；</w:t>
      </w:r>
    </w:p>
    <w:p>
      <w:pPr>
        <w:pStyle w:val="Normal"/>
        <w:numPr>
          <w:ilvl w:val="0"/>
          <w:numId w:val="9"/>
        </w:numPr>
        <w:spacing w:lineRule="auto" w:line="360"/>
        <w:rPr/>
      </w:pPr>
      <w:r>
        <w:rPr>
          <w:rFonts w:ascii="SimHei" w:hAnsi="SimHei" w:eastAsia="黑体" w:cs="SimHei"/>
          <w:sz w:val="24"/>
          <w:szCs w:val="24"/>
        </w:rPr>
        <w:t>财务部对预算调整申请表及相关报告进行审查，财务总监在预算调整申请表上签署意见，并将同意上报的预算调整申请表及相关报告，上报预算会议；</w:t>
      </w:r>
    </w:p>
    <w:p>
      <w:pPr>
        <w:pStyle w:val="Normal"/>
        <w:numPr>
          <w:ilvl w:val="0"/>
          <w:numId w:val="9"/>
        </w:numPr>
        <w:spacing w:lineRule="auto" w:line="360"/>
        <w:rPr/>
      </w:pPr>
      <w:r>
        <w:rPr>
          <w:rFonts w:ascii="SimHei" w:hAnsi="SimHei" w:eastAsia="黑体" w:cs="SimHei"/>
          <w:sz w:val="24"/>
          <w:szCs w:val="24"/>
        </w:rPr>
        <w:t>预算会议对调整申请进行审批，并下达给财务部；</w:t>
      </w:r>
    </w:p>
    <w:p>
      <w:pPr>
        <w:pStyle w:val="Normal"/>
        <w:numPr>
          <w:ilvl w:val="0"/>
          <w:numId w:val="9"/>
        </w:numPr>
        <w:spacing w:lineRule="auto" w:line="360"/>
        <w:rPr>
          <w:rFonts w:ascii="SimHei" w:hAnsi="SimHei" w:eastAsia="黑体" w:cs="SimHei"/>
          <w:sz w:val="24"/>
          <w:szCs w:val="24"/>
        </w:rPr>
      </w:pPr>
      <w:r>
        <w:rPr>
          <w:rFonts w:ascii="SimHei" w:hAnsi="SimHei" w:eastAsia="黑体" w:cs="SimHei"/>
          <w:sz w:val="24"/>
          <w:szCs w:val="24"/>
        </w:rPr>
        <w:t>财务部留存预算调整申请表，并根据审批意见，编写“预算调整通知书”，以及调整后的预算方案下达给相关责任中心。</w:t>
      </w:r>
    </w:p>
    <w:p>
      <w:pPr>
        <w:pStyle w:val="Heading1"/>
        <w:jc w:val="center"/>
        <w:rPr/>
      </w:pPr>
      <w:r>
        <w:rPr>
          <w:rFonts w:ascii="SimHei" w:hAnsi="SimHei" w:eastAsia="黑体" w:cs="SimHei"/>
          <w:bCs w:val="false"/>
          <w:sz w:val="30"/>
          <w:szCs w:val="30"/>
        </w:rPr>
        <w:t>第六章  附则</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本制度由宏华公司财务部负责制订、修改并解释。此前宏华公司的相关管理规定，凡与本制度有抵触的，均依照本制度执行。</w:t>
      </w:r>
    </w:p>
    <w:p>
      <w:pPr>
        <w:pStyle w:val="Normal"/>
        <w:numPr>
          <w:ilvl w:val="0"/>
          <w:numId w:val="27"/>
        </w:numPr>
        <w:tabs>
          <w:tab w:val="clear" w:pos="420"/>
          <w:tab w:val="left" w:pos="993" w:leader="none"/>
        </w:tabs>
        <w:spacing w:lineRule="auto" w:line="360"/>
        <w:ind w:left="0" w:firstLine="425"/>
        <w:rPr>
          <w:rFonts w:ascii="SimHei" w:hAnsi="SimHei" w:eastAsia="黑体" w:cs="SimHei"/>
          <w:sz w:val="24"/>
          <w:szCs w:val="24"/>
        </w:rPr>
      </w:pPr>
      <w:r>
        <w:rPr>
          <w:rFonts w:ascii="SimHei" w:hAnsi="SimHei" w:eastAsia="黑体" w:cs="SimHei"/>
          <w:sz w:val="24"/>
          <w:szCs w:val="24"/>
        </w:rPr>
        <w:t>本制度未尽事宜，执行国家有关法律、法规和公司的有关规定。</w:t>
      </w:r>
    </w:p>
    <w:p>
      <w:pPr>
        <w:pStyle w:val="Normal"/>
        <w:numPr>
          <w:ilvl w:val="0"/>
          <w:numId w:val="27"/>
        </w:numPr>
        <w:tabs>
          <w:tab w:val="clear" w:pos="420"/>
          <w:tab w:val="left" w:pos="993" w:leader="none"/>
        </w:tabs>
        <w:spacing w:lineRule="auto" w:line="360"/>
        <w:ind w:left="0" w:firstLine="425"/>
        <w:rPr/>
      </w:pPr>
      <w:r>
        <w:rPr>
          <w:rFonts w:ascii="SimHei" w:hAnsi="SimHei" w:eastAsia="黑体" w:cs="SimHei"/>
          <w:sz w:val="24"/>
          <w:szCs w:val="24"/>
        </w:rPr>
        <w:t>本制度经宏华公司董事会审议通过后生效实施。</w:t>
      </w:r>
    </w:p>
    <w:p>
      <w:pPr>
        <w:pStyle w:val="Normal"/>
        <w:spacing w:lineRule="auto" w:line="360"/>
        <w:rPr>
          <w:rFonts w:ascii="SimHei" w:hAnsi="SimHei" w:eastAsia="黑体" w:cs="SimHei"/>
          <w:sz w:val="24"/>
          <w:szCs w:val="24"/>
        </w:rPr>
      </w:pPr>
      <w:r>
        <w:rPr>
          <w:rFonts w:ascii="SimHei" w:hAnsi="SimHei" w:eastAsia="黑体" w:cs="SimHei"/>
          <w:sz w:val="24"/>
          <w:szCs w:val="24"/>
        </w:rPr>
      </w:r>
    </w:p>
    <w:p>
      <w:pPr>
        <w:pStyle w:val="Normal"/>
        <w:spacing w:lineRule="auto" w:line="360"/>
        <w:rPr>
          <w:rFonts w:ascii="SimHei" w:hAnsi="SimHei" w:eastAsia="黑体" w:cs="SimHei"/>
          <w:sz w:val="24"/>
          <w:szCs w:val="24"/>
        </w:rPr>
      </w:pPr>
      <w:r>
        <w:rPr>
          <w:rFonts w:ascii="SimHei" w:hAnsi="SimHei" w:eastAsia="黑体" w:cs="SimHei"/>
          <w:sz w:val="24"/>
          <w:szCs w:val="24"/>
        </w:rPr>
        <w:t>附件一《预算执行信息反馈表》</w:t>
      </w:r>
    </w:p>
    <w:p>
      <w:pPr>
        <w:pStyle w:val="Normal"/>
        <w:spacing w:lineRule="auto" w:line="360"/>
        <w:rPr>
          <w:rFonts w:ascii="SimHei" w:hAnsi="SimHei" w:eastAsia="黑体" w:cs="SimHei"/>
          <w:sz w:val="24"/>
          <w:szCs w:val="24"/>
        </w:rPr>
      </w:pPr>
      <w:r>
        <w:rPr>
          <w:rFonts w:ascii="SimHei" w:hAnsi="SimHei" w:eastAsia="黑体" w:cs="SimHei"/>
          <w:sz w:val="24"/>
          <w:szCs w:val="24"/>
        </w:rPr>
        <w:t>附件二《预算调整申请表》</w:t>
      </w:r>
    </w:p>
    <w:p>
      <w:pPr>
        <w:pStyle w:val="Normal"/>
        <w:spacing w:lineRule="auto" w:line="360"/>
        <w:rPr>
          <w:rFonts w:ascii="SimHei" w:hAnsi="SimHei" w:eastAsia="黑体" w:cs="SimHei"/>
          <w:sz w:val="24"/>
          <w:szCs w:val="24"/>
        </w:rPr>
      </w:pPr>
      <w:r>
        <w:rPr>
          <w:rFonts w:ascii="SimHei" w:hAnsi="SimHei" w:eastAsia="黑体" w:cs="SimHei"/>
          <w:sz w:val="24"/>
          <w:szCs w:val="24"/>
        </w:rPr>
        <w:t>附件三《预算调整通知单》</w:t>
      </w:r>
    </w:p>
    <w:p>
      <w:pPr>
        <w:pStyle w:val="Normal"/>
        <w:spacing w:lineRule="auto" w:line="360"/>
        <w:rPr>
          <w:rFonts w:ascii="SimHei" w:hAnsi="SimHei" w:eastAsia="黑体" w:cs="SimHei"/>
          <w:sz w:val="24"/>
          <w:szCs w:val="24"/>
        </w:rPr>
      </w:pPr>
      <w:r>
        <w:rPr>
          <w:rFonts w:ascii="SimHei" w:hAnsi="SimHei" w:eastAsia="黑体" w:cs="SimHei"/>
          <w:sz w:val="24"/>
          <w:szCs w:val="24"/>
        </w:rPr>
        <w:t>附件四《仲裁决议书》</w:t>
      </w:r>
      <w:r>
        <w:br w:type="page"/>
      </w:r>
    </w:p>
    <w:p>
      <w:pPr>
        <w:pStyle w:val="Normal"/>
        <w:rPr>
          <w:rFonts w:ascii="SimHei" w:hAnsi="SimHei" w:eastAsia="黑体" w:cs="SimHei"/>
          <w:sz w:val="24"/>
        </w:rPr>
      </w:pPr>
      <w:r>
        <w:rPr>
          <w:rFonts w:ascii="SimHei" w:hAnsi="SimHei" w:eastAsia="黑体" w:cs="SimHei"/>
          <w:sz w:val="24"/>
        </w:rPr>
        <w:t>附件一《预算执行信息反馈表》</w:t>
      </w:r>
    </w:p>
    <w:p>
      <w:pPr>
        <w:pStyle w:val="Normal"/>
        <w:rPr>
          <w:rFonts w:ascii="SimHei" w:hAnsi="SimHei" w:eastAsia="黑体" w:cs="SimHei"/>
          <w:sz w:val="24"/>
        </w:rPr>
      </w:pPr>
      <w:r>
        <w:rPr>
          <w:rFonts w:ascii="SimHei" w:hAnsi="SimHei" w:eastAsia="黑体" w:cs="SimHei"/>
          <w:sz w:val="24"/>
        </w:rPr>
      </w:r>
    </w:p>
    <w:p>
      <w:pPr>
        <w:pStyle w:val="Normal"/>
        <w:rPr>
          <w:rFonts w:ascii="SimHei" w:hAnsi="SimHei" w:eastAsia="黑体" w:cs="SimHei"/>
        </w:rPr>
      </w:pPr>
      <w:r>
        <w:rPr>
          <w:rFonts w:ascii="SimHei" w:hAnsi="SimHei" w:eastAsia="黑体" w:cs="SimHei"/>
        </w:rPr>
      </w:r>
      <w:r>
        <w:br w:type="page"/>
      </w:r>
      <w:r>
        <mc:AlternateContent>
          <mc:Choice Requires="wps">
            <w:drawing>
              <wp:anchor behindDoc="0" distT="0" distB="0" distL="0" distR="114300" simplePos="0" locked="0" layoutInCell="0" allowOverlap="1" relativeHeight="2">
                <wp:simplePos x="0" y="0"/>
                <wp:positionH relativeFrom="margin">
                  <wp:align>left</wp:align>
                </wp:positionH>
                <wp:positionV relativeFrom="page">
                  <wp:posOffset>1311275</wp:posOffset>
                </wp:positionV>
                <wp:extent cx="5262880" cy="6733540"/>
                <wp:effectExtent l="0" t="0" r="0" b="0"/>
                <wp:wrapSquare wrapText="bothSides"/>
                <wp:docPr id="1" name="Frame1"/>
                <a:graphic xmlns:a="http://schemas.openxmlformats.org/drawingml/2006/main">
                  <a:graphicData uri="http://schemas.microsoft.com/office/word/2010/wordprocessingShape">
                    <wps:wsp>
                      <wps:cNvSpPr txBox="1"/>
                      <wps:spPr>
                        <a:xfrm>
                          <a:off x="0" y="0"/>
                          <a:ext cx="5262880" cy="6733540"/>
                        </a:xfrm>
                        <a:prstGeom prst="rect"/>
                        <a:solidFill>
                          <a:srgbClr val="FFFFFF">
                            <a:alpha val="0"/>
                          </a:srgbClr>
                        </a:solidFill>
                      </wps:spPr>
                      <wps:txbx>
                        <w:txbxContent>
                          <w:tbl>
                            <w:tblPr>
                              <w:tblW w:w="8288" w:type="dxa"/>
                              <w:jc w:val="left"/>
                              <w:tblInd w:w="0" w:type="dxa"/>
                              <w:tblLayout w:type="fixed"/>
                              <w:tblCellMar>
                                <w:top w:w="0" w:type="dxa"/>
                                <w:left w:w="0" w:type="dxa"/>
                                <w:bottom w:w="0" w:type="dxa"/>
                                <w:right w:w="0" w:type="dxa"/>
                              </w:tblCellMar>
                            </w:tblPr>
                            <w:tblGrid>
                              <w:gridCol w:w="570"/>
                              <w:gridCol w:w="1454"/>
                              <w:gridCol w:w="864"/>
                              <w:gridCol w:w="900"/>
                              <w:gridCol w:w="900"/>
                              <w:gridCol w:w="900"/>
                              <w:gridCol w:w="900"/>
                              <w:gridCol w:w="900"/>
                              <w:gridCol w:w="900"/>
                            </w:tblGrid>
                            <w:tr>
                              <w:trPr>
                                <w:trHeight w:val="1060" w:hRule="atLeast"/>
                              </w:trPr>
                              <w:tc>
                                <w:tcPr>
                                  <w:tcW w:w="8288" w:type="dxa"/>
                                  <w:gridSpan w:val="9"/>
                                  <w:tcBorders>
                                    <w:bottom w:val="single" w:sz="4" w:space="0" w:color="000000"/>
                                  </w:tcBorders>
                                </w:tcPr>
                                <w:p>
                                  <w:pPr>
                                    <w:pStyle w:val="Normal"/>
                                    <w:jc w:val="center"/>
                                    <w:rPr/>
                                  </w:pPr>
                                  <w:r>
                                    <w:rPr>
                                      <w:rFonts w:ascii="SimHei" w:hAnsi="SimHei" w:eastAsia="黑体" w:cs="SimHei"/>
                                      <w:b/>
                                      <w:bCs/>
                                      <w:sz w:val="30"/>
                                      <w:szCs w:val="28"/>
                                    </w:rPr>
                                    <w:t>宏华公司预算执行信息反馈表</w:t>
                                  </w:r>
                                </w:p>
                                <w:p>
                                  <w:pPr>
                                    <w:pStyle w:val="Normal"/>
                                    <w:jc w:val="center"/>
                                    <w:rPr>
                                      <w:rFonts w:ascii="SimHei" w:hAnsi="SimHei" w:eastAsia="黑体" w:cs="SimHei"/>
                                      <w:b/>
                                      <w:b/>
                                      <w:bCs/>
                                      <w:sz w:val="18"/>
                                      <w:szCs w:val="28"/>
                                    </w:rPr>
                                  </w:pPr>
                                  <w:r>
                                    <w:rPr>
                                      <w:rFonts w:ascii="SimHei" w:hAnsi="SimHei" w:eastAsia="黑体" w:cs="SimHei"/>
                                      <w:b/>
                                      <w:bCs/>
                                      <w:sz w:val="18"/>
                                      <w:szCs w:val="28"/>
                                    </w:rPr>
                                    <w:t>　　　　　　　　　　　　　　　　　　　　　　　　　　　　　　　　　№</w:t>
                                  </w:r>
                                </w:p>
                                <w:p>
                                  <w:pPr>
                                    <w:pStyle w:val="Normal"/>
                                    <w:jc w:val="left"/>
                                    <w:rPr>
                                      <w:rFonts w:ascii="SimHei" w:hAnsi="SimHei" w:eastAsia="黑体" w:cs="SimHei"/>
                                      <w:sz w:val="24"/>
                                      <w:szCs w:val="28"/>
                                    </w:rPr>
                                  </w:pPr>
                                  <w:r>
                                    <w:rPr>
                                      <w:rFonts w:ascii="SimHei" w:hAnsi="SimHei" w:eastAsia="黑体" w:cs="SimHei"/>
                                      <w:sz w:val="24"/>
                                    </w:rPr>
                                    <w:t>职能部门：　　　　　</w:t>
                                  </w:r>
                                  <w:r>
                                    <w:rPr>
                                      <w:rFonts w:ascii="SimHei" w:hAnsi="SimHei" w:eastAsia="黑体" w:cs="SimHei"/>
                                      <w:sz w:val="24"/>
                                      <w:szCs w:val="28"/>
                                    </w:rPr>
                                    <w:t xml:space="preserve">       预算项目：     </w:t>
                                  </w:r>
                                  <w:r>
                                    <w:rPr>
                                      <w:rFonts w:ascii="SimHei" w:hAnsi="SimHei" w:eastAsia="黑体" w:cs="SimHei"/>
                                      <w:sz w:val="24"/>
                                    </w:rPr>
                                    <w:t xml:space="preserve"> 　　　　　　日期：</w:t>
                                  </w:r>
                                </w:p>
                              </w:tc>
                            </w:tr>
                            <w:tr>
                              <w:trPr>
                                <w:trHeight w:val="375" w:hRule="atLeast"/>
                                <w:cantSplit w:val="true"/>
                              </w:trPr>
                              <w:tc>
                                <w:tcPr>
                                  <w:tcW w:w="570" w:type="dxa"/>
                                  <w:vMerge w:val="restart"/>
                                  <w:tcBorders>
                                    <w:top w:val="single" w:sz="4" w:space="0" w:color="000000"/>
                                    <w:left w:val="single" w:sz="4" w:space="0" w:color="000000"/>
                                  </w:tcBorders>
                                  <w:vAlign w:val="center"/>
                                </w:tcPr>
                                <w:p>
                                  <w:pPr>
                                    <w:pStyle w:val="Normal"/>
                                    <w:jc w:val="center"/>
                                    <w:rPr>
                                      <w:rFonts w:ascii="SimHei" w:hAnsi="SimHei" w:eastAsia="黑体" w:cs="SimHei"/>
                                    </w:rPr>
                                  </w:pPr>
                                  <w:r>
                                    <w:rPr>
                                      <w:rFonts w:ascii="SimHei" w:hAnsi="SimHei" w:eastAsia="黑体" w:cs="SimHei"/>
                                    </w:rPr>
                                    <w:t>序</w:t>
                                  </w:r>
                                </w:p>
                                <w:p>
                                  <w:pPr>
                                    <w:pStyle w:val="Normal"/>
                                    <w:jc w:val="center"/>
                                    <w:rPr>
                                      <w:rFonts w:ascii="SimHei" w:hAnsi="SimHei" w:eastAsia="黑体" w:cs="SimHei"/>
                                    </w:rPr>
                                  </w:pPr>
                                  <w:r>
                                    <w:rPr>
                                      <w:rFonts w:ascii="SimHei" w:hAnsi="SimHei" w:eastAsia="黑体" w:cs="SimHei"/>
                                    </w:rPr>
                                    <w:t>号</w:t>
                                  </w:r>
                                </w:p>
                              </w:tc>
                              <w:tc>
                                <w:tcPr>
                                  <w:tcW w:w="1454" w:type="dxa"/>
                                  <w:vMerge w:val="restart"/>
                                  <w:tcBorders>
                                    <w:top w:val="single" w:sz="4" w:space="0" w:color="000000"/>
                                    <w:left w:val="single" w:sz="4" w:space="0" w:color="000000"/>
                                    <w:right w:val="single" w:sz="4" w:space="0" w:color="000000"/>
                                  </w:tcBorders>
                                  <w:tcMar>
                                    <w:top w:w="14" w:type="dxa"/>
                                    <w:left w:w="14" w:type="dxa"/>
                                    <w:right w:w="14" w:type="dxa"/>
                                  </w:tcMar>
                                  <w:vAlign w:val="center"/>
                                </w:tcPr>
                                <w:p>
                                  <w:pPr>
                                    <w:pStyle w:val="Normal"/>
                                    <w:jc w:val="center"/>
                                    <w:rPr>
                                      <w:rFonts w:ascii="SimHei" w:hAnsi="SimHei" w:eastAsia="黑体" w:cs="SimHei"/>
                                    </w:rPr>
                                  </w:pPr>
                                  <w:r>
                                    <w:rPr>
                                      <w:rFonts w:ascii="SimHei" w:hAnsi="SimHei" w:eastAsia="黑体" w:cs="SimHei"/>
                                    </w:rPr>
                                    <w:t>公司（部门）</w:t>
                                  </w:r>
                                </w:p>
                              </w:tc>
                              <w:tc>
                                <w:tcPr>
                                  <w:tcW w:w="1764" w:type="dxa"/>
                                  <w:gridSpan w:val="2"/>
                                  <w:tcBorders>
                                    <w:top w:val="single" w:sz="4" w:space="0" w:color="000000"/>
                                    <w:bottom w:val="single" w:sz="4" w:space="0" w:color="000000"/>
                                    <w:right w:val="single" w:sz="4" w:space="0" w:color="000000"/>
                                  </w:tcBorders>
                                  <w:tcMar>
                                    <w:top w:w="14" w:type="dxa"/>
                                    <w:left w:w="14" w:type="dxa"/>
                                    <w:right w:w="14" w:type="dxa"/>
                                  </w:tcMar>
                                  <w:vAlign w:val="center"/>
                                </w:tcPr>
                                <w:p>
                                  <w:pPr>
                                    <w:pStyle w:val="Normal"/>
                                    <w:jc w:val="center"/>
                                    <w:rPr>
                                      <w:rFonts w:ascii="SimHei" w:hAnsi="SimHei" w:eastAsia="黑体" w:cs="SimHei"/>
                                    </w:rPr>
                                  </w:pPr>
                                  <w:r>
                                    <w:rPr>
                                      <w:rFonts w:ascii="SimHei" w:hAnsi="SimHei" w:eastAsia="黑体" w:cs="SimHei"/>
                                    </w:rPr>
                                    <w:t>预算计划</w:t>
                                  </w:r>
                                </w:p>
                              </w:tc>
                              <w:tc>
                                <w:tcPr>
                                  <w:tcW w:w="1800" w:type="dxa"/>
                                  <w:gridSpan w:val="2"/>
                                  <w:tcBorders>
                                    <w:bottom w:val="single" w:sz="4" w:space="0" w:color="000000"/>
                                    <w:right w:val="single" w:sz="4" w:space="0" w:color="000000"/>
                                  </w:tcBorders>
                                  <w:tcMar>
                                    <w:top w:w="14" w:type="dxa"/>
                                    <w:left w:w="14" w:type="dxa"/>
                                    <w:right w:w="14" w:type="dxa"/>
                                  </w:tcMar>
                                  <w:vAlign w:val="center"/>
                                </w:tcPr>
                                <w:p>
                                  <w:pPr>
                                    <w:pStyle w:val="Normal"/>
                                    <w:jc w:val="center"/>
                                    <w:rPr>
                                      <w:rFonts w:ascii="SimHei" w:hAnsi="SimHei" w:eastAsia="黑体" w:cs="SimHei"/>
                                    </w:rPr>
                                  </w:pPr>
                                  <w:r>
                                    <w:rPr>
                                      <w:rFonts w:ascii="SimHei" w:hAnsi="SimHei" w:eastAsia="黑体" w:cs="SimHei"/>
                                    </w:rPr>
                                    <w:t>实际完成</w:t>
                                  </w:r>
                                </w:p>
                              </w:tc>
                              <w:tc>
                                <w:tcPr>
                                  <w:tcW w:w="1800" w:type="dxa"/>
                                  <w:gridSpan w:val="2"/>
                                  <w:tcBorders>
                                    <w:top w:val="single" w:sz="4" w:space="0" w:color="000000"/>
                                    <w:bottom w:val="single" w:sz="4" w:space="0" w:color="000000"/>
                                    <w:right w:val="single" w:sz="4" w:space="0" w:color="000000"/>
                                  </w:tcBorders>
                                  <w:tcMar>
                                    <w:top w:w="14" w:type="dxa"/>
                                    <w:left w:w="14" w:type="dxa"/>
                                    <w:right w:w="14" w:type="dxa"/>
                                  </w:tcMar>
                                  <w:vAlign w:val="center"/>
                                </w:tcPr>
                                <w:p>
                                  <w:pPr>
                                    <w:pStyle w:val="Normal"/>
                                    <w:jc w:val="center"/>
                                    <w:rPr>
                                      <w:rFonts w:ascii="SimHei" w:hAnsi="SimHei" w:eastAsia="黑体" w:cs="SimHei"/>
                                    </w:rPr>
                                  </w:pPr>
                                  <w:r>
                                    <w:rPr>
                                      <w:rFonts w:ascii="SimHei" w:hAnsi="SimHei" w:eastAsia="黑体" w:cs="SimHei"/>
                                    </w:rPr>
                                    <w:t>盈超（</w:t>
                                  </w:r>
                                  <w:r>
                                    <w:rPr>
                                      <w:rFonts w:ascii="SimHei" w:hAnsi="SimHei" w:eastAsia="黑体" w:cs="SimHei"/>
                                    </w:rPr>
                                    <w:t>+/-</w:t>
                                  </w:r>
                                  <w:r>
                                    <w:rPr>
                                      <w:rFonts w:ascii="SimHei" w:hAnsi="SimHei" w:eastAsia="黑体" w:cs="SimHei"/>
                                    </w:rPr>
                                    <w:t>）</w:t>
                                  </w:r>
                                </w:p>
                              </w:tc>
                              <w:tc>
                                <w:tcPr>
                                  <w:tcW w:w="900" w:type="dxa"/>
                                  <w:vMerge w:val="restart"/>
                                  <w:tcBorders>
                                    <w:top w:val="single" w:sz="4" w:space="0" w:color="000000"/>
                                    <w:right w:val="single" w:sz="4" w:space="0" w:color="000000"/>
                                  </w:tcBorders>
                                  <w:vAlign w:val="center"/>
                                </w:tcPr>
                                <w:p>
                                  <w:pPr>
                                    <w:pStyle w:val="Normal"/>
                                    <w:jc w:val="center"/>
                                    <w:rPr>
                                      <w:rFonts w:ascii="SimHei" w:hAnsi="SimHei" w:eastAsia="黑体" w:cs="SimHei"/>
                                    </w:rPr>
                                  </w:pPr>
                                  <w:r>
                                    <w:rPr>
                                      <w:rFonts w:ascii="SimHei" w:hAnsi="SimHei" w:eastAsia="黑体" w:cs="SimHei"/>
                                    </w:rPr>
                                    <w:t>备注</w:t>
                                  </w:r>
                                </w:p>
                              </w:tc>
                            </w:tr>
                            <w:tr>
                              <w:trPr>
                                <w:trHeight w:val="375" w:hRule="atLeast"/>
                                <w:cantSplit w:val="true"/>
                              </w:trPr>
                              <w:tc>
                                <w:tcPr>
                                  <w:tcW w:w="570" w:type="dxa"/>
                                  <w:vMerge w:val="continue"/>
                                  <w:tcBorders>
                                    <w:top w:val="single" w:sz="4" w:space="0" w:color="000000"/>
                                    <w:left w:val="single" w:sz="4"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454" w:type="dxa"/>
                                  <w:vMerge w:val="continue"/>
                                  <w:tcBorders>
                                    <w:top w:val="single" w:sz="4" w:space="0" w:color="000000"/>
                                    <w:left w:val="single" w:sz="4" w:space="0" w:color="000000"/>
                                    <w:right w:val="single" w:sz="4" w:space="0" w:color="000000"/>
                                  </w:tcBorders>
                                  <w:tcMar>
                                    <w:top w:w="14" w:type="dxa"/>
                                    <w:left w:w="14" w:type="dxa"/>
                                    <w:right w:w="14" w:type="dxa"/>
                                  </w:tcMar>
                                  <w:vAlign w:val="center"/>
                                </w:tcPr>
                                <w:p>
                                  <w:pPr>
                                    <w:pStyle w:val="Normal"/>
                                    <w:snapToGrid w:val="false"/>
                                    <w:jc w:val="center"/>
                                    <w:rPr>
                                      <w:rFonts w:ascii="SimHei" w:hAnsi="SimHei" w:eastAsia="黑体" w:cs="SimHei"/>
                                    </w:rPr>
                                  </w:pPr>
                                  <w:r>
                                    <w:rPr>
                                      <w:rFonts w:ascii="SimHei" w:hAnsi="SimHei" w:eastAsia="黑体" w:cs="SimHei"/>
                                    </w:rPr>
                                  </w:r>
                                </w:p>
                              </w:tc>
                              <w:tc>
                                <w:tcPr>
                                  <w:tcW w:w="864" w:type="dxa"/>
                                  <w:tcBorders>
                                    <w:top w:val="single" w:sz="4" w:space="0" w:color="000000"/>
                                    <w:bottom w:val="single" w:sz="4" w:space="0" w:color="000000"/>
                                    <w:right w:val="single" w:sz="4" w:space="0" w:color="000000"/>
                                  </w:tcBorders>
                                  <w:tcMar>
                                    <w:top w:w="14" w:type="dxa"/>
                                    <w:left w:w="14" w:type="dxa"/>
                                    <w:right w:w="14" w:type="dxa"/>
                                  </w:tcMar>
                                  <w:vAlign w:val="center"/>
                                </w:tcPr>
                                <w:p>
                                  <w:pPr>
                                    <w:pStyle w:val="Normal"/>
                                    <w:jc w:val="center"/>
                                    <w:rPr>
                                      <w:rFonts w:ascii="SimHei" w:hAnsi="SimHei" w:eastAsia="黑体" w:cs="SimHei"/>
                                    </w:rPr>
                                  </w:pPr>
                                  <w:r>
                                    <w:rPr>
                                      <w:rFonts w:ascii="SimHei" w:hAnsi="SimHei" w:eastAsia="黑体" w:cs="SimHei"/>
                                    </w:rPr>
                                    <w:t>本期</w:t>
                                  </w:r>
                                </w:p>
                              </w:tc>
                              <w:tc>
                                <w:tcPr>
                                  <w:tcW w:w="900" w:type="dxa"/>
                                  <w:tcBorders>
                                    <w:top w:val="single" w:sz="4" w:space="0" w:color="000000"/>
                                    <w:bottom w:val="single" w:sz="4" w:space="0" w:color="000000"/>
                                    <w:right w:val="single" w:sz="4" w:space="0" w:color="000000"/>
                                  </w:tcBorders>
                                  <w:tcMar>
                                    <w:top w:w="14" w:type="dxa"/>
                                    <w:left w:w="14" w:type="dxa"/>
                                    <w:right w:w="14" w:type="dxa"/>
                                  </w:tcMar>
                                  <w:vAlign w:val="center"/>
                                </w:tcPr>
                                <w:p>
                                  <w:pPr>
                                    <w:pStyle w:val="Normal"/>
                                    <w:jc w:val="center"/>
                                    <w:rPr>
                                      <w:rFonts w:ascii="SimHei" w:hAnsi="SimHei" w:eastAsia="黑体" w:cs="SimHei"/>
                                    </w:rPr>
                                  </w:pPr>
                                  <w:r>
                                    <w:rPr>
                                      <w:rFonts w:ascii="SimHei" w:hAnsi="SimHei" w:eastAsia="黑体" w:cs="SimHei"/>
                                    </w:rPr>
                                    <w:t>累计</w:t>
                                  </w:r>
                                </w:p>
                              </w:tc>
                              <w:tc>
                                <w:tcPr>
                                  <w:tcW w:w="900" w:type="dxa"/>
                                  <w:tcBorders>
                                    <w:bottom w:val="single" w:sz="4" w:space="0" w:color="000000"/>
                                    <w:right w:val="single" w:sz="4" w:space="0" w:color="000000"/>
                                  </w:tcBorders>
                                  <w:tcMar>
                                    <w:top w:w="14" w:type="dxa"/>
                                    <w:left w:w="14" w:type="dxa"/>
                                    <w:right w:w="14" w:type="dxa"/>
                                  </w:tcMar>
                                  <w:vAlign w:val="center"/>
                                </w:tcPr>
                                <w:p>
                                  <w:pPr>
                                    <w:pStyle w:val="Normal"/>
                                    <w:jc w:val="center"/>
                                    <w:rPr>
                                      <w:rFonts w:ascii="SimHei" w:hAnsi="SimHei" w:eastAsia="黑体" w:cs="SimHei"/>
                                    </w:rPr>
                                  </w:pPr>
                                  <w:r>
                                    <w:rPr>
                                      <w:rFonts w:ascii="SimHei" w:hAnsi="SimHei" w:eastAsia="黑体" w:cs="SimHei"/>
                                    </w:rPr>
                                    <w:t>本期</w:t>
                                  </w:r>
                                </w:p>
                              </w:tc>
                              <w:tc>
                                <w:tcPr>
                                  <w:tcW w:w="900" w:type="dxa"/>
                                  <w:tcBorders>
                                    <w:bottom w:val="single" w:sz="4" w:space="0" w:color="000000"/>
                                    <w:right w:val="single" w:sz="4" w:space="0" w:color="000000"/>
                                  </w:tcBorders>
                                  <w:tcMar>
                                    <w:top w:w="14" w:type="dxa"/>
                                    <w:left w:w="14" w:type="dxa"/>
                                    <w:right w:w="14" w:type="dxa"/>
                                  </w:tcMar>
                                  <w:vAlign w:val="center"/>
                                </w:tcPr>
                                <w:p>
                                  <w:pPr>
                                    <w:pStyle w:val="Normal"/>
                                    <w:jc w:val="center"/>
                                    <w:rPr>
                                      <w:rFonts w:ascii="SimHei" w:hAnsi="SimHei" w:eastAsia="黑体" w:cs="SimHei"/>
                                    </w:rPr>
                                  </w:pPr>
                                  <w:r>
                                    <w:rPr>
                                      <w:rFonts w:ascii="SimHei" w:hAnsi="SimHei" w:eastAsia="黑体" w:cs="SimHei"/>
                                    </w:rPr>
                                    <w:t>累计</w:t>
                                  </w:r>
                                </w:p>
                              </w:tc>
                              <w:tc>
                                <w:tcPr>
                                  <w:tcW w:w="900" w:type="dxa"/>
                                  <w:tcBorders>
                                    <w:top w:val="single" w:sz="4" w:space="0" w:color="000000"/>
                                    <w:bottom w:val="single" w:sz="4" w:space="0" w:color="000000"/>
                                    <w:right w:val="single" w:sz="4" w:space="0" w:color="000000"/>
                                  </w:tcBorders>
                                  <w:tcMar>
                                    <w:top w:w="14" w:type="dxa"/>
                                    <w:left w:w="14" w:type="dxa"/>
                                    <w:right w:w="14" w:type="dxa"/>
                                  </w:tcMar>
                                  <w:vAlign w:val="center"/>
                                </w:tcPr>
                                <w:p>
                                  <w:pPr>
                                    <w:pStyle w:val="Normal"/>
                                    <w:jc w:val="center"/>
                                    <w:rPr>
                                      <w:rFonts w:ascii="SimHei" w:hAnsi="SimHei" w:eastAsia="黑体" w:cs="SimHei"/>
                                    </w:rPr>
                                  </w:pPr>
                                  <w:r>
                                    <w:rPr>
                                      <w:rFonts w:ascii="SimHei" w:hAnsi="SimHei" w:eastAsia="黑体" w:cs="SimHei"/>
                                    </w:rPr>
                                    <w:t>本期</w:t>
                                  </w:r>
                                </w:p>
                              </w:tc>
                              <w:tc>
                                <w:tcPr>
                                  <w:tcW w:w="900"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rPr>
                                  </w:pPr>
                                  <w:r>
                                    <w:rPr>
                                      <w:rFonts w:ascii="SimHei" w:hAnsi="SimHei" w:eastAsia="黑体" w:cs="SimHei"/>
                                    </w:rPr>
                                    <w:t>累计</w:t>
                                  </w:r>
                                </w:p>
                              </w:tc>
                              <w:tc>
                                <w:tcPr>
                                  <w:tcW w:w="900" w:type="dxa"/>
                                  <w:vMerge w:val="continue"/>
                                  <w:tcBorders>
                                    <w:top w:val="single" w:sz="4" w:space="0" w:color="000000"/>
                                    <w:right w:val="single" w:sz="4" w:space="0" w:color="000000"/>
                                  </w:tcBorders>
                                  <w:vAlign w:val="center"/>
                                </w:tcPr>
                                <w:p>
                                  <w:pPr>
                                    <w:pStyle w:val="Normal"/>
                                    <w:snapToGrid w:val="false"/>
                                    <w:jc w:val="right"/>
                                    <w:rPr>
                                      <w:rFonts w:ascii="SimHei" w:hAnsi="SimHei" w:eastAsia="黑体" w:cs="SimHei"/>
                                    </w:rPr>
                                  </w:pPr>
                                  <w:r>
                                    <w:rPr>
                                      <w:rFonts w:ascii="SimHei" w:hAnsi="SimHei" w:eastAsia="黑体" w:cs="SimHei"/>
                                    </w:rPr>
                                  </w:r>
                                </w:p>
                              </w:tc>
                            </w:tr>
                            <w:tr>
                              <w:trPr>
                                <w:trHeight w:val="390" w:hRule="atLeast"/>
                              </w:trPr>
                              <w:tc>
                                <w:tcPr>
                                  <w:tcW w:w="570" w:type="dxa"/>
                                  <w:tcBorders>
                                    <w:left w:val="single" w:sz="4" w:space="0" w:color="000000"/>
                                  </w:tcBorders>
                                </w:tcPr>
                                <w:p>
                                  <w:pPr>
                                    <w:pStyle w:val="Normal"/>
                                    <w:jc w:val="center"/>
                                    <w:rPr>
                                      <w:rFonts w:ascii="SimHei" w:hAnsi="SimHei" w:eastAsia="黑体" w:cs="SimHei"/>
                                    </w:rPr>
                                  </w:pPr>
                                  <w:r>
                                    <w:rPr>
                                      <w:rFonts w:ascii="SimHei" w:hAnsi="SimHei" w:eastAsia="黑体" w:cs="SimHei"/>
                                    </w:rPr>
                                    <w:t>1</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2</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3</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4</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5</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6</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7</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8</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left w:val="single" w:sz="4" w:space="0" w:color="000000"/>
                                  </w:tcBorders>
                                </w:tcPr>
                                <w:p>
                                  <w:pPr>
                                    <w:pStyle w:val="Normal"/>
                                    <w:jc w:val="center"/>
                                    <w:rPr>
                                      <w:rFonts w:ascii="SimHei" w:hAnsi="SimHei" w:eastAsia="黑体" w:cs="SimHei"/>
                                    </w:rPr>
                                  </w:pPr>
                                  <w:r>
                                    <w:rPr>
                                      <w:rFonts w:ascii="SimHei" w:hAnsi="SimHei" w:eastAsia="黑体" w:cs="SimHei"/>
                                    </w:rPr>
                                    <w:t>9</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10</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11</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left w:val="single" w:sz="4" w:space="0" w:color="000000"/>
                                  </w:tcBorders>
                                </w:tcPr>
                                <w:p>
                                  <w:pPr>
                                    <w:pStyle w:val="Normal"/>
                                    <w:jc w:val="center"/>
                                    <w:rPr>
                                      <w:rFonts w:ascii="SimHei" w:hAnsi="SimHei" w:eastAsia="黑体" w:cs="SimHei"/>
                                    </w:rPr>
                                  </w:pPr>
                                  <w:r>
                                    <w:rPr>
                                      <w:rFonts w:ascii="SimHei" w:hAnsi="SimHei" w:eastAsia="黑体" w:cs="SimHei"/>
                                    </w:rPr>
                                    <w:t>12</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13</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left w:val="single" w:sz="4" w:space="0" w:color="000000"/>
                                  </w:tcBorders>
                                </w:tcPr>
                                <w:p>
                                  <w:pPr>
                                    <w:pStyle w:val="Normal"/>
                                    <w:jc w:val="center"/>
                                    <w:rPr>
                                      <w:rFonts w:ascii="SimHei" w:hAnsi="SimHei" w:eastAsia="黑体" w:cs="SimHei"/>
                                    </w:rPr>
                                  </w:pPr>
                                  <w:r>
                                    <w:rPr>
                                      <w:rFonts w:ascii="SimHei" w:hAnsi="SimHei" w:eastAsia="黑体" w:cs="SimHei"/>
                                    </w:rPr>
                                    <w:t>14</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15</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16</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17</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18</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left w:val="single" w:sz="4" w:space="0" w:color="000000"/>
                                  </w:tcBorders>
                                </w:tcPr>
                                <w:p>
                                  <w:pPr>
                                    <w:pStyle w:val="Normal"/>
                                    <w:jc w:val="center"/>
                                    <w:rPr>
                                      <w:rFonts w:ascii="SimHei" w:hAnsi="SimHei" w:eastAsia="黑体" w:cs="SimHei"/>
                                    </w:rPr>
                                  </w:pPr>
                                  <w:r>
                                    <w:rPr>
                                      <w:rFonts w:ascii="SimHei" w:hAnsi="SimHei" w:eastAsia="黑体" w:cs="SimHei"/>
                                    </w:rPr>
                                    <w:t>19</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20</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2024" w:type="dxa"/>
                                  <w:gridSpan w:val="2"/>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合　　计</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8288" w:type="dxa"/>
                                  <w:gridSpan w:val="9"/>
                                  <w:tcBorders/>
                                </w:tcPr>
                                <w:p>
                                  <w:pPr>
                                    <w:pStyle w:val="Normal"/>
                                    <w:rPr>
                                      <w:rFonts w:ascii="SimHei" w:hAnsi="SimHei" w:eastAsia="黑体" w:cs="SimHei"/>
                                      <w:sz w:val="24"/>
                                    </w:rPr>
                                  </w:pPr>
                                  <w:r>
                                    <w:rPr>
                                      <w:rFonts w:ascii="SimHei" w:hAnsi="SimHei" w:eastAsia="黑体" w:cs="SimHei"/>
                                      <w:sz w:val="24"/>
                                    </w:rPr>
                                    <w:t>预算负责人：　　　　　       复核人：    　　　　　　制表人：</w:t>
                                  </w:r>
                                </w:p>
                                <w:p>
                                  <w:pPr>
                                    <w:pStyle w:val="Normal"/>
                                    <w:rPr>
                                      <w:rFonts w:ascii="SimHei" w:hAnsi="SimHei" w:eastAsia="黑体" w:cs="SimHei"/>
                                      <w:sz w:val="24"/>
                                    </w:rPr>
                                  </w:pPr>
                                  <w:r>
                                    <w:rPr>
                                      <w:rFonts w:ascii="SimHei" w:hAnsi="SimHei" w:eastAsia="黑体" w:cs="SimHei"/>
                                      <w:sz w:val="24"/>
                                    </w:rPr>
                                  </w:r>
                                </w:p>
                              </w:tc>
                            </w:tr>
                          </w:tbl>
                        </w:txbxContent>
                      </wps:txbx>
                      <wps:bodyPr anchor="t" lIns="0" tIns="0" rIns="0" bIns="0">
                        <a:noAutofit/>
                      </wps:bodyPr>
                    </wps:wsp>
                  </a:graphicData>
                </a:graphic>
              </wp:anchor>
            </w:drawing>
          </mc:Choice>
          <mc:Fallback>
            <w:pict>
              <v:rect fillcolor="#FFFFFF" style="position:absolute;rotation:0;width:414.4pt;height:530.2pt;mso-wrap-distance-left:0pt;mso-wrap-distance-right:9pt;mso-wrap-distance-top:0pt;mso-wrap-distance-bottom:0pt;margin-top:103.25pt;mso-position-vertical-relative:page;margin-left:0pt;mso-position-horizontal:left;mso-position-horizontal-relative:margin">
                <v:fill opacity="0f"/>
                <v:textbox inset="0in,0in,0in,0in">
                  <w:txbxContent>
                    <w:tbl>
                      <w:tblPr>
                        <w:tblW w:w="8288" w:type="dxa"/>
                        <w:jc w:val="left"/>
                        <w:tblInd w:w="0" w:type="dxa"/>
                        <w:tblLayout w:type="fixed"/>
                        <w:tblCellMar>
                          <w:top w:w="0" w:type="dxa"/>
                          <w:left w:w="0" w:type="dxa"/>
                          <w:bottom w:w="0" w:type="dxa"/>
                          <w:right w:w="0" w:type="dxa"/>
                        </w:tblCellMar>
                      </w:tblPr>
                      <w:tblGrid>
                        <w:gridCol w:w="570"/>
                        <w:gridCol w:w="1454"/>
                        <w:gridCol w:w="864"/>
                        <w:gridCol w:w="900"/>
                        <w:gridCol w:w="900"/>
                        <w:gridCol w:w="900"/>
                        <w:gridCol w:w="900"/>
                        <w:gridCol w:w="900"/>
                        <w:gridCol w:w="900"/>
                      </w:tblGrid>
                      <w:tr>
                        <w:trPr>
                          <w:trHeight w:val="1060" w:hRule="atLeast"/>
                        </w:trPr>
                        <w:tc>
                          <w:tcPr>
                            <w:tcW w:w="8288" w:type="dxa"/>
                            <w:gridSpan w:val="9"/>
                            <w:tcBorders>
                              <w:bottom w:val="single" w:sz="4" w:space="0" w:color="000000"/>
                            </w:tcBorders>
                          </w:tcPr>
                          <w:p>
                            <w:pPr>
                              <w:pStyle w:val="Normal"/>
                              <w:jc w:val="center"/>
                              <w:rPr/>
                            </w:pPr>
                            <w:r>
                              <w:rPr>
                                <w:rFonts w:ascii="SimHei" w:hAnsi="SimHei" w:eastAsia="黑体" w:cs="SimHei"/>
                                <w:b/>
                                <w:bCs/>
                                <w:sz w:val="30"/>
                                <w:szCs w:val="28"/>
                              </w:rPr>
                              <w:t>宏华公司预算执行信息反馈表</w:t>
                            </w:r>
                          </w:p>
                          <w:p>
                            <w:pPr>
                              <w:pStyle w:val="Normal"/>
                              <w:jc w:val="center"/>
                              <w:rPr>
                                <w:rFonts w:ascii="SimHei" w:hAnsi="SimHei" w:eastAsia="黑体" w:cs="SimHei"/>
                                <w:b/>
                                <w:b/>
                                <w:bCs/>
                                <w:sz w:val="18"/>
                                <w:szCs w:val="28"/>
                              </w:rPr>
                            </w:pPr>
                            <w:r>
                              <w:rPr>
                                <w:rFonts w:ascii="SimHei" w:hAnsi="SimHei" w:eastAsia="黑体" w:cs="SimHei"/>
                                <w:b/>
                                <w:bCs/>
                                <w:sz w:val="18"/>
                                <w:szCs w:val="28"/>
                              </w:rPr>
                              <w:t>　　　　　　　　　　　　　　　　　　　　　　　　　　　　　　　　　№</w:t>
                            </w:r>
                          </w:p>
                          <w:p>
                            <w:pPr>
                              <w:pStyle w:val="Normal"/>
                              <w:jc w:val="left"/>
                              <w:rPr>
                                <w:rFonts w:ascii="SimHei" w:hAnsi="SimHei" w:eastAsia="黑体" w:cs="SimHei"/>
                                <w:sz w:val="24"/>
                                <w:szCs w:val="28"/>
                              </w:rPr>
                            </w:pPr>
                            <w:r>
                              <w:rPr>
                                <w:rFonts w:ascii="SimHei" w:hAnsi="SimHei" w:eastAsia="黑体" w:cs="SimHei"/>
                                <w:sz w:val="24"/>
                              </w:rPr>
                              <w:t>职能部门：　　　　　</w:t>
                            </w:r>
                            <w:r>
                              <w:rPr>
                                <w:rFonts w:ascii="SimHei" w:hAnsi="SimHei" w:eastAsia="黑体" w:cs="SimHei"/>
                                <w:sz w:val="24"/>
                                <w:szCs w:val="28"/>
                              </w:rPr>
                              <w:t xml:space="preserve">       预算项目：     </w:t>
                            </w:r>
                            <w:r>
                              <w:rPr>
                                <w:rFonts w:ascii="SimHei" w:hAnsi="SimHei" w:eastAsia="黑体" w:cs="SimHei"/>
                                <w:sz w:val="24"/>
                              </w:rPr>
                              <w:t xml:space="preserve"> 　　　　　　日期：</w:t>
                            </w:r>
                          </w:p>
                        </w:tc>
                      </w:tr>
                      <w:tr>
                        <w:trPr>
                          <w:trHeight w:val="375" w:hRule="atLeast"/>
                          <w:cantSplit w:val="true"/>
                        </w:trPr>
                        <w:tc>
                          <w:tcPr>
                            <w:tcW w:w="570" w:type="dxa"/>
                            <w:vMerge w:val="restart"/>
                            <w:tcBorders>
                              <w:top w:val="single" w:sz="4" w:space="0" w:color="000000"/>
                              <w:left w:val="single" w:sz="4" w:space="0" w:color="000000"/>
                            </w:tcBorders>
                            <w:vAlign w:val="center"/>
                          </w:tcPr>
                          <w:p>
                            <w:pPr>
                              <w:pStyle w:val="Normal"/>
                              <w:jc w:val="center"/>
                              <w:rPr>
                                <w:rFonts w:ascii="SimHei" w:hAnsi="SimHei" w:eastAsia="黑体" w:cs="SimHei"/>
                              </w:rPr>
                            </w:pPr>
                            <w:r>
                              <w:rPr>
                                <w:rFonts w:ascii="SimHei" w:hAnsi="SimHei" w:eastAsia="黑体" w:cs="SimHei"/>
                              </w:rPr>
                              <w:t>序</w:t>
                            </w:r>
                          </w:p>
                          <w:p>
                            <w:pPr>
                              <w:pStyle w:val="Normal"/>
                              <w:jc w:val="center"/>
                              <w:rPr>
                                <w:rFonts w:ascii="SimHei" w:hAnsi="SimHei" w:eastAsia="黑体" w:cs="SimHei"/>
                              </w:rPr>
                            </w:pPr>
                            <w:r>
                              <w:rPr>
                                <w:rFonts w:ascii="SimHei" w:hAnsi="SimHei" w:eastAsia="黑体" w:cs="SimHei"/>
                              </w:rPr>
                              <w:t>号</w:t>
                            </w:r>
                          </w:p>
                        </w:tc>
                        <w:tc>
                          <w:tcPr>
                            <w:tcW w:w="1454" w:type="dxa"/>
                            <w:vMerge w:val="restart"/>
                            <w:tcBorders>
                              <w:top w:val="single" w:sz="4" w:space="0" w:color="000000"/>
                              <w:left w:val="single" w:sz="4" w:space="0" w:color="000000"/>
                              <w:right w:val="single" w:sz="4" w:space="0" w:color="000000"/>
                            </w:tcBorders>
                            <w:tcMar>
                              <w:top w:w="14" w:type="dxa"/>
                              <w:left w:w="14" w:type="dxa"/>
                              <w:right w:w="14" w:type="dxa"/>
                            </w:tcMar>
                            <w:vAlign w:val="center"/>
                          </w:tcPr>
                          <w:p>
                            <w:pPr>
                              <w:pStyle w:val="Normal"/>
                              <w:jc w:val="center"/>
                              <w:rPr>
                                <w:rFonts w:ascii="SimHei" w:hAnsi="SimHei" w:eastAsia="黑体" w:cs="SimHei"/>
                              </w:rPr>
                            </w:pPr>
                            <w:r>
                              <w:rPr>
                                <w:rFonts w:ascii="SimHei" w:hAnsi="SimHei" w:eastAsia="黑体" w:cs="SimHei"/>
                              </w:rPr>
                              <w:t>公司（部门）</w:t>
                            </w:r>
                          </w:p>
                        </w:tc>
                        <w:tc>
                          <w:tcPr>
                            <w:tcW w:w="1764" w:type="dxa"/>
                            <w:gridSpan w:val="2"/>
                            <w:tcBorders>
                              <w:top w:val="single" w:sz="4" w:space="0" w:color="000000"/>
                              <w:bottom w:val="single" w:sz="4" w:space="0" w:color="000000"/>
                              <w:right w:val="single" w:sz="4" w:space="0" w:color="000000"/>
                            </w:tcBorders>
                            <w:tcMar>
                              <w:top w:w="14" w:type="dxa"/>
                              <w:left w:w="14" w:type="dxa"/>
                              <w:right w:w="14" w:type="dxa"/>
                            </w:tcMar>
                            <w:vAlign w:val="center"/>
                          </w:tcPr>
                          <w:p>
                            <w:pPr>
                              <w:pStyle w:val="Normal"/>
                              <w:jc w:val="center"/>
                              <w:rPr>
                                <w:rFonts w:ascii="SimHei" w:hAnsi="SimHei" w:eastAsia="黑体" w:cs="SimHei"/>
                              </w:rPr>
                            </w:pPr>
                            <w:r>
                              <w:rPr>
                                <w:rFonts w:ascii="SimHei" w:hAnsi="SimHei" w:eastAsia="黑体" w:cs="SimHei"/>
                              </w:rPr>
                              <w:t>预算计划</w:t>
                            </w:r>
                          </w:p>
                        </w:tc>
                        <w:tc>
                          <w:tcPr>
                            <w:tcW w:w="1800" w:type="dxa"/>
                            <w:gridSpan w:val="2"/>
                            <w:tcBorders>
                              <w:bottom w:val="single" w:sz="4" w:space="0" w:color="000000"/>
                              <w:right w:val="single" w:sz="4" w:space="0" w:color="000000"/>
                            </w:tcBorders>
                            <w:tcMar>
                              <w:top w:w="14" w:type="dxa"/>
                              <w:left w:w="14" w:type="dxa"/>
                              <w:right w:w="14" w:type="dxa"/>
                            </w:tcMar>
                            <w:vAlign w:val="center"/>
                          </w:tcPr>
                          <w:p>
                            <w:pPr>
                              <w:pStyle w:val="Normal"/>
                              <w:jc w:val="center"/>
                              <w:rPr>
                                <w:rFonts w:ascii="SimHei" w:hAnsi="SimHei" w:eastAsia="黑体" w:cs="SimHei"/>
                              </w:rPr>
                            </w:pPr>
                            <w:r>
                              <w:rPr>
                                <w:rFonts w:ascii="SimHei" w:hAnsi="SimHei" w:eastAsia="黑体" w:cs="SimHei"/>
                              </w:rPr>
                              <w:t>实际完成</w:t>
                            </w:r>
                          </w:p>
                        </w:tc>
                        <w:tc>
                          <w:tcPr>
                            <w:tcW w:w="1800" w:type="dxa"/>
                            <w:gridSpan w:val="2"/>
                            <w:tcBorders>
                              <w:top w:val="single" w:sz="4" w:space="0" w:color="000000"/>
                              <w:bottom w:val="single" w:sz="4" w:space="0" w:color="000000"/>
                              <w:right w:val="single" w:sz="4" w:space="0" w:color="000000"/>
                            </w:tcBorders>
                            <w:tcMar>
                              <w:top w:w="14" w:type="dxa"/>
                              <w:left w:w="14" w:type="dxa"/>
                              <w:right w:w="14" w:type="dxa"/>
                            </w:tcMar>
                            <w:vAlign w:val="center"/>
                          </w:tcPr>
                          <w:p>
                            <w:pPr>
                              <w:pStyle w:val="Normal"/>
                              <w:jc w:val="center"/>
                              <w:rPr>
                                <w:rFonts w:ascii="SimHei" w:hAnsi="SimHei" w:eastAsia="黑体" w:cs="SimHei"/>
                              </w:rPr>
                            </w:pPr>
                            <w:r>
                              <w:rPr>
                                <w:rFonts w:ascii="SimHei" w:hAnsi="SimHei" w:eastAsia="黑体" w:cs="SimHei"/>
                              </w:rPr>
                              <w:t>盈超（</w:t>
                            </w:r>
                            <w:r>
                              <w:rPr>
                                <w:rFonts w:ascii="SimHei" w:hAnsi="SimHei" w:eastAsia="黑体" w:cs="SimHei"/>
                              </w:rPr>
                              <w:t>+/-</w:t>
                            </w:r>
                            <w:r>
                              <w:rPr>
                                <w:rFonts w:ascii="SimHei" w:hAnsi="SimHei" w:eastAsia="黑体" w:cs="SimHei"/>
                              </w:rPr>
                              <w:t>）</w:t>
                            </w:r>
                          </w:p>
                        </w:tc>
                        <w:tc>
                          <w:tcPr>
                            <w:tcW w:w="900" w:type="dxa"/>
                            <w:vMerge w:val="restart"/>
                            <w:tcBorders>
                              <w:top w:val="single" w:sz="4" w:space="0" w:color="000000"/>
                              <w:right w:val="single" w:sz="4" w:space="0" w:color="000000"/>
                            </w:tcBorders>
                            <w:vAlign w:val="center"/>
                          </w:tcPr>
                          <w:p>
                            <w:pPr>
                              <w:pStyle w:val="Normal"/>
                              <w:jc w:val="center"/>
                              <w:rPr>
                                <w:rFonts w:ascii="SimHei" w:hAnsi="SimHei" w:eastAsia="黑体" w:cs="SimHei"/>
                              </w:rPr>
                            </w:pPr>
                            <w:r>
                              <w:rPr>
                                <w:rFonts w:ascii="SimHei" w:hAnsi="SimHei" w:eastAsia="黑体" w:cs="SimHei"/>
                              </w:rPr>
                              <w:t>备注</w:t>
                            </w:r>
                          </w:p>
                        </w:tc>
                      </w:tr>
                      <w:tr>
                        <w:trPr>
                          <w:trHeight w:val="375" w:hRule="atLeast"/>
                          <w:cantSplit w:val="true"/>
                        </w:trPr>
                        <w:tc>
                          <w:tcPr>
                            <w:tcW w:w="570" w:type="dxa"/>
                            <w:vMerge w:val="continue"/>
                            <w:tcBorders>
                              <w:top w:val="single" w:sz="4" w:space="0" w:color="000000"/>
                              <w:left w:val="single" w:sz="4" w:space="0" w:color="000000"/>
                            </w:tcBorders>
                            <w:vAlign w:val="center"/>
                          </w:tcPr>
                          <w:p>
                            <w:pPr>
                              <w:pStyle w:val="Normal"/>
                              <w:snapToGrid w:val="false"/>
                              <w:jc w:val="center"/>
                              <w:rPr>
                                <w:rFonts w:ascii="SimHei" w:hAnsi="SimHei" w:eastAsia="黑体" w:cs="SimHei"/>
                              </w:rPr>
                            </w:pPr>
                            <w:r>
                              <w:rPr>
                                <w:rFonts w:ascii="SimHei" w:hAnsi="SimHei" w:eastAsia="黑体" w:cs="SimHei"/>
                              </w:rPr>
                            </w:r>
                          </w:p>
                        </w:tc>
                        <w:tc>
                          <w:tcPr>
                            <w:tcW w:w="1454" w:type="dxa"/>
                            <w:vMerge w:val="continue"/>
                            <w:tcBorders>
                              <w:top w:val="single" w:sz="4" w:space="0" w:color="000000"/>
                              <w:left w:val="single" w:sz="4" w:space="0" w:color="000000"/>
                              <w:right w:val="single" w:sz="4" w:space="0" w:color="000000"/>
                            </w:tcBorders>
                            <w:tcMar>
                              <w:top w:w="14" w:type="dxa"/>
                              <w:left w:w="14" w:type="dxa"/>
                              <w:right w:w="14" w:type="dxa"/>
                            </w:tcMar>
                            <w:vAlign w:val="center"/>
                          </w:tcPr>
                          <w:p>
                            <w:pPr>
                              <w:pStyle w:val="Normal"/>
                              <w:snapToGrid w:val="false"/>
                              <w:jc w:val="center"/>
                              <w:rPr>
                                <w:rFonts w:ascii="SimHei" w:hAnsi="SimHei" w:eastAsia="黑体" w:cs="SimHei"/>
                              </w:rPr>
                            </w:pPr>
                            <w:r>
                              <w:rPr>
                                <w:rFonts w:ascii="SimHei" w:hAnsi="SimHei" w:eastAsia="黑体" w:cs="SimHei"/>
                              </w:rPr>
                            </w:r>
                          </w:p>
                        </w:tc>
                        <w:tc>
                          <w:tcPr>
                            <w:tcW w:w="864" w:type="dxa"/>
                            <w:tcBorders>
                              <w:top w:val="single" w:sz="4" w:space="0" w:color="000000"/>
                              <w:bottom w:val="single" w:sz="4" w:space="0" w:color="000000"/>
                              <w:right w:val="single" w:sz="4" w:space="0" w:color="000000"/>
                            </w:tcBorders>
                            <w:tcMar>
                              <w:top w:w="14" w:type="dxa"/>
                              <w:left w:w="14" w:type="dxa"/>
                              <w:right w:w="14" w:type="dxa"/>
                            </w:tcMar>
                            <w:vAlign w:val="center"/>
                          </w:tcPr>
                          <w:p>
                            <w:pPr>
                              <w:pStyle w:val="Normal"/>
                              <w:jc w:val="center"/>
                              <w:rPr>
                                <w:rFonts w:ascii="SimHei" w:hAnsi="SimHei" w:eastAsia="黑体" w:cs="SimHei"/>
                              </w:rPr>
                            </w:pPr>
                            <w:r>
                              <w:rPr>
                                <w:rFonts w:ascii="SimHei" w:hAnsi="SimHei" w:eastAsia="黑体" w:cs="SimHei"/>
                              </w:rPr>
                              <w:t>本期</w:t>
                            </w:r>
                          </w:p>
                        </w:tc>
                        <w:tc>
                          <w:tcPr>
                            <w:tcW w:w="900" w:type="dxa"/>
                            <w:tcBorders>
                              <w:top w:val="single" w:sz="4" w:space="0" w:color="000000"/>
                              <w:bottom w:val="single" w:sz="4" w:space="0" w:color="000000"/>
                              <w:right w:val="single" w:sz="4" w:space="0" w:color="000000"/>
                            </w:tcBorders>
                            <w:tcMar>
                              <w:top w:w="14" w:type="dxa"/>
                              <w:left w:w="14" w:type="dxa"/>
                              <w:right w:w="14" w:type="dxa"/>
                            </w:tcMar>
                            <w:vAlign w:val="center"/>
                          </w:tcPr>
                          <w:p>
                            <w:pPr>
                              <w:pStyle w:val="Normal"/>
                              <w:jc w:val="center"/>
                              <w:rPr>
                                <w:rFonts w:ascii="SimHei" w:hAnsi="SimHei" w:eastAsia="黑体" w:cs="SimHei"/>
                              </w:rPr>
                            </w:pPr>
                            <w:r>
                              <w:rPr>
                                <w:rFonts w:ascii="SimHei" w:hAnsi="SimHei" w:eastAsia="黑体" w:cs="SimHei"/>
                              </w:rPr>
                              <w:t>累计</w:t>
                            </w:r>
                          </w:p>
                        </w:tc>
                        <w:tc>
                          <w:tcPr>
                            <w:tcW w:w="900" w:type="dxa"/>
                            <w:tcBorders>
                              <w:bottom w:val="single" w:sz="4" w:space="0" w:color="000000"/>
                              <w:right w:val="single" w:sz="4" w:space="0" w:color="000000"/>
                            </w:tcBorders>
                            <w:tcMar>
                              <w:top w:w="14" w:type="dxa"/>
                              <w:left w:w="14" w:type="dxa"/>
                              <w:right w:w="14" w:type="dxa"/>
                            </w:tcMar>
                            <w:vAlign w:val="center"/>
                          </w:tcPr>
                          <w:p>
                            <w:pPr>
                              <w:pStyle w:val="Normal"/>
                              <w:jc w:val="center"/>
                              <w:rPr>
                                <w:rFonts w:ascii="SimHei" w:hAnsi="SimHei" w:eastAsia="黑体" w:cs="SimHei"/>
                              </w:rPr>
                            </w:pPr>
                            <w:r>
                              <w:rPr>
                                <w:rFonts w:ascii="SimHei" w:hAnsi="SimHei" w:eastAsia="黑体" w:cs="SimHei"/>
                              </w:rPr>
                              <w:t>本期</w:t>
                            </w:r>
                          </w:p>
                        </w:tc>
                        <w:tc>
                          <w:tcPr>
                            <w:tcW w:w="900" w:type="dxa"/>
                            <w:tcBorders>
                              <w:bottom w:val="single" w:sz="4" w:space="0" w:color="000000"/>
                              <w:right w:val="single" w:sz="4" w:space="0" w:color="000000"/>
                            </w:tcBorders>
                            <w:tcMar>
                              <w:top w:w="14" w:type="dxa"/>
                              <w:left w:w="14" w:type="dxa"/>
                              <w:right w:w="14" w:type="dxa"/>
                            </w:tcMar>
                            <w:vAlign w:val="center"/>
                          </w:tcPr>
                          <w:p>
                            <w:pPr>
                              <w:pStyle w:val="Normal"/>
                              <w:jc w:val="center"/>
                              <w:rPr>
                                <w:rFonts w:ascii="SimHei" w:hAnsi="SimHei" w:eastAsia="黑体" w:cs="SimHei"/>
                              </w:rPr>
                            </w:pPr>
                            <w:r>
                              <w:rPr>
                                <w:rFonts w:ascii="SimHei" w:hAnsi="SimHei" w:eastAsia="黑体" w:cs="SimHei"/>
                              </w:rPr>
                              <w:t>累计</w:t>
                            </w:r>
                          </w:p>
                        </w:tc>
                        <w:tc>
                          <w:tcPr>
                            <w:tcW w:w="900" w:type="dxa"/>
                            <w:tcBorders>
                              <w:top w:val="single" w:sz="4" w:space="0" w:color="000000"/>
                              <w:bottom w:val="single" w:sz="4" w:space="0" w:color="000000"/>
                              <w:right w:val="single" w:sz="4" w:space="0" w:color="000000"/>
                            </w:tcBorders>
                            <w:tcMar>
                              <w:top w:w="14" w:type="dxa"/>
                              <w:left w:w="14" w:type="dxa"/>
                              <w:right w:w="14" w:type="dxa"/>
                            </w:tcMar>
                            <w:vAlign w:val="center"/>
                          </w:tcPr>
                          <w:p>
                            <w:pPr>
                              <w:pStyle w:val="Normal"/>
                              <w:jc w:val="center"/>
                              <w:rPr>
                                <w:rFonts w:ascii="SimHei" w:hAnsi="SimHei" w:eastAsia="黑体" w:cs="SimHei"/>
                              </w:rPr>
                            </w:pPr>
                            <w:r>
                              <w:rPr>
                                <w:rFonts w:ascii="SimHei" w:hAnsi="SimHei" w:eastAsia="黑体" w:cs="SimHei"/>
                              </w:rPr>
                              <w:t>本期</w:t>
                            </w:r>
                          </w:p>
                        </w:tc>
                        <w:tc>
                          <w:tcPr>
                            <w:tcW w:w="900" w:type="dxa"/>
                            <w:tcBorders>
                              <w:top w:val="single" w:sz="4" w:space="0" w:color="000000"/>
                              <w:bottom w:val="single" w:sz="4" w:space="0" w:color="000000"/>
                              <w:right w:val="single" w:sz="4" w:space="0" w:color="000000"/>
                            </w:tcBorders>
                            <w:vAlign w:val="center"/>
                          </w:tcPr>
                          <w:p>
                            <w:pPr>
                              <w:pStyle w:val="Normal"/>
                              <w:jc w:val="center"/>
                              <w:rPr>
                                <w:rFonts w:ascii="SimHei" w:hAnsi="SimHei" w:eastAsia="黑体" w:cs="SimHei"/>
                              </w:rPr>
                            </w:pPr>
                            <w:r>
                              <w:rPr>
                                <w:rFonts w:ascii="SimHei" w:hAnsi="SimHei" w:eastAsia="黑体" w:cs="SimHei"/>
                              </w:rPr>
                              <w:t>累计</w:t>
                            </w:r>
                          </w:p>
                        </w:tc>
                        <w:tc>
                          <w:tcPr>
                            <w:tcW w:w="900" w:type="dxa"/>
                            <w:vMerge w:val="continue"/>
                            <w:tcBorders>
                              <w:top w:val="single" w:sz="4" w:space="0" w:color="000000"/>
                              <w:right w:val="single" w:sz="4" w:space="0" w:color="000000"/>
                            </w:tcBorders>
                            <w:vAlign w:val="center"/>
                          </w:tcPr>
                          <w:p>
                            <w:pPr>
                              <w:pStyle w:val="Normal"/>
                              <w:snapToGrid w:val="false"/>
                              <w:jc w:val="right"/>
                              <w:rPr>
                                <w:rFonts w:ascii="SimHei" w:hAnsi="SimHei" w:eastAsia="黑体" w:cs="SimHei"/>
                              </w:rPr>
                            </w:pPr>
                            <w:r>
                              <w:rPr>
                                <w:rFonts w:ascii="SimHei" w:hAnsi="SimHei" w:eastAsia="黑体" w:cs="SimHei"/>
                              </w:rPr>
                            </w:r>
                          </w:p>
                        </w:tc>
                      </w:tr>
                      <w:tr>
                        <w:trPr>
                          <w:trHeight w:val="390" w:hRule="atLeast"/>
                        </w:trPr>
                        <w:tc>
                          <w:tcPr>
                            <w:tcW w:w="570" w:type="dxa"/>
                            <w:tcBorders>
                              <w:left w:val="single" w:sz="4" w:space="0" w:color="000000"/>
                            </w:tcBorders>
                          </w:tcPr>
                          <w:p>
                            <w:pPr>
                              <w:pStyle w:val="Normal"/>
                              <w:jc w:val="center"/>
                              <w:rPr>
                                <w:rFonts w:ascii="SimHei" w:hAnsi="SimHei" w:eastAsia="黑体" w:cs="SimHei"/>
                              </w:rPr>
                            </w:pPr>
                            <w:r>
                              <w:rPr>
                                <w:rFonts w:ascii="SimHei" w:hAnsi="SimHei" w:eastAsia="黑体" w:cs="SimHei"/>
                              </w:rPr>
                              <w:t>1</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2</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3</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4</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5</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6</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7</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8</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left w:val="single" w:sz="4" w:space="0" w:color="000000"/>
                            </w:tcBorders>
                          </w:tcPr>
                          <w:p>
                            <w:pPr>
                              <w:pStyle w:val="Normal"/>
                              <w:jc w:val="center"/>
                              <w:rPr>
                                <w:rFonts w:ascii="SimHei" w:hAnsi="SimHei" w:eastAsia="黑体" w:cs="SimHei"/>
                              </w:rPr>
                            </w:pPr>
                            <w:r>
                              <w:rPr>
                                <w:rFonts w:ascii="SimHei" w:hAnsi="SimHei" w:eastAsia="黑体" w:cs="SimHei"/>
                              </w:rPr>
                              <w:t>9</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10</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11</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left w:val="single" w:sz="4" w:space="0" w:color="000000"/>
                            </w:tcBorders>
                          </w:tcPr>
                          <w:p>
                            <w:pPr>
                              <w:pStyle w:val="Normal"/>
                              <w:jc w:val="center"/>
                              <w:rPr>
                                <w:rFonts w:ascii="SimHei" w:hAnsi="SimHei" w:eastAsia="黑体" w:cs="SimHei"/>
                              </w:rPr>
                            </w:pPr>
                            <w:r>
                              <w:rPr>
                                <w:rFonts w:ascii="SimHei" w:hAnsi="SimHei" w:eastAsia="黑体" w:cs="SimHei"/>
                              </w:rPr>
                              <w:t>12</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13</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left w:val="single" w:sz="4" w:space="0" w:color="000000"/>
                            </w:tcBorders>
                          </w:tcPr>
                          <w:p>
                            <w:pPr>
                              <w:pStyle w:val="Normal"/>
                              <w:jc w:val="center"/>
                              <w:rPr>
                                <w:rFonts w:ascii="SimHei" w:hAnsi="SimHei" w:eastAsia="黑体" w:cs="SimHei"/>
                              </w:rPr>
                            </w:pPr>
                            <w:r>
                              <w:rPr>
                                <w:rFonts w:ascii="SimHei" w:hAnsi="SimHei" w:eastAsia="黑体" w:cs="SimHei"/>
                              </w:rPr>
                              <w:t>14</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15</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16</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17</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18</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left w:val="single" w:sz="4" w:space="0" w:color="000000"/>
                            </w:tcBorders>
                          </w:tcPr>
                          <w:p>
                            <w:pPr>
                              <w:pStyle w:val="Normal"/>
                              <w:jc w:val="center"/>
                              <w:rPr>
                                <w:rFonts w:ascii="SimHei" w:hAnsi="SimHei" w:eastAsia="黑体" w:cs="SimHei"/>
                              </w:rPr>
                            </w:pPr>
                            <w:r>
                              <w:rPr>
                                <w:rFonts w:ascii="SimHei" w:hAnsi="SimHei" w:eastAsia="黑体" w:cs="SimHei"/>
                              </w:rPr>
                              <w:t>19</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570" w:type="dxa"/>
                            <w:tcBorders>
                              <w:top w:val="single" w:sz="4" w:space="0" w:color="000000"/>
                              <w:left w:val="single" w:sz="4" w:space="0" w:color="000000"/>
                              <w:bottom w:val="single" w:sz="4" w:space="0" w:color="000000"/>
                            </w:tcBorders>
                          </w:tcPr>
                          <w:p>
                            <w:pPr>
                              <w:pStyle w:val="Normal"/>
                              <w:jc w:val="center"/>
                              <w:rPr>
                                <w:rFonts w:ascii="SimHei" w:hAnsi="SimHei" w:eastAsia="黑体" w:cs="SimHei"/>
                              </w:rPr>
                            </w:pPr>
                            <w:r>
                              <w:rPr>
                                <w:rFonts w:ascii="SimHei" w:hAnsi="SimHei" w:eastAsia="黑体" w:cs="SimHei"/>
                              </w:rPr>
                              <w:t>20</w:t>
                            </w:r>
                          </w:p>
                        </w:tc>
                        <w:tc>
                          <w:tcPr>
                            <w:tcW w:w="1454" w:type="dxa"/>
                            <w:tcBorders>
                              <w:left w:val="single" w:sz="4" w:space="0" w:color="000000"/>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2024" w:type="dxa"/>
                            <w:gridSpan w:val="2"/>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rPr>
                            </w:pPr>
                            <w:r>
                              <w:rPr>
                                <w:rFonts w:ascii="SimHei" w:hAnsi="SimHei" w:eastAsia="黑体" w:cs="SimHei"/>
                              </w:rPr>
                              <w:t>合　　计</w:t>
                            </w:r>
                          </w:p>
                        </w:tc>
                        <w:tc>
                          <w:tcPr>
                            <w:tcW w:w="864"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tcMar>
                              <w:top w:w="14" w:type="dxa"/>
                              <w:left w:w="14" w:type="dxa"/>
                              <w:right w:w="14" w:type="dxa"/>
                            </w:tcMar>
                            <w:vAlign w:val="bottom"/>
                          </w:tcPr>
                          <w:p>
                            <w:pPr>
                              <w:pStyle w:val="Normal"/>
                              <w:rPr>
                                <w:rFonts w:ascii="SimHei" w:hAnsi="SimHei" w:eastAsia="黑体" w:cs="SimHei"/>
                              </w:rPr>
                            </w:pPr>
                            <w:r>
                              <w:rPr>
                                <w:rFonts w:ascii="SimHei" w:hAnsi="SimHei" w:eastAsia="黑体" w:cs="SimHei"/>
                              </w:rPr>
                              <w:t>　</w:t>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c>
                          <w:tcPr>
                            <w:tcW w:w="900" w:type="dxa"/>
                            <w:tcBorders>
                              <w:bottom w:val="single" w:sz="4" w:space="0" w:color="000000"/>
                              <w:right w:val="single" w:sz="4" w:space="0" w:color="000000"/>
                            </w:tcBorders>
                            <w:vAlign w:val="bottom"/>
                          </w:tcPr>
                          <w:p>
                            <w:pPr>
                              <w:pStyle w:val="Normal"/>
                              <w:snapToGrid w:val="false"/>
                              <w:rPr>
                                <w:rFonts w:ascii="SimHei" w:hAnsi="SimHei" w:eastAsia="黑体" w:cs="SimHei"/>
                              </w:rPr>
                            </w:pPr>
                            <w:r>
                              <w:rPr>
                                <w:rFonts w:ascii="SimHei" w:hAnsi="SimHei" w:eastAsia="黑体" w:cs="SimHei"/>
                              </w:rPr>
                            </w:r>
                          </w:p>
                        </w:tc>
                      </w:tr>
                      <w:tr>
                        <w:trPr>
                          <w:trHeight w:val="390" w:hRule="atLeast"/>
                        </w:trPr>
                        <w:tc>
                          <w:tcPr>
                            <w:tcW w:w="8288" w:type="dxa"/>
                            <w:gridSpan w:val="9"/>
                            <w:tcBorders/>
                          </w:tcPr>
                          <w:p>
                            <w:pPr>
                              <w:pStyle w:val="Normal"/>
                              <w:rPr>
                                <w:rFonts w:ascii="SimHei" w:hAnsi="SimHei" w:eastAsia="黑体" w:cs="SimHei"/>
                                <w:sz w:val="24"/>
                              </w:rPr>
                            </w:pPr>
                            <w:r>
                              <w:rPr>
                                <w:rFonts w:ascii="SimHei" w:hAnsi="SimHei" w:eastAsia="黑体" w:cs="SimHei"/>
                                <w:sz w:val="24"/>
                              </w:rPr>
                              <w:t>预算负责人：　　　　　       复核人：    　　　　　　制表人：</w:t>
                            </w:r>
                          </w:p>
                          <w:p>
                            <w:pPr>
                              <w:pStyle w:val="Normal"/>
                              <w:rPr>
                                <w:rFonts w:ascii="SimHei" w:hAnsi="SimHei" w:eastAsia="黑体" w:cs="SimHei"/>
                                <w:sz w:val="24"/>
                              </w:rPr>
                            </w:pPr>
                            <w:r>
                              <w:rPr>
                                <w:rFonts w:ascii="SimHei" w:hAnsi="SimHei" w:eastAsia="黑体" w:cs="SimHei"/>
                                <w:sz w:val="24"/>
                              </w:rPr>
                            </w:r>
                          </w:p>
                        </w:tc>
                      </w:tr>
                    </w:tbl>
                  </w:txbxContent>
                </v:textbox>
                <w10:wrap type="square"/>
              </v:rect>
            </w:pict>
          </mc:Fallback>
        </mc:AlternateContent>
      </w:r>
    </w:p>
    <w:p>
      <w:pPr>
        <w:pStyle w:val="Normal"/>
        <w:rPr>
          <w:rFonts w:ascii="SimHei" w:hAnsi="SimHei" w:eastAsia="黑体" w:cs="SimHei"/>
          <w:sz w:val="24"/>
        </w:rPr>
      </w:pPr>
      <w:r>
        <w:rPr>
          <w:rFonts w:ascii="SimHei" w:hAnsi="SimHei" w:eastAsia="黑体" w:cs="SimHei"/>
          <w:sz w:val="24"/>
        </w:rPr>
        <w:t>附件二《预算调整申请表》</w:t>
      </w:r>
    </w:p>
    <w:p>
      <w:pPr>
        <w:pStyle w:val="Normal"/>
        <w:rPr>
          <w:rFonts w:ascii="SimHei" w:hAnsi="SimHei" w:eastAsia="黑体" w:cs="SimHei"/>
          <w:sz w:val="24"/>
        </w:rPr>
      </w:pPr>
      <w:r>
        <w:rPr>
          <w:rFonts w:ascii="SimHei" w:hAnsi="SimHei" w:eastAsia="黑体" w:cs="SimHei"/>
          <w:sz w:val="24"/>
        </w:rPr>
      </w:r>
    </w:p>
    <w:p>
      <w:pPr>
        <w:pStyle w:val="Normal"/>
        <w:jc w:val="center"/>
        <w:rPr>
          <w:rFonts w:ascii="SimHei" w:hAnsi="SimHei" w:eastAsia="黑体" w:cs="SimHei"/>
          <w:b/>
          <w:b/>
          <w:bCs/>
          <w:sz w:val="28"/>
        </w:rPr>
      </w:pPr>
      <w:r>
        <w:rPr>
          <w:rFonts w:ascii="SimHei" w:hAnsi="SimHei" w:eastAsia="黑体" w:cs="SimHei"/>
          <w:b/>
          <w:bCs/>
          <w:sz w:val="36"/>
        </w:rPr>
        <w:t>预算调整申请表</w:t>
      </w:r>
    </w:p>
    <w:p>
      <w:pPr>
        <w:pStyle w:val="Normal"/>
        <w:jc w:val="center"/>
        <w:rPr>
          <w:rFonts w:ascii="SimHei" w:hAnsi="SimHei" w:eastAsia="黑体" w:cs="SimHei"/>
          <w:b/>
          <w:b/>
          <w:bCs/>
          <w:sz w:val="28"/>
        </w:rPr>
      </w:pPr>
      <w:r>
        <w:rPr>
          <w:rFonts w:ascii="SimHei" w:hAnsi="SimHei" w:eastAsia="黑体" w:cs="SimHei"/>
          <w:b/>
          <w:bCs/>
          <w:sz w:val="28"/>
        </w:rPr>
        <w:t>　　　　　　　　　　　　　　　　　　　　　　　　№</w:t>
      </w:r>
    </w:p>
    <w:p>
      <w:pPr>
        <w:pStyle w:val="Normal"/>
        <w:rPr/>
      </w:pPr>
      <w:r>
        <w:rPr/>
        <w:t>单位（部门）：　　　　　　　　　　　　　　　　　　　　日期：</w:t>
      </w:r>
    </w:p>
    <w:tbl>
      <w:tblPr>
        <w:tblW w:w="9108" w:type="dxa"/>
        <w:jc w:val="left"/>
        <w:tblInd w:w="0" w:type="dxa"/>
        <w:tblLayout w:type="fixed"/>
        <w:tblCellMar>
          <w:top w:w="0" w:type="dxa"/>
          <w:left w:w="108" w:type="dxa"/>
          <w:bottom w:w="0" w:type="dxa"/>
          <w:right w:w="108" w:type="dxa"/>
        </w:tblCellMar>
      </w:tblPr>
      <w:tblGrid>
        <w:gridCol w:w="2628"/>
        <w:gridCol w:w="1080"/>
        <w:gridCol w:w="1980"/>
        <w:gridCol w:w="1980"/>
        <w:gridCol w:w="1440"/>
      </w:tblGrid>
      <w:tr>
        <w:trPr>
          <w:trHeight w:val="851" w:hRule="atLeast"/>
          <w:cantSplit w:val="true"/>
        </w:trPr>
        <w:tc>
          <w:tcPr>
            <w:tcW w:w="262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申请单位负责人</w:t>
            </w:r>
          </w:p>
        </w:tc>
        <w:tc>
          <w:tcPr>
            <w:tcW w:w="3060"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sz w:val="24"/>
              </w:rPr>
            </w:pPr>
            <w:r>
              <w:rPr>
                <w:rFonts w:ascii="SimHei" w:hAnsi="SimHei" w:eastAsia="黑体" w:cs="SimHei"/>
                <w:sz w:val="24"/>
              </w:rPr>
            </w:r>
          </w:p>
        </w:tc>
        <w:tc>
          <w:tcPr>
            <w:tcW w:w="1980" w:type="dxa"/>
            <w:tcBorders>
              <w:top w:val="single" w:sz="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sz w:val="24"/>
              </w:rPr>
            </w:pPr>
            <w:r>
              <w:rPr>
                <w:rFonts w:ascii="SimHei" w:hAnsi="SimHei" w:eastAsia="黑体" w:cs="SimHei"/>
                <w:sz w:val="24"/>
              </w:rPr>
              <w:t>申请单位经办人</w:t>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sz w:val="24"/>
              </w:rPr>
            </w:pPr>
            <w:r>
              <w:rPr>
                <w:rFonts w:ascii="SimHei" w:hAnsi="SimHei" w:eastAsia="黑体" w:cs="SimHei"/>
                <w:sz w:val="24"/>
              </w:rPr>
            </w:r>
          </w:p>
        </w:tc>
      </w:tr>
      <w:tr>
        <w:trPr>
          <w:trHeight w:val="851" w:hRule="atLeast"/>
        </w:trPr>
        <w:tc>
          <w:tcPr>
            <w:tcW w:w="262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调整内容</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原　因</w:t>
            </w:r>
          </w:p>
        </w:tc>
        <w:tc>
          <w:tcPr>
            <w:tcW w:w="1980" w:type="dxa"/>
            <w:tcBorders>
              <w:top w:val="single" w:sz="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sz w:val="24"/>
              </w:rPr>
            </w:pPr>
            <w:r>
              <w:rPr>
                <w:rFonts w:ascii="SimHei" w:hAnsi="SimHei" w:eastAsia="黑体" w:cs="SimHei"/>
                <w:sz w:val="24"/>
              </w:rPr>
              <w:t>采取措施及效果</w:t>
            </w:r>
          </w:p>
        </w:tc>
        <w:tc>
          <w:tcPr>
            <w:tcW w:w="198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 w:val="24"/>
              </w:rPr>
            </w:pPr>
            <w:r>
              <w:rPr>
                <w:rFonts w:ascii="SimHei" w:hAnsi="SimHei" w:eastAsia="黑体" w:cs="SimHei"/>
                <w:sz w:val="24"/>
              </w:rPr>
              <w:t>相关业绩调整</w:t>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sz w:val="24"/>
              </w:rPr>
            </w:pPr>
            <w:r>
              <w:rPr>
                <w:rFonts w:ascii="SimHei" w:hAnsi="SimHei" w:eastAsia="黑体" w:cs="SimHei"/>
                <w:sz w:val="24"/>
              </w:rPr>
              <w:t>调整后预算</w:t>
            </w:r>
          </w:p>
        </w:tc>
      </w:tr>
      <w:tr>
        <w:trPr>
          <w:trHeight w:val="851" w:hRule="atLeast"/>
        </w:trPr>
        <w:tc>
          <w:tcPr>
            <w:tcW w:w="262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08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4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trHeight w:val="851" w:hRule="atLeast"/>
        </w:trPr>
        <w:tc>
          <w:tcPr>
            <w:tcW w:w="262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08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4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trHeight w:val="851" w:hRule="atLeast"/>
        </w:trPr>
        <w:tc>
          <w:tcPr>
            <w:tcW w:w="262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08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4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trHeight w:val="851" w:hRule="atLeast"/>
        </w:trPr>
        <w:tc>
          <w:tcPr>
            <w:tcW w:w="262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08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4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trHeight w:val="851" w:hRule="atLeast"/>
        </w:trPr>
        <w:tc>
          <w:tcPr>
            <w:tcW w:w="262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08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4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trHeight w:val="851" w:hRule="atLeast"/>
        </w:trPr>
        <w:tc>
          <w:tcPr>
            <w:tcW w:w="262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08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98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c>
          <w:tcPr>
            <w:tcW w:w="14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trHeight w:val="851" w:hRule="atLeast"/>
          <w:cantSplit w:val="true"/>
        </w:trPr>
        <w:tc>
          <w:tcPr>
            <w:tcW w:w="2628"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ascii="SimHei" w:hAnsi="SimHei" w:eastAsia="黑体" w:cs="SimHei"/>
                <w:sz w:val="24"/>
              </w:rPr>
              <w:t>预算职能部门意见</w:t>
            </w:r>
          </w:p>
        </w:tc>
        <w:tc>
          <w:tcPr>
            <w:tcW w:w="6480" w:type="dxa"/>
            <w:gridSpan w:val="4"/>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trHeight w:val="851" w:hRule="atLeast"/>
          <w:cantSplit w:val="true"/>
        </w:trPr>
        <w:tc>
          <w:tcPr>
            <w:tcW w:w="2628"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ascii="SimHei" w:hAnsi="SimHei" w:eastAsia="黑体" w:cs="SimHei"/>
                <w:sz w:val="24"/>
              </w:rPr>
              <w:t>宏华分管领导意见</w:t>
            </w:r>
          </w:p>
        </w:tc>
        <w:tc>
          <w:tcPr>
            <w:tcW w:w="6480" w:type="dxa"/>
            <w:gridSpan w:val="4"/>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trHeight w:val="851" w:hRule="atLeast"/>
          <w:cantSplit w:val="true"/>
        </w:trPr>
        <w:tc>
          <w:tcPr>
            <w:tcW w:w="2628"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ascii="SimHei" w:hAnsi="SimHei" w:eastAsia="黑体" w:cs="SimHei"/>
                <w:sz w:val="24"/>
              </w:rPr>
              <w:t>宏华财务部意见</w:t>
            </w:r>
          </w:p>
        </w:tc>
        <w:tc>
          <w:tcPr>
            <w:tcW w:w="6480" w:type="dxa"/>
            <w:gridSpan w:val="4"/>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r>
        <w:trPr>
          <w:trHeight w:val="851" w:hRule="atLeast"/>
          <w:cantSplit w:val="true"/>
        </w:trPr>
        <w:tc>
          <w:tcPr>
            <w:tcW w:w="2628" w:type="dxa"/>
            <w:tcBorders>
              <w:top w:val="single" w:sz="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sz w:val="24"/>
              </w:rPr>
            </w:pPr>
            <w:r>
              <w:rPr>
                <w:rFonts w:ascii="SimHei" w:hAnsi="SimHei" w:eastAsia="黑体" w:cs="SimHei"/>
                <w:sz w:val="24"/>
              </w:rPr>
              <w:t>预算会议审批意见</w:t>
            </w:r>
          </w:p>
        </w:tc>
        <w:tc>
          <w:tcPr>
            <w:tcW w:w="6480" w:type="dxa"/>
            <w:gridSpan w:val="4"/>
            <w:tcBorders>
              <w:top w:val="single" w:sz="4" w:space="0" w:color="000000"/>
              <w:left w:val="single" w:sz="4" w:space="0" w:color="000000"/>
              <w:bottom w:val="single" w:sz="4" w:space="0" w:color="000000"/>
              <w:right w:val="single" w:sz="4" w:space="0" w:color="000000"/>
            </w:tcBorders>
          </w:tcPr>
          <w:p>
            <w:pPr>
              <w:pStyle w:val="Normal"/>
              <w:snapToGrid w:val="false"/>
              <w:rPr>
                <w:rFonts w:ascii="SimHei" w:hAnsi="SimHei" w:eastAsia="黑体" w:cs="SimHei"/>
                <w:sz w:val="24"/>
              </w:rPr>
            </w:pPr>
            <w:r>
              <w:rPr>
                <w:rFonts w:ascii="SimHei" w:hAnsi="SimHei" w:eastAsia="黑体" w:cs="SimHei"/>
                <w:sz w:val="24"/>
              </w:rPr>
            </w:r>
          </w:p>
        </w:tc>
      </w:tr>
    </w:tbl>
    <w:p>
      <w:pPr>
        <w:pStyle w:val="Normal"/>
        <w:rPr>
          <w:rFonts w:ascii="SimHei" w:hAnsi="SimHei" w:eastAsia="黑体" w:cs="SimHei"/>
          <w:sz w:val="24"/>
        </w:rPr>
      </w:pPr>
      <w:r>
        <w:rPr>
          <w:rFonts w:ascii="SimHei" w:hAnsi="SimHei" w:eastAsia="黑体" w:cs="SimHei"/>
          <w:sz w:val="24"/>
        </w:rPr>
      </w:r>
      <w:r>
        <w:br w:type="page"/>
      </w:r>
    </w:p>
    <w:p>
      <w:pPr>
        <w:pStyle w:val="Normal"/>
        <w:rPr>
          <w:rFonts w:ascii="SimHei" w:hAnsi="SimHei" w:eastAsia="黑体" w:cs="SimHei"/>
        </w:rPr>
      </w:pPr>
      <w:r>
        <w:rPr>
          <w:rFonts w:ascii="SimHei" w:hAnsi="SimHei" w:eastAsia="黑体" w:cs="SimHei"/>
        </w:rPr>
        <w:t>附件三《预算调整通知单》</w:t>
      </w:r>
    </w:p>
    <w:p>
      <w:pPr>
        <w:pStyle w:val="Normal"/>
        <w:rPr>
          <w:rFonts w:ascii="SimHei" w:hAnsi="SimHei" w:eastAsia="黑体" w:cs="SimHei"/>
        </w:rPr>
      </w:pPr>
      <w:r>
        <w:rPr>
          <w:rFonts w:ascii="SimHei" w:hAnsi="SimHei" w:eastAsia="黑体" w:cs="SimHei"/>
        </w:rPr>
      </w:r>
    </w:p>
    <w:p>
      <w:pPr>
        <w:pStyle w:val="Normal"/>
        <w:jc w:val="center"/>
        <w:rPr>
          <w:rFonts w:ascii="SimHei" w:hAnsi="SimHei" w:eastAsia="黑体" w:cs="SimHei"/>
          <w:b/>
          <w:b/>
          <w:bCs/>
          <w:sz w:val="44"/>
        </w:rPr>
      </w:pPr>
      <w:r>
        <w:rPr>
          <w:rFonts w:ascii="SimHei" w:hAnsi="SimHei" w:eastAsia="黑体" w:cs="SimHei"/>
          <w:b/>
          <w:bCs/>
          <w:sz w:val="44"/>
        </w:rPr>
        <w:t>预算调整通知单</w:t>
      </w:r>
    </w:p>
    <w:p>
      <w:pPr>
        <w:pStyle w:val="Normal"/>
        <w:rPr>
          <w:rFonts w:ascii="SimHei" w:hAnsi="SimHei" w:eastAsia="黑体" w:cs="SimHei"/>
          <w:b/>
          <w:b/>
          <w:bCs/>
        </w:rPr>
      </w:pPr>
      <w:r>
        <w:rPr>
          <w:rFonts w:ascii="SimHei" w:hAnsi="SimHei" w:eastAsia="黑体" w:cs="SimHei"/>
          <w:b/>
          <w:bCs/>
          <w:sz w:val="32"/>
        </w:rPr>
        <w:t>　</w:t>
      </w:r>
    </w:p>
    <w:p>
      <w:pPr>
        <w:pStyle w:val="Normal"/>
        <w:rPr>
          <w:rFonts w:ascii="SimHei" w:hAnsi="SimHei" w:eastAsia="黑体" w:cs="SimHei"/>
          <w:b/>
          <w:b/>
          <w:bCs/>
          <w:sz w:val="32"/>
        </w:rPr>
      </w:pPr>
      <w:r>
        <w:rPr>
          <w:rFonts w:ascii="SimHei" w:hAnsi="SimHei" w:eastAsia="黑体" w:cs="SimHei"/>
          <w:b/>
          <w:bCs/>
          <w:sz w:val="32"/>
        </w:rPr>
        <w:t>　　　　　　　　　　　　　　　　　　　　　№</w:t>
      </w:r>
    </w:p>
    <w:p>
      <w:pPr>
        <w:pStyle w:val="Normal"/>
        <w:rPr/>
      </w:pPr>
      <w:r>
        <w:rPr>
          <w:rFonts w:ascii="SimHei" w:hAnsi="SimHei" w:eastAsia="黑体" w:cs="SimHei"/>
          <w:b/>
          <w:bCs/>
          <w:sz w:val="32"/>
        </w:rPr>
        <w:softHyphen/>
        <w:softHyphen/>
        <w:softHyphen/>
        <w:softHyphen/>
      </w:r>
      <w:r>
        <w:rPr>
          <w:rFonts w:ascii="SimHei" w:hAnsi="SimHei" w:eastAsia="黑体" w:cs="SimHei"/>
          <w:b/>
          <w:bCs/>
          <w:sz w:val="32"/>
        </w:rPr>
        <w:t>____</w:t>
      </w:r>
      <w:r>
        <w:rPr>
          <w:rFonts w:ascii="SimHei" w:hAnsi="SimHei" w:eastAsia="黑体" w:cs="SimHei"/>
          <w:b/>
          <w:bCs/>
          <w:sz w:val="32"/>
        </w:rPr>
        <w:t>单位</w:t>
      </w:r>
      <w:r>
        <w:rPr>
          <w:rFonts w:ascii="SimHei" w:hAnsi="SimHei" w:eastAsia="黑体" w:cs="SimHei"/>
          <w:b/>
          <w:bCs/>
          <w:sz w:val="32"/>
        </w:rPr>
        <w:t>(</w:t>
      </w:r>
      <w:r>
        <w:rPr>
          <w:rFonts w:ascii="SimHei" w:hAnsi="SimHei" w:eastAsia="黑体" w:cs="SimHei"/>
          <w:b/>
          <w:bCs/>
          <w:sz w:val="32"/>
        </w:rPr>
        <w:t>部门</w:t>
      </w:r>
      <w:r>
        <w:rPr>
          <w:rFonts w:ascii="SimHei" w:hAnsi="SimHei" w:eastAsia="黑体" w:cs="SimHei"/>
          <w:b/>
          <w:bCs/>
          <w:sz w:val="32"/>
        </w:rPr>
        <w:t>)</w:t>
      </w:r>
      <w:r>
        <w:rPr>
          <w:rFonts w:ascii="SimHei" w:hAnsi="SimHei" w:eastAsia="黑体" w:cs="SimHei"/>
          <w:b/>
          <w:bCs/>
          <w:sz w:val="32"/>
        </w:rPr>
        <w:t>：</w:t>
      </w:r>
    </w:p>
    <w:p>
      <w:pPr>
        <w:pStyle w:val="Normal"/>
        <w:ind w:left="643" w:hanging="0"/>
        <w:rPr>
          <w:rFonts w:ascii="SimHei" w:hAnsi="SimHei" w:eastAsia="黑体" w:cs="SimHei"/>
          <w:b/>
          <w:b/>
          <w:bCs/>
          <w:sz w:val="32"/>
        </w:rPr>
      </w:pPr>
      <w:r>
        <w:rPr>
          <w:rFonts w:ascii="SimHei" w:hAnsi="SimHei" w:eastAsia="黑体" w:cs="SimHei"/>
          <w:b/>
          <w:bCs/>
          <w:sz w:val="32"/>
        </w:rPr>
        <w:t>你部№　　　预算申请已经预算会议审议批准，从　　年　　月起按批准后预算计划执行，特此通知。</w:t>
      </w:r>
    </w:p>
    <w:p>
      <w:pPr>
        <w:pStyle w:val="Normal"/>
        <w:ind w:firstLine="645"/>
        <w:rPr>
          <w:rFonts w:ascii="SimHei" w:hAnsi="SimHei" w:eastAsia="黑体" w:cs="SimHei"/>
          <w:b/>
          <w:b/>
          <w:bCs/>
          <w:sz w:val="32"/>
        </w:rPr>
      </w:pPr>
      <w:r>
        <w:rPr>
          <w:rFonts w:ascii="SimHei" w:hAnsi="SimHei" w:eastAsia="黑体" w:cs="SimHei"/>
          <w:b/>
          <w:bCs/>
          <w:sz w:val="32"/>
        </w:rPr>
      </w:r>
    </w:p>
    <w:p>
      <w:pPr>
        <w:pStyle w:val="Normal"/>
        <w:ind w:firstLine="645"/>
        <w:rPr>
          <w:rFonts w:ascii="SimHei" w:hAnsi="SimHei" w:eastAsia="黑体" w:cs="SimHei"/>
          <w:b/>
          <w:b/>
          <w:bCs/>
          <w:sz w:val="32"/>
        </w:rPr>
      </w:pPr>
      <w:r>
        <w:rPr>
          <w:rFonts w:ascii="SimHei" w:hAnsi="SimHei" w:eastAsia="黑体" w:cs="SimHei"/>
          <w:b/>
          <w:bCs/>
          <w:sz w:val="32"/>
        </w:rPr>
        <w:t>　　　　　　　　　　　　　　　宏华财务部</w:t>
      </w:r>
    </w:p>
    <w:p>
      <w:pPr>
        <w:pStyle w:val="Normal"/>
        <w:ind w:firstLine="645"/>
        <w:rPr>
          <w:rFonts w:ascii="SimHei" w:hAnsi="SimHei" w:eastAsia="黑体" w:cs="SimHei"/>
          <w:b/>
          <w:b/>
          <w:bCs/>
          <w:sz w:val="32"/>
        </w:rPr>
      </w:pPr>
      <w:r>
        <w:rPr>
          <w:rFonts w:ascii="SimHei" w:hAnsi="SimHei" w:eastAsia="黑体" w:cs="SimHei"/>
          <w:b/>
          <w:bCs/>
          <w:sz w:val="32"/>
        </w:rPr>
        <w:t>　　　　　　　　　　　　　　　二</w:t>
      </w:r>
      <w:r>
        <w:rPr>
          <w:rFonts w:ascii="SimHei" w:hAnsi="SimHei" w:eastAsia="黑体" w:cs="SimHei"/>
          <w:b/>
          <w:bCs/>
          <w:sz w:val="32"/>
        </w:rPr>
        <w:t>00</w:t>
      </w:r>
      <w:r>
        <w:rPr>
          <w:rFonts w:ascii="SimHei" w:hAnsi="SimHei" w:eastAsia="黑体" w:cs="SimHei"/>
          <w:b/>
          <w:bCs/>
          <w:sz w:val="32"/>
        </w:rPr>
        <w:t>　年　月　日</w:t>
      </w:r>
      <w:r>
        <w:br w:type="page"/>
      </w:r>
    </w:p>
    <w:p>
      <w:pPr>
        <w:pStyle w:val="Normal"/>
        <w:ind w:firstLine="645"/>
        <w:rPr>
          <w:rFonts w:ascii="SimHei" w:hAnsi="SimHei" w:eastAsia="黑体" w:cs="SimHei"/>
          <w:b/>
          <w:b/>
          <w:bCs/>
          <w:sz w:val="32"/>
        </w:rPr>
      </w:pPr>
      <w:r>
        <w:rPr>
          <w:rFonts w:ascii="SimHei" w:hAnsi="SimHei" w:eastAsia="黑体" w:cs="SimHei"/>
          <w:sz w:val="24"/>
        </w:rPr>
        <w:t>附件四《仲裁决议书》</w:t>
      </w:r>
    </w:p>
    <w:p>
      <w:pPr>
        <w:pStyle w:val="Normal"/>
        <w:ind w:firstLine="645"/>
        <w:jc w:val="center"/>
        <w:rPr>
          <w:rFonts w:ascii="SimHei" w:hAnsi="SimHei" w:eastAsia="黑体" w:cs="SimHei"/>
          <w:b/>
          <w:b/>
          <w:bCs/>
          <w:sz w:val="44"/>
        </w:rPr>
      </w:pPr>
      <w:r>
        <w:rPr>
          <w:rFonts w:ascii="SimHei" w:hAnsi="SimHei" w:eastAsia="黑体" w:cs="SimHei"/>
          <w:b/>
          <w:bCs/>
          <w:sz w:val="44"/>
        </w:rPr>
      </w:r>
    </w:p>
    <w:p>
      <w:pPr>
        <w:pStyle w:val="Normal"/>
        <w:ind w:firstLine="2385"/>
        <w:rPr>
          <w:rFonts w:ascii="SimHei" w:hAnsi="SimHei" w:eastAsia="黑体" w:cs="SimHei"/>
          <w:b/>
          <w:b/>
          <w:bCs/>
          <w:sz w:val="44"/>
        </w:rPr>
      </w:pPr>
      <w:r>
        <w:rPr>
          <w:rFonts w:ascii="SimHei" w:hAnsi="SimHei" w:eastAsia="黑体" w:cs="SimHei"/>
          <w:b/>
          <w:bCs/>
          <w:sz w:val="44"/>
        </w:rPr>
        <w:t>预算仲裁决议书</w:t>
      </w:r>
    </w:p>
    <w:p>
      <w:pPr>
        <w:pStyle w:val="Normal"/>
        <w:ind w:firstLine="645"/>
        <w:rPr>
          <w:rFonts w:ascii="SimHei" w:hAnsi="SimHei" w:eastAsia="黑体" w:cs="SimHei"/>
          <w:b/>
          <w:b/>
          <w:bCs/>
          <w:sz w:val="32"/>
        </w:rPr>
      </w:pPr>
      <w:r>
        <w:rPr>
          <w:rFonts w:ascii="SimHei" w:hAnsi="SimHei" w:eastAsia="黑体" w:cs="SimHei"/>
          <w:b/>
          <w:bCs/>
          <w:sz w:val="32"/>
        </w:rPr>
        <w:t>　　　　　　　　　　　　　</w:t>
      </w:r>
    </w:p>
    <w:p>
      <w:pPr>
        <w:pStyle w:val="Normal"/>
        <w:ind w:right="642" w:firstLine="645"/>
        <w:jc w:val="right"/>
        <w:rPr/>
      </w:pPr>
      <w:r>
        <w:rPr/>
        <w:t>宏华裁字第　号</w:t>
      </w:r>
    </w:p>
    <w:tbl>
      <w:tblPr>
        <w:tblW w:w="8522" w:type="dxa"/>
        <w:jc w:val="left"/>
        <w:tblInd w:w="0" w:type="dxa"/>
        <w:tblLayout w:type="fixed"/>
        <w:tblCellMar>
          <w:top w:w="0" w:type="dxa"/>
          <w:left w:w="108" w:type="dxa"/>
          <w:bottom w:w="0" w:type="dxa"/>
          <w:right w:w="108" w:type="dxa"/>
        </w:tblCellMar>
      </w:tblPr>
      <w:tblGrid>
        <w:gridCol w:w="8522"/>
      </w:tblGrid>
      <w:tr>
        <w:trPr/>
        <w:tc>
          <w:tcPr>
            <w:tcW w:w="8522"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b/>
                <w:b/>
                <w:bCs/>
                <w:sz w:val="32"/>
              </w:rPr>
            </w:pPr>
            <w:r>
              <w:rPr>
                <w:rFonts w:ascii="SimHei" w:hAnsi="SimHei" w:eastAsia="黑体" w:cs="SimHei"/>
                <w:b/>
                <w:bCs/>
                <w:sz w:val="32"/>
              </w:rPr>
              <w:t>申诉方：</w:t>
            </w:r>
          </w:p>
        </w:tc>
      </w:tr>
      <w:tr>
        <w:trPr/>
        <w:tc>
          <w:tcPr>
            <w:tcW w:w="8522"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b/>
                <w:b/>
                <w:bCs/>
                <w:sz w:val="32"/>
              </w:rPr>
            </w:pPr>
            <w:r>
              <w:rPr>
                <w:rFonts w:ascii="SimHei" w:hAnsi="SimHei" w:eastAsia="黑体" w:cs="SimHei"/>
                <w:b/>
                <w:bCs/>
                <w:sz w:val="32"/>
              </w:rPr>
              <w:t>被诉方：</w:t>
            </w:r>
          </w:p>
        </w:tc>
      </w:tr>
      <w:tr>
        <w:trPr>
          <w:trHeight w:val="2268" w:hRule="atLeast"/>
        </w:trPr>
        <w:tc>
          <w:tcPr>
            <w:tcW w:w="8522"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b/>
                <w:b/>
                <w:bCs/>
                <w:sz w:val="32"/>
              </w:rPr>
            </w:pPr>
            <w:r>
              <w:rPr>
                <w:rFonts w:ascii="SimHei" w:hAnsi="SimHei" w:eastAsia="黑体" w:cs="SimHei"/>
                <w:b/>
                <w:bCs/>
                <w:sz w:val="32"/>
              </w:rPr>
              <w:t>事由：</w:t>
            </w:r>
          </w:p>
        </w:tc>
      </w:tr>
      <w:tr>
        <w:trPr>
          <w:trHeight w:val="2268" w:hRule="atLeast"/>
        </w:trPr>
        <w:tc>
          <w:tcPr>
            <w:tcW w:w="8522"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b/>
                <w:b/>
                <w:bCs/>
                <w:sz w:val="32"/>
              </w:rPr>
            </w:pPr>
            <w:r>
              <w:rPr>
                <w:rFonts w:ascii="SimHei" w:hAnsi="SimHei" w:eastAsia="黑体" w:cs="SimHei"/>
                <w:b/>
                <w:bCs/>
                <w:sz w:val="32"/>
              </w:rPr>
              <w:t>查明：</w:t>
            </w:r>
          </w:p>
        </w:tc>
      </w:tr>
      <w:tr>
        <w:trPr>
          <w:trHeight w:val="2268" w:hRule="atLeast"/>
        </w:trPr>
        <w:tc>
          <w:tcPr>
            <w:tcW w:w="8522" w:type="dxa"/>
            <w:tcBorders>
              <w:top w:val="single" w:sz="4" w:space="0" w:color="000000"/>
              <w:left w:val="single" w:sz="4" w:space="0" w:color="000000"/>
              <w:bottom w:val="single" w:sz="4" w:space="0" w:color="000000"/>
              <w:right w:val="single" w:sz="4" w:space="0" w:color="000000"/>
            </w:tcBorders>
          </w:tcPr>
          <w:p>
            <w:pPr>
              <w:pStyle w:val="Normal"/>
              <w:rPr>
                <w:rFonts w:ascii="SimHei" w:hAnsi="SimHei" w:eastAsia="黑体" w:cs="SimHei"/>
                <w:b/>
                <w:b/>
                <w:bCs/>
                <w:sz w:val="32"/>
              </w:rPr>
            </w:pPr>
            <w:r>
              <w:rPr>
                <w:rFonts w:ascii="SimHei" w:hAnsi="SimHei" w:eastAsia="黑体" w:cs="SimHei"/>
                <w:b/>
                <w:bCs/>
                <w:sz w:val="32"/>
              </w:rPr>
              <w:t>本预算会议认为：</w:t>
            </w:r>
          </w:p>
          <w:p>
            <w:pPr>
              <w:pStyle w:val="Normal"/>
              <w:rPr>
                <w:rFonts w:ascii="SimHei" w:hAnsi="SimHei" w:eastAsia="黑体" w:cs="SimHei"/>
                <w:b/>
                <w:b/>
                <w:bCs/>
                <w:sz w:val="32"/>
              </w:rPr>
            </w:pPr>
            <w:r>
              <w:rPr>
                <w:rFonts w:ascii="SimHei" w:hAnsi="SimHei" w:eastAsia="黑体" w:cs="SimHei"/>
                <w:b/>
                <w:bCs/>
                <w:sz w:val="32"/>
              </w:rPr>
            </w:r>
          </w:p>
          <w:p>
            <w:pPr>
              <w:pStyle w:val="Normal"/>
              <w:rPr>
                <w:rFonts w:ascii="SimHei" w:hAnsi="SimHei" w:eastAsia="黑体" w:cs="SimHei"/>
                <w:b/>
                <w:b/>
                <w:bCs/>
                <w:sz w:val="32"/>
              </w:rPr>
            </w:pPr>
            <w:r>
              <w:rPr>
                <w:rFonts w:ascii="SimHei" w:hAnsi="SimHei" w:eastAsia="黑体" w:cs="SimHei"/>
                <w:b/>
                <w:bCs/>
                <w:sz w:val="32"/>
              </w:rPr>
            </w:r>
          </w:p>
          <w:p>
            <w:pPr>
              <w:pStyle w:val="Normal"/>
              <w:rPr>
                <w:rFonts w:ascii="SimHei" w:hAnsi="SimHei" w:eastAsia="黑体" w:cs="SimHei"/>
                <w:b/>
                <w:b/>
                <w:bCs/>
                <w:sz w:val="32"/>
              </w:rPr>
            </w:pPr>
            <w:r>
              <w:rPr>
                <w:rFonts w:ascii="SimHei" w:hAnsi="SimHei" w:eastAsia="黑体" w:cs="SimHei"/>
                <w:b/>
                <w:bCs/>
                <w:sz w:val="32"/>
              </w:rPr>
            </w:r>
          </w:p>
        </w:tc>
      </w:tr>
      <w:tr>
        <w:trPr/>
        <w:tc>
          <w:tcPr>
            <w:tcW w:w="8522" w:type="dxa"/>
            <w:tcBorders>
              <w:top w:val="single" w:sz="4" w:space="0" w:color="000000"/>
              <w:left w:val="single" w:sz="4" w:space="0" w:color="000000"/>
              <w:bottom w:val="single" w:sz="4" w:space="0" w:color="000000"/>
              <w:right w:val="single" w:sz="4" w:space="0" w:color="000000"/>
            </w:tcBorders>
          </w:tcPr>
          <w:p>
            <w:pPr>
              <w:pStyle w:val="Normal"/>
              <w:rPr/>
            </w:pPr>
            <w:r>
              <w:rPr>
                <w:rFonts w:ascii="SimHei" w:hAnsi="SimHei" w:eastAsia="黑体" w:cs="SimHei"/>
                <w:b/>
                <w:bCs/>
                <w:sz w:val="32"/>
              </w:rPr>
              <w:t>本裁决为最终仲裁结论。　</w:t>
            </w:r>
          </w:p>
          <w:p>
            <w:pPr>
              <w:pStyle w:val="Normal"/>
              <w:ind w:firstLine="5456"/>
              <w:rPr>
                <w:rFonts w:ascii="SimHei" w:hAnsi="SimHei" w:eastAsia="黑体" w:cs="SimHei"/>
                <w:b/>
                <w:b/>
                <w:bCs/>
                <w:sz w:val="32"/>
              </w:rPr>
            </w:pPr>
            <w:r>
              <w:rPr>
                <w:rFonts w:ascii="SimHei" w:hAnsi="SimHei" w:eastAsia="黑体" w:cs="SimHei"/>
                <w:b/>
                <w:bCs/>
                <w:sz w:val="32"/>
              </w:rPr>
              <w:t>宏华财务部</w:t>
            </w:r>
          </w:p>
          <w:p>
            <w:pPr>
              <w:pStyle w:val="Normal"/>
              <w:rPr>
                <w:rFonts w:ascii="SimHei" w:hAnsi="SimHei" w:eastAsia="黑体" w:cs="SimHei"/>
                <w:b/>
                <w:b/>
                <w:bCs/>
                <w:sz w:val="32"/>
              </w:rPr>
            </w:pPr>
            <w:r>
              <w:rPr>
                <w:rFonts w:ascii="SimHei" w:hAnsi="SimHei" w:eastAsia="黑体" w:cs="SimHei"/>
                <w:b/>
                <w:bCs/>
                <w:sz w:val="32"/>
              </w:rPr>
              <w:t>　　　　　　　　　　　　　　　　　二</w:t>
            </w:r>
            <w:r>
              <w:rPr>
                <w:rFonts w:ascii="SimHei" w:hAnsi="SimHei" w:eastAsia="黑体" w:cs="SimHei"/>
                <w:b/>
                <w:bCs/>
                <w:sz w:val="32"/>
              </w:rPr>
              <w:t>00</w:t>
            </w:r>
            <w:r>
              <w:rPr>
                <w:rFonts w:ascii="SimHei" w:hAnsi="SimHei" w:eastAsia="黑体" w:cs="SimHei"/>
                <w:b/>
                <w:bCs/>
                <w:sz w:val="32"/>
              </w:rPr>
              <w:t>　年　月　日</w:t>
            </w:r>
          </w:p>
        </w:tc>
      </w:tr>
    </w:tbl>
    <w:p>
      <w:pPr>
        <w:pStyle w:val="Normal"/>
        <w:ind w:firstLine="645"/>
        <w:rPr/>
      </w:pPr>
      <w:r>
        <w:rPr/>
      </w:r>
    </w:p>
    <w:p>
      <w:pPr>
        <w:pStyle w:val="Normal"/>
        <w:spacing w:lineRule="auto" w:line="360"/>
        <w:rPr>
          <w:rFonts w:ascii="SimHei" w:hAnsi="SimHei" w:eastAsia="黑体" w:cs="SimHei"/>
          <w:sz w:val="24"/>
          <w:szCs w:val="24"/>
        </w:rPr>
      </w:pPr>
      <w:r>
        <w:rPr>
          <w:rFonts w:ascii="SimHei" w:hAnsi="SimHei" w:eastAsia="黑体" w:cs="SimHei"/>
          <w:sz w:val="24"/>
          <w:szCs w:val="24"/>
        </w:rPr>
      </w:r>
    </w:p>
    <w:sectPr>
      <w:headerReference w:type="default" r:id="rId2"/>
      <w:footerReference w:type="default" r:id="rId3"/>
      <w:type w:val="nextPage"/>
      <w:pgSz w:w="11906" w:h="16838"/>
      <w:pgMar w:left="1701" w:right="1134" w:header="851" w:top="1134" w:footer="992" w:bottom="1134" w:gutter="0"/>
      <w:pgNumType w:start="1"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楷体_GB2312">
    <w:altName w:val="微软雅黑"/>
    <w:charset w:val="86"/>
    <w:family w:val="modern"/>
    <w:pitch w:val="default"/>
  </w:font>
  <w:font w:name="Times New Roman">
    <w:charset w:val="00"/>
    <w:family w:val="roman"/>
    <w:pitch w:val="default"/>
  </w:font>
  <w:font w:name="Liberation Sans">
    <w:altName w:val="Arial"/>
    <w:charset w:val="01"/>
    <w:family w:val="swiss"/>
    <w:pitch w:val="variable"/>
  </w:font>
  <w:font w:name="宋体">
    <w:altName w:val="SimSun"/>
    <w:charset w:val="86"/>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0" w:leader="none"/>
        <w:tab w:val="right" w:pos="8306" w:leader="none"/>
      </w:tabs>
      <w:ind w:right="-552" w:hanging="0"/>
      <w:jc w:val="center"/>
      <w:rPr/>
    </w:pPr>
    <w:r>
      <w:rPr/>
      <w:t xml:space="preserve">- </w:t>
    </w:r>
    <w:r>
      <w:rPr/>
      <w:fldChar w:fldCharType="begin"/>
    </w:r>
    <w:r>
      <w:rPr/>
      <w:instrText> PAGE </w:instrText>
    </w:r>
    <w:r>
      <w:rPr/>
      <w:fldChar w:fldCharType="separate"/>
    </w:r>
    <w:r>
      <w:rPr/>
      <w:t>25</w:t>
    </w:r>
    <w:r>
      <w:rPr/>
      <w:fldChar w:fldCharType="end"/>
    </w:r>
    <w:r>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6" w:space="2" w:color="000000"/>
      </w:pBdr>
      <w:jc w:val="left"/>
      <w:rPr>
        <w:rFonts w:ascii="SimHei" w:hAnsi="SimHei" w:eastAsia="黑体" w:cs="SimHei"/>
        <w:sz w:val="21"/>
        <w:szCs w:val="21"/>
      </w:rPr>
    </w:pPr>
    <w:r>
      <w:rPr>
        <w:rFonts w:ascii="SimHei" w:hAnsi="SimHei" w:eastAsia="黑体" w:cs="SimHei"/>
        <w:sz w:val="21"/>
        <w:szCs w:val="21"/>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260"/>
        </w:tabs>
        <w:ind w:left="1260" w:hanging="420"/>
      </w:pPr>
      <w:rPr>
        <w:sz w:val="24"/>
        <w:szCs w:val="24"/>
        <w:rFonts w:ascii="SimHei" w:hAnsi="SimHei" w:eastAsia="黑体" w:cs="SimHei"/>
      </w:rPr>
    </w:lvl>
  </w:abstractNum>
  <w:abstractNum w:abstractNumId="3">
    <w:lvl w:ilvl="0">
      <w:start w:val="1"/>
      <w:numFmt w:val="decimal"/>
      <w:lvlText w:val="%1)"/>
      <w:lvlJc w:val="left"/>
      <w:pPr>
        <w:tabs>
          <w:tab w:val="num" w:pos="840"/>
        </w:tabs>
        <w:ind w:left="840" w:hanging="420"/>
      </w:pPr>
      <w:rPr>
        <w:sz w:val="24"/>
        <w:szCs w:val="24"/>
        <w:rFonts w:ascii="SimHei" w:hAnsi="SimHei" w:eastAsia="黑体" w:cs="SimHei"/>
      </w:rPr>
    </w:lvl>
  </w:abstractNum>
  <w:abstractNum w:abstractNumId="4">
    <w:lvl w:ilvl="0">
      <w:start w:val="1"/>
      <w:numFmt w:val="decimal"/>
      <w:lvlText w:val="（%1）"/>
      <w:lvlJc w:val="left"/>
      <w:pPr>
        <w:tabs>
          <w:tab w:val="num" w:pos="1140"/>
        </w:tabs>
        <w:ind w:left="1140" w:hanging="720"/>
      </w:pPr>
      <w:rPr>
        <w:sz w:val="24"/>
        <w:i w:val="false"/>
        <w:b w:val="false"/>
        <w:szCs w:val="24"/>
        <w:rFonts w:ascii="SimHei" w:hAnsi="SimHei" w:eastAsia="黑体" w:cs="SimHei"/>
      </w:rPr>
    </w:lvl>
  </w:abstractNum>
  <w:abstractNum w:abstractNumId="5">
    <w:lvl w:ilvl="0">
      <w:start w:val="1"/>
      <w:numFmt w:val="decimal"/>
      <w:lvlText w:val="%1)"/>
      <w:lvlJc w:val="left"/>
      <w:pPr>
        <w:tabs>
          <w:tab w:val="num" w:pos="1260"/>
        </w:tabs>
        <w:ind w:left="1260" w:hanging="420"/>
      </w:pPr>
      <w:rPr>
        <w:sz w:val="24"/>
        <w:szCs w:val="24"/>
        <w:rFonts w:ascii="SimHei" w:hAnsi="SimHei" w:eastAsia="黑体" w:cs="SimHei"/>
      </w:rPr>
    </w:lvl>
    <w:lvl w:ilvl="1">
      <w:start w:val="1"/>
      <w:numFmt w:val="lowerLetter"/>
      <w:lvlText w:val="%2)"/>
      <w:lvlJc w:val="left"/>
      <w:pPr>
        <w:tabs>
          <w:tab w:val="num" w:pos="1680"/>
        </w:tabs>
        <w:ind w:left="1680" w:hanging="420"/>
      </w:pPr>
      <w:rPr>
        <w:sz w:val="24"/>
        <w:szCs w:val="24"/>
        <w:rFonts w:ascii="SimHei" w:hAnsi="SimHei" w:eastAsia="黑体" w:cs="SimHei"/>
      </w:rPr>
    </w:lvl>
    <w:lvl w:ilvl="2">
      <w:start w:val="1"/>
      <w:numFmt w:val="lowerRoman"/>
      <w:lvlText w:val="%3."/>
      <w:lvlJc w:val="right"/>
      <w:pPr>
        <w:tabs>
          <w:tab w:val="num" w:pos="2100"/>
        </w:tabs>
        <w:ind w:left="2100" w:hanging="420"/>
      </w:pPr>
      <w:rPr>
        <w:sz w:val="24"/>
        <w:szCs w:val="24"/>
        <w:rFonts w:ascii="SimHei" w:hAnsi="SimHei" w:eastAsia="黑体" w:cs="SimHei"/>
      </w:rPr>
    </w:lvl>
    <w:lvl w:ilvl="3">
      <w:start w:val="1"/>
      <w:numFmt w:val="upperLetter"/>
      <w:lvlText w:val="%4."/>
      <w:lvlJc w:val="left"/>
      <w:pPr>
        <w:tabs>
          <w:tab w:val="num" w:pos="2520"/>
        </w:tabs>
        <w:ind w:left="2520" w:hanging="420"/>
      </w:pPr>
      <w:rPr/>
    </w:lvl>
    <w:lvl w:ilvl="4">
      <w:start w:val="1"/>
      <w:numFmt w:val="lowerLetter"/>
      <w:lvlText w:val="%5)"/>
      <w:lvlJc w:val="left"/>
      <w:pPr>
        <w:tabs>
          <w:tab w:val="num" w:pos="2940"/>
        </w:tabs>
        <w:ind w:left="2940" w:hanging="420"/>
      </w:pPr>
      <w:rPr/>
    </w:lvl>
    <w:lvl w:ilvl="5">
      <w:start w:val="1"/>
      <w:numFmt w:val="lowerRoman"/>
      <w:lvlText w:val="%6."/>
      <w:lvlJc w:val="right"/>
      <w:pPr>
        <w:tabs>
          <w:tab w:val="num" w:pos="3360"/>
        </w:tabs>
        <w:ind w:left="3360" w:hanging="420"/>
      </w:pPr>
      <w:rPr/>
    </w:lvl>
    <w:lvl w:ilvl="6">
      <w:start w:val="1"/>
      <w:numFmt w:val="decimal"/>
      <w:lvlText w:val="%7."/>
      <w:lvlJc w:val="left"/>
      <w:pPr>
        <w:tabs>
          <w:tab w:val="num" w:pos="3780"/>
        </w:tabs>
        <w:ind w:left="3780" w:hanging="420"/>
      </w:pPr>
      <w:rPr/>
    </w:lvl>
    <w:lvl w:ilvl="7">
      <w:start w:val="1"/>
      <w:numFmt w:val="lowerLetter"/>
      <w:lvlText w:val="%8)"/>
      <w:lvlJc w:val="left"/>
      <w:pPr>
        <w:tabs>
          <w:tab w:val="num" w:pos="4200"/>
        </w:tabs>
        <w:ind w:left="4200" w:hanging="420"/>
      </w:pPr>
      <w:rPr/>
    </w:lvl>
    <w:lvl w:ilvl="8">
      <w:start w:val="1"/>
      <w:numFmt w:val="lowerRoman"/>
      <w:lvlText w:val="%9."/>
      <w:lvlJc w:val="right"/>
      <w:pPr>
        <w:tabs>
          <w:tab w:val="num" w:pos="4620"/>
        </w:tabs>
        <w:ind w:left="4620" w:hanging="420"/>
      </w:pPr>
      <w:rPr/>
    </w:lvl>
  </w:abstractNum>
  <w:abstractNum w:abstractNumId="6">
    <w:lvl w:ilvl="0">
      <w:start w:val="1"/>
      <w:numFmt w:val="decimal"/>
      <w:lvlText w:val="%1)"/>
      <w:lvlJc w:val="left"/>
      <w:pPr>
        <w:tabs>
          <w:tab w:val="num" w:pos="1260"/>
        </w:tabs>
        <w:ind w:left="1260" w:hanging="420"/>
      </w:pPr>
      <w:rPr>
        <w:sz w:val="24"/>
        <w:szCs w:val="24"/>
        <w:rFonts w:ascii="SimHei" w:hAnsi="SimHei" w:eastAsia="黑体" w:cs="SimHei"/>
      </w:rPr>
    </w:lvl>
    <w:lvl w:ilvl="1">
      <w:start w:val="1"/>
      <w:numFmt w:val="lowerLetter"/>
      <w:lvlText w:val="%2)"/>
      <w:lvlJc w:val="left"/>
      <w:pPr>
        <w:tabs>
          <w:tab w:val="num" w:pos="1680"/>
        </w:tabs>
        <w:ind w:left="1680" w:hanging="420"/>
      </w:pPr>
      <w:rPr>
        <w:sz w:val="24"/>
        <w:szCs w:val="24"/>
        <w:rFonts w:ascii="SimHei" w:hAnsi="SimHei" w:eastAsia="黑体" w:cs="SimHei"/>
      </w:rPr>
    </w:lvl>
    <w:lvl w:ilvl="2">
      <w:start w:val="1"/>
      <w:numFmt w:val="decimal"/>
      <w:lvlText w:val="%3）"/>
      <w:lvlJc w:val="left"/>
      <w:pPr>
        <w:tabs>
          <w:tab w:val="num" w:pos="2100"/>
        </w:tabs>
        <w:ind w:left="2100" w:hanging="420"/>
      </w:pPr>
      <w:rPr/>
    </w:lvl>
    <w:lvl w:ilvl="3">
      <w:start w:val="1"/>
      <w:numFmt w:val="decimal"/>
      <w:lvlText w:val="%4."/>
      <w:lvlJc w:val="left"/>
      <w:pPr>
        <w:tabs>
          <w:tab w:val="num" w:pos="2520"/>
        </w:tabs>
        <w:ind w:left="2520" w:hanging="420"/>
      </w:pPr>
      <w:rPr/>
    </w:lvl>
    <w:lvl w:ilvl="4">
      <w:start w:val="1"/>
      <w:numFmt w:val="lowerLetter"/>
      <w:lvlText w:val="%5)"/>
      <w:lvlJc w:val="left"/>
      <w:pPr>
        <w:tabs>
          <w:tab w:val="num" w:pos="2940"/>
        </w:tabs>
        <w:ind w:left="2940" w:hanging="420"/>
      </w:pPr>
      <w:rPr/>
    </w:lvl>
    <w:lvl w:ilvl="5">
      <w:start w:val="1"/>
      <w:numFmt w:val="lowerRoman"/>
      <w:lvlText w:val="%6."/>
      <w:lvlJc w:val="right"/>
      <w:pPr>
        <w:tabs>
          <w:tab w:val="num" w:pos="3360"/>
        </w:tabs>
        <w:ind w:left="3360" w:hanging="420"/>
      </w:pPr>
      <w:rPr/>
    </w:lvl>
    <w:lvl w:ilvl="6">
      <w:start w:val="1"/>
      <w:numFmt w:val="decimal"/>
      <w:lvlText w:val="%7."/>
      <w:lvlJc w:val="left"/>
      <w:pPr>
        <w:tabs>
          <w:tab w:val="num" w:pos="3780"/>
        </w:tabs>
        <w:ind w:left="3780" w:hanging="420"/>
      </w:pPr>
      <w:rPr/>
    </w:lvl>
    <w:lvl w:ilvl="7">
      <w:start w:val="1"/>
      <w:numFmt w:val="lowerLetter"/>
      <w:lvlText w:val="%8)"/>
      <w:lvlJc w:val="left"/>
      <w:pPr>
        <w:tabs>
          <w:tab w:val="num" w:pos="4200"/>
        </w:tabs>
        <w:ind w:left="4200" w:hanging="420"/>
      </w:pPr>
      <w:rPr/>
    </w:lvl>
    <w:lvl w:ilvl="8">
      <w:start w:val="1"/>
      <w:numFmt w:val="lowerRoman"/>
      <w:lvlText w:val="%9."/>
      <w:lvlJc w:val="right"/>
      <w:pPr>
        <w:tabs>
          <w:tab w:val="num" w:pos="4620"/>
        </w:tabs>
        <w:ind w:left="4620" w:hanging="420"/>
      </w:pPr>
      <w:rPr/>
    </w:lvl>
  </w:abstractNum>
  <w:abstractNum w:abstractNumId="7">
    <w:lvl w:ilvl="0">
      <w:start w:val="1"/>
      <w:numFmt w:val="decimal"/>
      <w:lvlText w:val="（%1）"/>
      <w:lvlJc w:val="left"/>
      <w:pPr>
        <w:tabs>
          <w:tab w:val="num" w:pos="1140"/>
        </w:tabs>
        <w:ind w:left="1140" w:hanging="720"/>
      </w:pPr>
      <w:rPr>
        <w:sz w:val="24"/>
        <w:i w:val="false"/>
        <w:b w:val="false"/>
        <w:szCs w:val="24"/>
        <w:rFonts w:ascii="SimHei" w:hAnsi="SimHei" w:eastAsia="黑体" w:cs="SimHei"/>
      </w:rPr>
    </w:lvl>
  </w:abstractNum>
  <w:abstractNum w:abstractNumId="8">
    <w:lvl w:ilvl="0">
      <w:start w:val="1"/>
      <w:numFmt w:val="decimal"/>
      <w:lvlText w:val="（%1）"/>
      <w:lvlJc w:val="left"/>
      <w:pPr>
        <w:tabs>
          <w:tab w:val="num" w:pos="1140"/>
        </w:tabs>
        <w:ind w:left="1140" w:hanging="720"/>
      </w:pPr>
      <w:rPr>
        <w:sz w:val="24"/>
        <w:i w:val="false"/>
        <w:b w:val="false"/>
        <w:szCs w:val="24"/>
        <w:rFonts w:ascii="SimHei" w:hAnsi="SimHei" w:eastAsia="黑体" w:cs="SimHei"/>
      </w:rPr>
    </w:lvl>
  </w:abstractNum>
  <w:abstractNum w:abstractNumId="9">
    <w:lvl w:ilvl="0">
      <w:start w:val="1"/>
      <w:numFmt w:val="decimal"/>
      <w:lvlText w:val="%1)"/>
      <w:lvlJc w:val="left"/>
      <w:pPr>
        <w:tabs>
          <w:tab w:val="num" w:pos="1260"/>
        </w:tabs>
        <w:ind w:left="1260" w:hanging="420"/>
      </w:pPr>
      <w:rPr>
        <w:sz w:val="24"/>
        <w:szCs w:val="24"/>
        <w:rFonts w:ascii="SimHei" w:hAnsi="SimHei" w:eastAsia="黑体" w:cs="SimHei"/>
      </w:rPr>
    </w:lvl>
  </w:abstractNum>
  <w:abstractNum w:abstractNumId="10">
    <w:lvl w:ilvl="0">
      <w:start w:val="1"/>
      <w:numFmt w:val="decimal"/>
      <w:lvlText w:val="%1)"/>
      <w:lvlJc w:val="left"/>
      <w:pPr>
        <w:tabs>
          <w:tab w:val="num" w:pos="1260"/>
        </w:tabs>
        <w:ind w:left="1260" w:hanging="420"/>
      </w:pPr>
      <w:rPr>
        <w:sz w:val="24"/>
        <w:szCs w:val="24"/>
        <w:rFonts w:ascii="SimHei" w:hAnsi="SimHei" w:eastAsia="黑体" w:cs="SimHei"/>
      </w:rPr>
    </w:lvl>
  </w:abstractNum>
  <w:abstractNum w:abstractNumId="11">
    <w:lvl w:ilvl="0">
      <w:start w:val="1"/>
      <w:numFmt w:val="decimal"/>
      <w:lvlText w:val="%1)"/>
      <w:lvlJc w:val="left"/>
      <w:pPr>
        <w:tabs>
          <w:tab w:val="num" w:pos="1260"/>
        </w:tabs>
        <w:ind w:left="1260" w:hanging="420"/>
      </w:pPr>
      <w:rPr>
        <w:sz w:val="24"/>
        <w:szCs w:val="24"/>
        <w:rFonts w:ascii="SimHei" w:hAnsi="SimHei" w:eastAsia="黑体" w:cs="SimHei"/>
      </w:rPr>
    </w:lvl>
  </w:abstractNum>
  <w:abstractNum w:abstractNumId="12">
    <w:lvl w:ilvl="0">
      <w:start w:val="1"/>
      <w:numFmt w:val="decimal"/>
      <w:lvlText w:val="%1)"/>
      <w:lvlJc w:val="left"/>
      <w:pPr>
        <w:tabs>
          <w:tab w:val="num" w:pos="1260"/>
        </w:tabs>
        <w:ind w:left="1260" w:hanging="420"/>
      </w:pPr>
      <w:rPr/>
    </w:lvl>
    <w:lvl w:ilvl="1">
      <w:start w:val="1"/>
      <w:numFmt w:val="lowerLetter"/>
      <w:lvlText w:val="%2)"/>
      <w:lvlJc w:val="left"/>
      <w:pPr>
        <w:tabs>
          <w:tab w:val="num" w:pos="1680"/>
        </w:tabs>
        <w:ind w:left="1680" w:hanging="420"/>
      </w:pPr>
      <w:rPr>
        <w:sz w:val="24"/>
        <w:szCs w:val="24"/>
        <w:rFonts w:ascii="SimHei" w:hAnsi="SimHei" w:eastAsia="黑体" w:cs="SimHei"/>
      </w:rPr>
    </w:lvl>
    <w:lvl w:ilvl="2">
      <w:start w:val="1"/>
      <w:numFmt w:val="lowerRoman"/>
      <w:lvlText w:val="%3."/>
      <w:lvlJc w:val="right"/>
      <w:pPr>
        <w:tabs>
          <w:tab w:val="num" w:pos="2100"/>
        </w:tabs>
        <w:ind w:left="2100" w:hanging="420"/>
      </w:pPr>
      <w:rPr/>
    </w:lvl>
    <w:lvl w:ilvl="3">
      <w:start w:val="1"/>
      <w:numFmt w:val="decimal"/>
      <w:lvlText w:val="%4."/>
      <w:lvlJc w:val="left"/>
      <w:pPr>
        <w:tabs>
          <w:tab w:val="num" w:pos="2520"/>
        </w:tabs>
        <w:ind w:left="2520" w:hanging="420"/>
      </w:pPr>
      <w:rPr/>
    </w:lvl>
    <w:lvl w:ilvl="4">
      <w:start w:val="1"/>
      <w:numFmt w:val="lowerLetter"/>
      <w:lvlText w:val="%5)"/>
      <w:lvlJc w:val="left"/>
      <w:pPr>
        <w:tabs>
          <w:tab w:val="num" w:pos="2940"/>
        </w:tabs>
        <w:ind w:left="2940" w:hanging="420"/>
      </w:pPr>
      <w:rPr/>
    </w:lvl>
    <w:lvl w:ilvl="5">
      <w:start w:val="1"/>
      <w:numFmt w:val="lowerRoman"/>
      <w:lvlText w:val="%6."/>
      <w:lvlJc w:val="right"/>
      <w:pPr>
        <w:tabs>
          <w:tab w:val="num" w:pos="3360"/>
        </w:tabs>
        <w:ind w:left="3360" w:hanging="420"/>
      </w:pPr>
      <w:rPr/>
    </w:lvl>
    <w:lvl w:ilvl="6">
      <w:start w:val="1"/>
      <w:numFmt w:val="decimal"/>
      <w:lvlText w:val="%7."/>
      <w:lvlJc w:val="left"/>
      <w:pPr>
        <w:tabs>
          <w:tab w:val="num" w:pos="3780"/>
        </w:tabs>
        <w:ind w:left="3780" w:hanging="420"/>
      </w:pPr>
      <w:rPr/>
    </w:lvl>
    <w:lvl w:ilvl="7">
      <w:start w:val="1"/>
      <w:numFmt w:val="lowerLetter"/>
      <w:lvlText w:val="%8)"/>
      <w:lvlJc w:val="left"/>
      <w:pPr>
        <w:tabs>
          <w:tab w:val="num" w:pos="4200"/>
        </w:tabs>
        <w:ind w:left="4200" w:hanging="420"/>
      </w:pPr>
      <w:rPr/>
    </w:lvl>
    <w:lvl w:ilvl="8">
      <w:start w:val="1"/>
      <w:numFmt w:val="lowerRoman"/>
      <w:lvlText w:val="%9."/>
      <w:lvlJc w:val="right"/>
      <w:pPr>
        <w:tabs>
          <w:tab w:val="num" w:pos="4620"/>
        </w:tabs>
        <w:ind w:left="4620" w:hanging="420"/>
      </w:pPr>
      <w:rPr/>
    </w:lvl>
  </w:abstractNum>
  <w:abstractNum w:abstractNumId="13">
    <w:lvl w:ilvl="0">
      <w:start w:val="1"/>
      <w:numFmt w:val="decimal"/>
      <w:lvlText w:val="（%1）"/>
      <w:lvlJc w:val="left"/>
      <w:pPr>
        <w:tabs>
          <w:tab w:val="num" w:pos="1140"/>
        </w:tabs>
        <w:ind w:left="1140" w:hanging="720"/>
      </w:pPr>
      <w:rPr>
        <w:sz w:val="24"/>
        <w:i w:val="false"/>
        <w:b w:val="false"/>
        <w:szCs w:val="24"/>
        <w:rFonts w:ascii="SimHei" w:hAnsi="SimHei" w:eastAsia="黑体" w:cs="SimHei"/>
      </w:rPr>
    </w:lvl>
  </w:abstractNum>
  <w:abstractNum w:abstractNumId="14">
    <w:lvl w:ilvl="0">
      <w:start w:val="1"/>
      <w:numFmt w:val="decimal"/>
      <w:lvlText w:val="%1)"/>
      <w:lvlJc w:val="left"/>
      <w:pPr>
        <w:tabs>
          <w:tab w:val="num" w:pos="840"/>
        </w:tabs>
        <w:ind w:left="840" w:hanging="420"/>
      </w:pPr>
      <w:rPr>
        <w:sz w:val="24"/>
        <w:szCs w:val="24"/>
        <w:rFonts w:ascii="SimHei" w:hAnsi="SimHei" w:eastAsia="黑体" w:cs="SimHei"/>
      </w:rPr>
    </w:lvl>
    <w:lvl w:ilvl="1">
      <w:start w:val="1"/>
      <w:numFmt w:val="lowerLetter"/>
      <w:lvlText w:val="%2)"/>
      <w:lvlJc w:val="left"/>
      <w:pPr>
        <w:tabs>
          <w:tab w:val="num" w:pos="1260"/>
        </w:tabs>
        <w:ind w:left="1260" w:hanging="420"/>
      </w:pPr>
      <w:rPr>
        <w:sz w:val="24"/>
        <w:szCs w:val="24"/>
        <w:rFonts w:ascii="SimHei" w:hAnsi="SimHei" w:eastAsia="黑体" w:cs="SimHei"/>
      </w:rPr>
    </w:lvl>
    <w:lvl w:ilvl="2">
      <w:start w:val="1"/>
      <w:numFmt w:val="lowerRoman"/>
      <w:lvlText w:val="%3."/>
      <w:lvlJc w:val="right"/>
      <w:pPr>
        <w:tabs>
          <w:tab w:val="num" w:pos="1680"/>
        </w:tabs>
        <w:ind w:left="1680" w:hanging="420"/>
      </w:pPr>
      <w:rPr/>
    </w:lvl>
    <w:lvl w:ilvl="3">
      <w:start w:val="1"/>
      <w:numFmt w:val="decimal"/>
      <w:lvlText w:val="%4."/>
      <w:lvlJc w:val="left"/>
      <w:pPr>
        <w:tabs>
          <w:tab w:val="num" w:pos="2100"/>
        </w:tabs>
        <w:ind w:left="2100" w:hanging="420"/>
      </w:pPr>
      <w:rPr/>
    </w:lvl>
    <w:lvl w:ilvl="4">
      <w:start w:val="1"/>
      <w:numFmt w:val="lowerLetter"/>
      <w:lvlText w:val="%5)"/>
      <w:lvlJc w:val="left"/>
      <w:pPr>
        <w:tabs>
          <w:tab w:val="num" w:pos="2520"/>
        </w:tabs>
        <w:ind w:left="2520" w:hanging="420"/>
      </w:pPr>
      <w:rPr/>
    </w:lvl>
    <w:lvl w:ilvl="5">
      <w:start w:val="1"/>
      <w:numFmt w:val="lowerRoman"/>
      <w:lvlText w:val="%6."/>
      <w:lvlJc w:val="right"/>
      <w:pPr>
        <w:tabs>
          <w:tab w:val="num" w:pos="2940"/>
        </w:tabs>
        <w:ind w:left="2940" w:hanging="420"/>
      </w:pPr>
      <w:rPr/>
    </w:lvl>
    <w:lvl w:ilvl="6">
      <w:start w:val="1"/>
      <w:numFmt w:val="decimal"/>
      <w:lvlText w:val="%7."/>
      <w:lvlJc w:val="left"/>
      <w:pPr>
        <w:tabs>
          <w:tab w:val="num" w:pos="3360"/>
        </w:tabs>
        <w:ind w:left="3360" w:hanging="420"/>
      </w:pPr>
      <w:rPr/>
    </w:lvl>
    <w:lvl w:ilvl="7">
      <w:start w:val="1"/>
      <w:numFmt w:val="lowerLetter"/>
      <w:lvlText w:val="%8)"/>
      <w:lvlJc w:val="left"/>
      <w:pPr>
        <w:tabs>
          <w:tab w:val="num" w:pos="3780"/>
        </w:tabs>
        <w:ind w:left="3780" w:hanging="420"/>
      </w:pPr>
      <w:rPr/>
    </w:lvl>
    <w:lvl w:ilvl="8">
      <w:start w:val="1"/>
      <w:numFmt w:val="lowerRoman"/>
      <w:lvlText w:val="%9."/>
      <w:lvlJc w:val="right"/>
      <w:pPr>
        <w:tabs>
          <w:tab w:val="num" w:pos="4200"/>
        </w:tabs>
        <w:ind w:left="4200" w:hanging="420"/>
      </w:pPr>
      <w:rPr/>
    </w:lvl>
  </w:abstractNum>
  <w:abstractNum w:abstractNumId="15">
    <w:lvl w:ilvl="0">
      <w:start w:val="1"/>
      <w:numFmt w:val="decimal"/>
      <w:lvlText w:val="（%1）"/>
      <w:lvlJc w:val="left"/>
      <w:pPr>
        <w:tabs>
          <w:tab w:val="num" w:pos="1140"/>
        </w:tabs>
        <w:ind w:left="1140" w:hanging="720"/>
      </w:pPr>
      <w:rPr>
        <w:sz w:val="24"/>
        <w:i w:val="false"/>
        <w:b w:val="false"/>
        <w:szCs w:val="24"/>
        <w:rFonts w:ascii="SimHei" w:hAnsi="SimHei" w:eastAsia="黑体" w:cs="SimHei"/>
      </w:rPr>
    </w:lvl>
  </w:abstractNum>
  <w:abstractNum w:abstractNumId="16">
    <w:lvl w:ilvl="0">
      <w:start w:val="1"/>
      <w:numFmt w:val="decimal"/>
      <w:lvlText w:val="（%1）"/>
      <w:lvlJc w:val="left"/>
      <w:pPr>
        <w:tabs>
          <w:tab w:val="num" w:pos="1140"/>
        </w:tabs>
        <w:ind w:left="1140" w:hanging="720"/>
      </w:pPr>
      <w:rPr>
        <w:sz w:val="24"/>
        <w:i w:val="false"/>
        <w:b w:val="false"/>
        <w:szCs w:val="24"/>
        <w:rFonts w:ascii="SimHei" w:hAnsi="SimHei" w:eastAsia="黑体" w:cs="SimHei"/>
      </w:rPr>
    </w:lvl>
    <w:lvl w:ilvl="1">
      <w:start w:val="1"/>
      <w:numFmt w:val="decimal"/>
      <w:lvlText w:val="%2)"/>
      <w:lvlJc w:val="left"/>
      <w:pPr>
        <w:tabs>
          <w:tab w:val="num" w:pos="840"/>
        </w:tabs>
        <w:ind w:left="840" w:hanging="420"/>
      </w:pPr>
      <w:rPr>
        <w:sz w:val="24"/>
        <w:i w:val="false"/>
        <w:b w:val="false"/>
        <w:szCs w:val="24"/>
        <w:rFonts w:ascii="SimHei" w:hAnsi="SimHei" w:eastAsia="黑体" w:cs="SimHei"/>
      </w:rPr>
    </w:lvl>
    <w:lvl w:ilvl="2">
      <w:start w:val="1"/>
      <w:numFmt w:val="lowerRoman"/>
      <w:lvlText w:val="%3."/>
      <w:lvlJc w:val="right"/>
      <w:pPr>
        <w:tabs>
          <w:tab w:val="num" w:pos="1260"/>
        </w:tabs>
        <w:ind w:left="1260" w:hanging="420"/>
      </w:pPr>
      <w:rPr/>
    </w:lvl>
    <w:lvl w:ilvl="3">
      <w:start w:val="1"/>
      <w:numFmt w:val="decimal"/>
      <w:lvlText w:val="%4."/>
      <w:lvlJc w:val="left"/>
      <w:pPr>
        <w:tabs>
          <w:tab w:val="num" w:pos="1680"/>
        </w:tabs>
        <w:ind w:left="1680" w:hanging="420"/>
      </w:pPr>
      <w:rPr/>
    </w:lvl>
    <w:lvl w:ilvl="4">
      <w:start w:val="1"/>
      <w:numFmt w:val="lowerLetter"/>
      <w:lvlText w:val="%5)"/>
      <w:lvlJc w:val="left"/>
      <w:pPr>
        <w:tabs>
          <w:tab w:val="num" w:pos="2100"/>
        </w:tabs>
        <w:ind w:left="2100" w:hanging="420"/>
      </w:pPr>
      <w:rPr/>
    </w:lvl>
    <w:lvl w:ilvl="5">
      <w:start w:val="1"/>
      <w:numFmt w:val="lowerRoman"/>
      <w:lvlText w:val="%6."/>
      <w:lvlJc w:val="right"/>
      <w:pPr>
        <w:tabs>
          <w:tab w:val="num" w:pos="2520"/>
        </w:tabs>
        <w:ind w:left="2520" w:hanging="420"/>
      </w:pPr>
      <w:rPr/>
    </w:lvl>
    <w:lvl w:ilvl="6">
      <w:start w:val="1"/>
      <w:numFmt w:val="decimal"/>
      <w:lvlText w:val="%7."/>
      <w:lvlJc w:val="left"/>
      <w:pPr>
        <w:tabs>
          <w:tab w:val="num" w:pos="2940"/>
        </w:tabs>
        <w:ind w:left="2940" w:hanging="420"/>
      </w:pPr>
      <w:rPr/>
    </w:lvl>
    <w:lvl w:ilvl="7">
      <w:start w:val="1"/>
      <w:numFmt w:val="lowerLetter"/>
      <w:lvlText w:val="%8)"/>
      <w:lvlJc w:val="left"/>
      <w:pPr>
        <w:tabs>
          <w:tab w:val="num" w:pos="3360"/>
        </w:tabs>
        <w:ind w:left="3360" w:hanging="420"/>
      </w:pPr>
      <w:rPr/>
    </w:lvl>
    <w:lvl w:ilvl="8">
      <w:start w:val="1"/>
      <w:numFmt w:val="lowerRoman"/>
      <w:lvlText w:val="%9."/>
      <w:lvlJc w:val="right"/>
      <w:pPr>
        <w:tabs>
          <w:tab w:val="num" w:pos="3780"/>
        </w:tabs>
        <w:ind w:left="3780" w:hanging="420"/>
      </w:pPr>
      <w:rPr/>
    </w:lvl>
  </w:abstractNum>
  <w:abstractNum w:abstractNumId="17">
    <w:lvl w:ilvl="0">
      <w:start w:val="1"/>
      <w:numFmt w:val="decimal"/>
      <w:lvlText w:val="（%1）"/>
      <w:lvlJc w:val="left"/>
      <w:pPr>
        <w:tabs>
          <w:tab w:val="num" w:pos="1140"/>
        </w:tabs>
        <w:ind w:left="1140" w:hanging="720"/>
      </w:pPr>
      <w:rPr>
        <w:sz w:val="24"/>
        <w:i w:val="false"/>
        <w:b w:val="false"/>
        <w:szCs w:val="24"/>
        <w:rFonts w:ascii="SimHei" w:hAnsi="SimHei" w:eastAsia="黑体" w:cs="SimHei"/>
      </w:rPr>
    </w:lvl>
  </w:abstractNum>
  <w:abstractNum w:abstractNumId="18">
    <w:lvl w:ilvl="0">
      <w:start w:val="1"/>
      <w:numFmt w:val="decimal"/>
      <w:lvlText w:val="%1)"/>
      <w:lvlJc w:val="left"/>
      <w:pPr>
        <w:tabs>
          <w:tab w:val="num" w:pos="1260"/>
        </w:tabs>
        <w:ind w:left="1260" w:hanging="420"/>
      </w:pPr>
      <w:rPr/>
    </w:lvl>
  </w:abstractNum>
  <w:abstractNum w:abstractNumId="19">
    <w:lvl w:ilvl="0">
      <w:start w:val="1"/>
      <w:numFmt w:val="decimal"/>
      <w:lvlText w:val="%1)"/>
      <w:lvlJc w:val="left"/>
      <w:pPr>
        <w:tabs>
          <w:tab w:val="num" w:pos="840"/>
        </w:tabs>
        <w:ind w:left="840" w:hanging="420"/>
      </w:pPr>
      <w:rPr>
        <w:sz w:val="24"/>
        <w:szCs w:val="24"/>
        <w:rFonts w:ascii="SimHei" w:hAnsi="SimHei" w:eastAsia="黑体" w:cs="SimHei"/>
      </w:rPr>
    </w:lvl>
  </w:abstractNum>
  <w:abstractNum w:abstractNumId="20">
    <w:lvl w:ilvl="0">
      <w:start w:val="1"/>
      <w:numFmt w:val="decimal"/>
      <w:lvlText w:val="（%1）"/>
      <w:lvlJc w:val="left"/>
      <w:pPr>
        <w:tabs>
          <w:tab w:val="num" w:pos="1140"/>
        </w:tabs>
        <w:ind w:left="1140" w:hanging="720"/>
      </w:pPr>
      <w:rPr>
        <w:sz w:val="24"/>
        <w:i w:val="false"/>
        <w:b w:val="false"/>
        <w:szCs w:val="24"/>
        <w:rFonts w:ascii="SimHei" w:hAnsi="SimHei" w:eastAsia="黑体" w:cs="SimHei"/>
      </w:rPr>
    </w:lvl>
  </w:abstractNum>
  <w:abstractNum w:abstractNumId="21">
    <w:lvl w:ilvl="0">
      <w:start w:val="1"/>
      <w:numFmt w:val="decimal"/>
      <w:lvlText w:val="（%1）"/>
      <w:lvlJc w:val="left"/>
      <w:pPr>
        <w:tabs>
          <w:tab w:val="num" w:pos="1140"/>
        </w:tabs>
        <w:ind w:left="1140" w:hanging="720"/>
      </w:pPr>
      <w:rPr>
        <w:sz w:val="24"/>
        <w:i w:val="false"/>
        <w:b w:val="false"/>
        <w:szCs w:val="24"/>
        <w:rFonts w:ascii="SimHei" w:hAnsi="SimHei" w:eastAsia="黑体" w:cs="SimHei"/>
      </w:rPr>
    </w:lvl>
  </w:abstractNum>
  <w:abstractNum w:abstractNumId="22">
    <w:lvl w:ilvl="0">
      <w:start w:val="1"/>
      <w:numFmt w:val="decimal"/>
      <w:lvlText w:val="（%1）"/>
      <w:lvlJc w:val="left"/>
      <w:pPr>
        <w:tabs>
          <w:tab w:val="num" w:pos="1140"/>
        </w:tabs>
        <w:ind w:left="1140" w:hanging="720"/>
      </w:pPr>
      <w:rPr>
        <w:sz w:val="24"/>
        <w:i w:val="false"/>
        <w:b w:val="false"/>
        <w:szCs w:val="24"/>
        <w:rFonts w:ascii="SimHei" w:hAnsi="SimHei" w:eastAsia="黑体" w:cs="SimHei"/>
      </w:rPr>
    </w:lvl>
  </w:abstractNum>
  <w:abstractNum w:abstractNumId="23">
    <w:lvl w:ilvl="0">
      <w:start w:val="1"/>
      <w:numFmt w:val="decimal"/>
      <w:lvlText w:val="（%1）"/>
      <w:lvlJc w:val="left"/>
      <w:pPr>
        <w:tabs>
          <w:tab w:val="num" w:pos="1140"/>
        </w:tabs>
        <w:ind w:left="1140" w:hanging="720"/>
      </w:pPr>
      <w:rPr>
        <w:sz w:val="24"/>
        <w:i w:val="false"/>
        <w:b w:val="false"/>
        <w:szCs w:val="24"/>
        <w:rFonts w:ascii="SimHei" w:hAnsi="SimHei" w:eastAsia="黑体" w:cs="SimHei"/>
      </w:rPr>
    </w:lvl>
  </w:abstractNum>
  <w:abstractNum w:abstractNumId="24">
    <w:lvl w:ilvl="0">
      <w:start w:val="1"/>
      <w:numFmt w:val="decimal"/>
      <w:lvlText w:val="%1)"/>
      <w:lvlJc w:val="left"/>
      <w:pPr>
        <w:tabs>
          <w:tab w:val="num" w:pos="1260"/>
        </w:tabs>
        <w:ind w:left="1260" w:hanging="420"/>
      </w:pPr>
      <w:rPr/>
    </w:lvl>
  </w:abstractNum>
  <w:abstractNum w:abstractNumId="25">
    <w:lvl w:ilvl="0">
      <w:start w:val="1"/>
      <w:numFmt w:val="decimal"/>
      <w:lvlText w:val="（%1）"/>
      <w:lvlJc w:val="left"/>
      <w:pPr>
        <w:tabs>
          <w:tab w:val="num" w:pos="1140"/>
        </w:tabs>
        <w:ind w:left="1140" w:hanging="720"/>
      </w:pPr>
      <w:rPr>
        <w:sz w:val="24"/>
        <w:i w:val="false"/>
        <w:b w:val="false"/>
        <w:szCs w:val="24"/>
        <w:rFonts w:ascii="SimHei" w:hAnsi="SimHei" w:eastAsia="黑体" w:cs="SimHei"/>
      </w:rPr>
    </w:lvl>
  </w:abstractNum>
  <w:abstractNum w:abstractNumId="26">
    <w:lvl w:ilvl="0">
      <w:start w:val="1"/>
      <w:numFmt w:val="decimal"/>
      <w:lvlText w:val="（%1）"/>
      <w:lvlJc w:val="left"/>
      <w:pPr>
        <w:tabs>
          <w:tab w:val="num" w:pos="1140"/>
        </w:tabs>
        <w:ind w:left="1140" w:hanging="720"/>
      </w:pPr>
      <w:rPr>
        <w:sz w:val="24"/>
        <w:i w:val="false"/>
        <w:b w:val="false"/>
        <w:szCs w:val="24"/>
        <w:rFonts w:ascii="SimHei" w:hAnsi="SimHei" w:eastAsia="黑体" w:cs="SimHei"/>
      </w:rPr>
    </w:lvl>
  </w:abstractNum>
  <w:abstractNum w:abstractNumId="27">
    <w:lvl w:ilvl="0">
      <w:start w:val="1"/>
      <w:numFmt w:val="chineseCountingThousand"/>
      <w:lvlText w:val="第%1条"/>
      <w:lvlJc w:val="center"/>
      <w:pPr>
        <w:tabs>
          <w:tab w:val="num" w:pos="680"/>
        </w:tabs>
        <w:ind w:left="680" w:hanging="680"/>
      </w:pPr>
      <w:rPr>
        <w:sz w:val="24"/>
        <w:i w:val="false"/>
        <w:b/>
        <w:szCs w:val="24"/>
        <w:rFonts w:ascii="SimHei" w:hAnsi="SimHei" w:eastAsia="黑体" w:cs="SimHei"/>
        <w:lang w:val="en-US"/>
      </w:rPr>
    </w:lvl>
  </w:abstractNum>
  <w:abstractNum w:abstractNumId="28">
    <w:lvl w:ilvl="0">
      <w:start w:val="1"/>
      <w:numFmt w:val="decimal"/>
      <w:lvlText w:val="（%1）"/>
      <w:lvlJc w:val="left"/>
      <w:pPr>
        <w:tabs>
          <w:tab w:val="num" w:pos="1140"/>
        </w:tabs>
        <w:ind w:left="1140" w:hanging="720"/>
      </w:pPr>
      <w:rPr>
        <w:sz w:val="24"/>
        <w:i w:val="false"/>
        <w:b w:val="false"/>
        <w:szCs w:val="24"/>
        <w:rFonts w:ascii="SimHei" w:hAnsi="SimHei" w:eastAsia="黑体" w:cs="SimHei"/>
      </w:rPr>
    </w:lvl>
  </w:abstractNum>
  <w:abstractNum w:abstractNumId="29">
    <w:lvl w:ilvl="0">
      <w:start w:val="1"/>
      <w:numFmt w:val="decimal"/>
      <w:lvlText w:val="（%1）"/>
      <w:lvlJc w:val="left"/>
      <w:pPr>
        <w:tabs>
          <w:tab w:val="num" w:pos="1140"/>
        </w:tabs>
        <w:ind w:left="1140" w:hanging="720"/>
      </w:pPr>
      <w:rPr>
        <w:sz w:val="24"/>
        <w:i w:val="false"/>
        <w:b w:val="false"/>
        <w:szCs w:val="24"/>
        <w:rFonts w:ascii="SimHei" w:hAnsi="SimHei" w:eastAsia="黑体" w:cs="SimHei"/>
      </w:rPr>
    </w:lvl>
  </w:abstractNum>
  <w:abstractNum w:abstractNumId="30">
    <w:lvl w:ilvl="0">
      <w:start w:val="1"/>
      <w:numFmt w:val="decimal"/>
      <w:lvlText w:val="（%1）"/>
      <w:lvlJc w:val="left"/>
      <w:pPr>
        <w:tabs>
          <w:tab w:val="num" w:pos="1140"/>
        </w:tabs>
        <w:ind w:left="1140" w:hanging="720"/>
      </w:pPr>
      <w:rPr>
        <w:sz w:val="24"/>
        <w:i w:val="false"/>
        <w:b w:val="false"/>
        <w:szCs w:val="24"/>
        <w:rFonts w:ascii="SimHei" w:hAnsi="SimHei" w:eastAsia="黑体" w:cs="SimHei"/>
      </w:rPr>
    </w:lvl>
  </w:abstractNum>
  <w:abstractNum w:abstractNumId="31">
    <w:lvl w:ilvl="0">
      <w:start w:val="1"/>
      <w:numFmt w:val="decimal"/>
      <w:lvlText w:val="（%1）"/>
      <w:lvlJc w:val="left"/>
      <w:pPr>
        <w:tabs>
          <w:tab w:val="num" w:pos="1140"/>
        </w:tabs>
        <w:ind w:left="1140" w:hanging="720"/>
      </w:pPr>
      <w:rPr>
        <w:sz w:val="24"/>
        <w:i w:val="false"/>
        <w:b w:val="false"/>
        <w:szCs w:val="24"/>
        <w:rFonts w:ascii="SimHei" w:hAnsi="SimHei" w:eastAsia="黑体" w:cs="SimHei"/>
      </w:rPr>
    </w:lvl>
  </w:abstractNum>
  <w:abstractNum w:abstractNumId="32">
    <w:lvl w:ilvl="0">
      <w:start w:val="1"/>
      <w:numFmt w:val="decimal"/>
      <w:lvlText w:val="（%1）"/>
      <w:lvlJc w:val="left"/>
      <w:pPr>
        <w:tabs>
          <w:tab w:val="num" w:pos="1140"/>
        </w:tabs>
        <w:ind w:left="1140" w:hanging="720"/>
      </w:pPr>
      <w:rPr>
        <w:sz w:val="24"/>
        <w:i w:val="false"/>
        <w:b w:val="false"/>
        <w:szCs w:val="24"/>
        <w:rFonts w:ascii="SimHei" w:hAnsi="SimHei" w:eastAsia="黑体" w:cs="SimHei"/>
      </w:rPr>
    </w:lvl>
  </w:abstractNum>
  <w:abstractNum w:abstractNumId="33">
    <w:lvl w:ilvl="0">
      <w:start w:val="1"/>
      <w:numFmt w:val="decimal"/>
      <w:lvlText w:val="（%1）"/>
      <w:lvlJc w:val="left"/>
      <w:pPr>
        <w:tabs>
          <w:tab w:val="num" w:pos="1140"/>
        </w:tabs>
        <w:ind w:left="1140" w:hanging="720"/>
      </w:pPr>
      <w:rPr>
        <w:sz w:val="24"/>
        <w:i w:val="false"/>
        <w:b w:val="false"/>
        <w:szCs w:val="24"/>
        <w:rFonts w:ascii="SimHei" w:hAnsi="SimHei" w:eastAsia="黑体" w:cs="SimHei"/>
      </w:rPr>
    </w:lvl>
  </w:abstractNum>
  <w:abstractNum w:abstractNumId="34">
    <w:lvl w:ilvl="0">
      <w:start w:val="1"/>
      <w:numFmt w:val="decimal"/>
      <w:lvlText w:val="（%1）"/>
      <w:lvlJc w:val="left"/>
      <w:pPr>
        <w:tabs>
          <w:tab w:val="num" w:pos="1140"/>
        </w:tabs>
        <w:ind w:left="1140" w:hanging="720"/>
      </w:pPr>
      <w:rPr>
        <w:sz w:val="24"/>
        <w:i w:val="false"/>
        <w:b w:val="false"/>
        <w:szCs w:val="24"/>
        <w:rFonts w:ascii="SimHei" w:hAnsi="SimHei" w:eastAsia="黑体" w:cs="SimHei"/>
      </w:rPr>
    </w:lvl>
  </w:abstractNum>
  <w:abstractNum w:abstractNumId="35">
    <w:lvl w:ilvl="0">
      <w:start w:val="1"/>
      <w:numFmt w:val="decimal"/>
      <w:lvlText w:val="%1)"/>
      <w:lvlJc w:val="left"/>
      <w:pPr>
        <w:tabs>
          <w:tab w:val="num" w:pos="1260"/>
        </w:tabs>
        <w:ind w:left="1260" w:hanging="420"/>
      </w:pPr>
      <w:rPr>
        <w:sz w:val="24"/>
        <w:szCs w:val="24"/>
        <w:rFonts w:ascii="SimHei" w:hAnsi="SimHei" w:eastAsia="黑体" w:cs="SimHei"/>
      </w:rPr>
    </w:lvl>
  </w:abstractNum>
  <w:abstractNum w:abstractNumId="36">
    <w:lvl w:ilvl="0">
      <w:start w:val="1"/>
      <w:numFmt w:val="decimal"/>
      <w:lvlText w:val="（%1）"/>
      <w:lvlJc w:val="left"/>
      <w:pPr>
        <w:tabs>
          <w:tab w:val="num" w:pos="1140"/>
        </w:tabs>
        <w:ind w:left="1140" w:hanging="720"/>
      </w:pPr>
      <w:rPr>
        <w:sz w:val="24"/>
        <w:i w:val="false"/>
        <w:b w:val="false"/>
        <w:szCs w:val="24"/>
        <w:rFonts w:ascii="SimHei" w:hAnsi="SimHei" w:eastAsia="黑体" w:cs="SimHei"/>
      </w:rPr>
    </w:lvl>
  </w:abstractNum>
  <w:abstractNum w:abstractNumId="37">
    <w:lvl w:ilvl="0">
      <w:start w:val="1"/>
      <w:numFmt w:val="decimal"/>
      <w:lvlText w:val="（%1）"/>
      <w:lvlJc w:val="left"/>
      <w:pPr>
        <w:tabs>
          <w:tab w:val="num" w:pos="1140"/>
        </w:tabs>
        <w:ind w:left="1140" w:hanging="720"/>
      </w:pPr>
      <w:rPr>
        <w:sz w:val="24"/>
        <w:i w:val="false"/>
        <w:b w:val="false"/>
        <w:szCs w:val="24"/>
        <w:rFonts w:ascii="SimHei" w:hAnsi="SimHei" w:eastAsia="黑体" w:cs="SimHei"/>
      </w:rPr>
    </w:lvl>
  </w:abstractNum>
  <w:abstractNum w:abstractNumId="38">
    <w:lvl w:ilvl="0">
      <w:start w:val="1"/>
      <w:numFmt w:val="decimal"/>
      <w:lvlText w:val="%1)"/>
      <w:lvlJc w:val="left"/>
      <w:pPr>
        <w:tabs>
          <w:tab w:val="num" w:pos="1260"/>
        </w:tabs>
        <w:ind w:left="1260" w:hanging="420"/>
      </w:pPr>
      <w:rPr>
        <w:sz w:val="24"/>
        <w:szCs w:val="24"/>
        <w:rFonts w:ascii="SimHei" w:hAnsi="SimHei" w:eastAsia="黑体" w:cs="SimHei"/>
      </w:rPr>
    </w:lvl>
  </w:abstractNum>
  <w:abstractNum w:abstractNumId="39">
    <w:lvl w:ilvl="0">
      <w:start w:val="1"/>
      <w:numFmt w:val="decimal"/>
      <w:lvlText w:val="%1)"/>
      <w:lvlJc w:val="left"/>
      <w:pPr>
        <w:tabs>
          <w:tab w:val="num" w:pos="1260"/>
        </w:tabs>
        <w:ind w:left="1260" w:hanging="420"/>
      </w:pPr>
      <w:rPr>
        <w:sz w:val="24"/>
        <w:szCs w:val="24"/>
        <w:rFonts w:ascii="SimHei" w:hAnsi="SimHei" w:eastAsia="黑体" w:cs="SimHei"/>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0"/>
      <w:lang w:val="en-US" w:eastAsia="zh-CN" w:bidi="ar-SA"/>
    </w:rPr>
  </w:style>
  <w:style w:type="paragraph" w:styleId="Heading1">
    <w:name w:val="Heading 1"/>
    <w:basedOn w:val="Normal"/>
    <w:next w:val="Normal"/>
    <w:qFormat/>
    <w:pPr>
      <w:keepNext w:val="true"/>
      <w:keepLines/>
      <w:numPr>
        <w:ilvl w:val="0"/>
        <w:numId w:val="1"/>
      </w:numPr>
      <w:spacing w:lineRule="auto" w:line="576" w:before="340" w:after="330"/>
      <w:outlineLvl w:val="0"/>
    </w:pPr>
    <w:rPr>
      <w:b/>
      <w:bCs/>
      <w:kern w:val="2"/>
      <w:sz w:val="44"/>
      <w:szCs w:val="44"/>
    </w:rPr>
  </w:style>
  <w:style w:type="paragraph" w:styleId="Heading2">
    <w:name w:val="Heading 2"/>
    <w:basedOn w:val="Normal"/>
    <w:next w:val="Normal"/>
    <w:qFormat/>
    <w:pPr>
      <w:keepNext w:val="true"/>
      <w:keepLines/>
      <w:numPr>
        <w:ilvl w:val="1"/>
        <w:numId w:val="1"/>
      </w:numPr>
      <w:spacing w:lineRule="auto" w:line="415" w:before="260" w:after="260"/>
      <w:outlineLvl w:val="1"/>
    </w:pPr>
    <w:rPr>
      <w:rFonts w:ascii="SimHei" w:hAnsi="SimHei" w:eastAsia="黑体" w:cs="SimHei"/>
      <w:b/>
      <w:bCs/>
      <w:sz w:val="32"/>
      <w:szCs w:val="32"/>
    </w:rPr>
  </w:style>
  <w:style w:type="character" w:styleId="WW8Num1z0">
    <w:name w:val="WW8Num1z0"/>
    <w:qFormat/>
    <w:rPr>
      <w:rFonts w:ascii="SimHei" w:hAnsi="SimHei" w:eastAsia="黑体" w:cs="SimHei"/>
      <w:sz w:val="24"/>
      <w:szCs w:val="24"/>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imHei" w:hAnsi="SimHei" w:eastAsia="黑体" w:cs="SimHei"/>
      <w:sz w:val="24"/>
      <w:szCs w:val="24"/>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imHei" w:hAnsi="SimHei" w:eastAsia="黑体" w:cs="SimHei"/>
      <w:b w:val="false"/>
      <w:i w:val="false"/>
      <w:sz w:val="24"/>
      <w:szCs w:val="24"/>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imHei" w:hAnsi="SimHei" w:eastAsia="黑体" w:cs="SimHei"/>
      <w:sz w:val="24"/>
      <w:szCs w:val="24"/>
    </w:rPr>
  </w:style>
  <w:style w:type="character" w:styleId="WW8Num4z1">
    <w:name w:val="WW8Num4z1"/>
    <w:qFormat/>
    <w:rPr>
      <w:rFonts w:ascii="SimHei" w:hAnsi="SimHei" w:eastAsia="黑体" w:cs="SimHei"/>
      <w:sz w:val="24"/>
      <w:szCs w:val="24"/>
    </w:rPr>
  </w:style>
  <w:style w:type="character" w:styleId="WW8Num4z2">
    <w:name w:val="WW8Num4z2"/>
    <w:qFormat/>
    <w:rPr>
      <w:rFonts w:ascii="SimHei" w:hAnsi="SimHei" w:eastAsia="黑体" w:cs="SimHei"/>
      <w:sz w:val="24"/>
      <w:szCs w:val="24"/>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SimHei" w:hAnsi="SimHei" w:eastAsia="黑体" w:cs="SimHei"/>
      <w:sz w:val="24"/>
      <w:szCs w:val="24"/>
    </w:rPr>
  </w:style>
  <w:style w:type="character" w:styleId="WW8Num5z1">
    <w:name w:val="WW8Num5z1"/>
    <w:qFormat/>
    <w:rPr>
      <w:rFonts w:ascii="SimHei" w:hAnsi="SimHei" w:eastAsia="黑体" w:cs="SimHei"/>
      <w:sz w:val="24"/>
      <w:szCs w:val="24"/>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ascii="SimHei" w:hAnsi="SimHei" w:eastAsia="黑体" w:cs="SimHei"/>
      <w:b w:val="false"/>
      <w:i w:val="false"/>
      <w:sz w:val="24"/>
      <w:szCs w:val="24"/>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rFonts w:ascii="SimHei" w:hAnsi="SimHei" w:eastAsia="黑体" w:cs="SimHei"/>
      <w:b w:val="false"/>
      <w:i w:val="false"/>
      <w:sz w:val="24"/>
      <w:szCs w:val="24"/>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rFonts w:ascii="SimHei" w:hAnsi="SimHei" w:eastAsia="黑体" w:cs="SimHei"/>
      <w:sz w:val="24"/>
      <w:szCs w:val="24"/>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rFonts w:ascii="SimHei" w:hAnsi="SimHei" w:eastAsia="黑体" w:cs="SimHei"/>
      <w:sz w:val="24"/>
      <w:szCs w:val="24"/>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rFonts w:ascii="SimHei" w:hAnsi="SimHei" w:eastAsia="黑体" w:cs="SimHei"/>
      <w:sz w:val="24"/>
      <w:szCs w:val="24"/>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rFonts w:ascii="SimHei" w:hAnsi="SimHei" w:eastAsia="黑体" w:cs="SimHei"/>
      <w:sz w:val="24"/>
      <w:szCs w:val="24"/>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rFonts w:ascii="SimHei" w:hAnsi="SimHei" w:eastAsia="黑体" w:cs="SimHei"/>
      <w:b w:val="false"/>
      <w:i w:val="false"/>
      <w:sz w:val="24"/>
      <w:szCs w:val="24"/>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rFonts w:ascii="SimHei" w:hAnsi="SimHei" w:eastAsia="黑体" w:cs="SimHei"/>
      <w:sz w:val="24"/>
      <w:szCs w:val="24"/>
    </w:rPr>
  </w:style>
  <w:style w:type="character" w:styleId="WW8Num13z1">
    <w:name w:val="WW8Num13z1"/>
    <w:qFormat/>
    <w:rPr>
      <w:rFonts w:ascii="SimHei" w:hAnsi="SimHei" w:eastAsia="黑体" w:cs="SimHei"/>
      <w:sz w:val="24"/>
      <w:szCs w:val="24"/>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rFonts w:ascii="SimHei" w:hAnsi="SimHei" w:eastAsia="黑体" w:cs="SimHei"/>
      <w:b w:val="false"/>
      <w:i w:val="false"/>
      <w:sz w:val="24"/>
      <w:szCs w:val="24"/>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rFonts w:ascii="SimHei" w:hAnsi="SimHei" w:eastAsia="黑体" w:cs="SimHei"/>
      <w:b w:val="false"/>
      <w:i w:val="false"/>
      <w:sz w:val="24"/>
      <w:szCs w:val="24"/>
    </w:rPr>
  </w:style>
  <w:style w:type="character" w:styleId="WW8Num15z1">
    <w:name w:val="WW8Num15z1"/>
    <w:qFormat/>
    <w:rPr>
      <w:rFonts w:ascii="SimHei" w:hAnsi="SimHei" w:eastAsia="黑体" w:cs="SimHei"/>
      <w:b w:val="false"/>
      <w:i w:val="false"/>
      <w:sz w:val="24"/>
      <w:szCs w:val="24"/>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rFonts w:ascii="SimHei" w:hAnsi="SimHei" w:eastAsia="黑体" w:cs="SimHei"/>
      <w:b w:val="false"/>
      <w:i w:val="false"/>
      <w:sz w:val="24"/>
      <w:szCs w:val="24"/>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rFonts w:ascii="SimHei" w:hAnsi="SimHei" w:eastAsia="黑体" w:cs="SimHei"/>
      <w:sz w:val="24"/>
      <w:szCs w:val="24"/>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rFonts w:ascii="SimHei" w:hAnsi="SimHei" w:eastAsia="黑体" w:cs="SimHei"/>
      <w:b w:val="false"/>
      <w:i w:val="false"/>
      <w:sz w:val="24"/>
      <w:szCs w:val="24"/>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rFonts w:ascii="SimHei" w:hAnsi="SimHei" w:eastAsia="黑体" w:cs="SimHei"/>
      <w:b w:val="false"/>
      <w:i w:val="false"/>
      <w:sz w:val="24"/>
      <w:szCs w:val="24"/>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rFonts w:ascii="SimHei" w:hAnsi="SimHei" w:eastAsia="黑体" w:cs="SimHei"/>
      <w:b w:val="false"/>
      <w:i w:val="false"/>
      <w:sz w:val="24"/>
      <w:szCs w:val="24"/>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rFonts w:ascii="SimHei" w:hAnsi="SimHei" w:eastAsia="黑体" w:cs="SimHei"/>
      <w:b w:val="false"/>
      <w:i w:val="false"/>
      <w:sz w:val="24"/>
      <w:szCs w:val="24"/>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rFonts w:ascii="SimHei" w:hAnsi="SimHei" w:eastAsia="黑体" w:cs="SimHei"/>
      <w:b w:val="false"/>
      <w:i w:val="false"/>
      <w:sz w:val="24"/>
      <w:szCs w:val="24"/>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0">
    <w:name w:val="WW8Num25z0"/>
    <w:qFormat/>
    <w:rPr>
      <w:rFonts w:ascii="SimHei" w:hAnsi="SimHei" w:eastAsia="黑体" w:cs="SimHei"/>
      <w:b w:val="false"/>
      <w:i w:val="false"/>
      <w:sz w:val="24"/>
      <w:szCs w:val="24"/>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0">
    <w:name w:val="WW8Num26z0"/>
    <w:qFormat/>
    <w:rPr>
      <w:rFonts w:ascii="SimHei" w:hAnsi="SimHei" w:eastAsia="黑体" w:cs="SimHei"/>
      <w:b/>
      <w:i w:val="false"/>
      <w:sz w:val="24"/>
      <w:szCs w:val="24"/>
      <w:lang w:val="en-US"/>
    </w:rPr>
  </w:style>
  <w:style w:type="character" w:styleId="WW8Num26z1">
    <w:name w:val="WW8Num26z1"/>
    <w:qFormat/>
    <w:rPr>
      <w:b/>
    </w:rPr>
  </w:style>
  <w:style w:type="character" w:styleId="WW8Num26z2">
    <w:name w:val="WW8Num26z2"/>
    <w:qFormat/>
    <w:rPr/>
  </w:style>
  <w:style w:type="character" w:styleId="WW8Num26z3">
    <w:name w:val="WW8Num26z3"/>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0">
    <w:name w:val="WW8Num27z0"/>
    <w:qFormat/>
    <w:rPr>
      <w:rFonts w:ascii="SimHei" w:hAnsi="SimHei" w:eastAsia="黑体" w:cs="SimHei"/>
      <w:b w:val="false"/>
      <w:i w:val="false"/>
      <w:sz w:val="24"/>
      <w:szCs w:val="24"/>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rFonts w:ascii="SimHei" w:hAnsi="SimHei" w:eastAsia="黑体" w:cs="SimHei"/>
      <w:b w:val="false"/>
      <w:i w:val="false"/>
      <w:sz w:val="24"/>
      <w:szCs w:val="24"/>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rFonts w:ascii="SimHei" w:hAnsi="SimHei" w:eastAsia="黑体" w:cs="SimHei"/>
      <w:b w:val="false"/>
      <w:i w:val="false"/>
      <w:sz w:val="24"/>
      <w:szCs w:val="24"/>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rFonts w:ascii="SimHei" w:hAnsi="SimHei" w:eastAsia="黑体" w:cs="SimHei"/>
      <w:b w:val="false"/>
      <w:i w:val="false"/>
      <w:sz w:val="24"/>
      <w:szCs w:val="24"/>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SimHei" w:hAnsi="SimHei" w:eastAsia="黑体" w:cs="SimHei"/>
      <w:b w:val="false"/>
      <w:i w:val="false"/>
      <w:sz w:val="24"/>
      <w:szCs w:val="24"/>
    </w:rPr>
  </w:style>
  <w:style w:type="character" w:styleId="WW8Num31z1">
    <w:name w:val="WW8Num31z1"/>
    <w:qFormat/>
    <w:rPr/>
  </w:style>
  <w:style w:type="character" w:styleId="WW8Num31z2">
    <w:name w:val="WW8Num31z2"/>
    <w:qFormat/>
    <w:rPr/>
  </w:style>
  <w:style w:type="character" w:styleId="WW8Num31z3">
    <w:name w:val="WW8Num31z3"/>
    <w:qFormat/>
    <w:rPr/>
  </w:style>
  <w:style w:type="character" w:styleId="WW8Num31z4">
    <w:name w:val="WW8Num31z4"/>
    <w:qFormat/>
    <w:rPr/>
  </w:style>
  <w:style w:type="character" w:styleId="WW8Num31z5">
    <w:name w:val="WW8Num31z5"/>
    <w:qFormat/>
    <w:rPr/>
  </w:style>
  <w:style w:type="character" w:styleId="WW8Num31z6">
    <w:name w:val="WW8Num31z6"/>
    <w:qFormat/>
    <w:rPr/>
  </w:style>
  <w:style w:type="character" w:styleId="WW8Num31z7">
    <w:name w:val="WW8Num31z7"/>
    <w:qFormat/>
    <w:rPr/>
  </w:style>
  <w:style w:type="character" w:styleId="WW8Num31z8">
    <w:name w:val="WW8Num31z8"/>
    <w:qFormat/>
    <w:rPr/>
  </w:style>
  <w:style w:type="character" w:styleId="WW8Num32z0">
    <w:name w:val="WW8Num32z0"/>
    <w:qFormat/>
    <w:rPr>
      <w:rFonts w:ascii="SimHei" w:hAnsi="SimHei" w:eastAsia="黑体" w:cs="SimHei"/>
      <w:b w:val="false"/>
      <w:i w:val="false"/>
      <w:sz w:val="24"/>
      <w:szCs w:val="24"/>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WW8Num33z0">
    <w:name w:val="WW8Num33z0"/>
    <w:qFormat/>
    <w:rPr>
      <w:rFonts w:ascii="SimHei" w:hAnsi="SimHei" w:eastAsia="黑体" w:cs="SimHei"/>
      <w:b w:val="false"/>
      <w:i w:val="false"/>
      <w:sz w:val="24"/>
      <w:szCs w:val="24"/>
    </w:rPr>
  </w:style>
  <w:style w:type="character" w:styleId="WW8Num33z1">
    <w:name w:val="WW8Num33z1"/>
    <w:qFormat/>
    <w:rPr/>
  </w:style>
  <w:style w:type="character" w:styleId="WW8Num33z2">
    <w:name w:val="WW8Num33z2"/>
    <w:qFormat/>
    <w:rPr/>
  </w:style>
  <w:style w:type="character" w:styleId="WW8Num33z3">
    <w:name w:val="WW8Num33z3"/>
    <w:qFormat/>
    <w:rPr/>
  </w:style>
  <w:style w:type="character" w:styleId="WW8Num33z4">
    <w:name w:val="WW8Num33z4"/>
    <w:qFormat/>
    <w:rPr/>
  </w:style>
  <w:style w:type="character" w:styleId="WW8Num33z5">
    <w:name w:val="WW8Num33z5"/>
    <w:qFormat/>
    <w:rPr/>
  </w:style>
  <w:style w:type="character" w:styleId="WW8Num33z6">
    <w:name w:val="WW8Num33z6"/>
    <w:qFormat/>
    <w:rPr/>
  </w:style>
  <w:style w:type="character" w:styleId="WW8Num33z7">
    <w:name w:val="WW8Num33z7"/>
    <w:qFormat/>
    <w:rPr/>
  </w:style>
  <w:style w:type="character" w:styleId="WW8Num33z8">
    <w:name w:val="WW8Num33z8"/>
    <w:qFormat/>
    <w:rPr/>
  </w:style>
  <w:style w:type="character" w:styleId="WW8Num34z0">
    <w:name w:val="WW8Num34z0"/>
    <w:qFormat/>
    <w:rPr>
      <w:rFonts w:ascii="SimHei" w:hAnsi="SimHei" w:eastAsia="黑体" w:cs="SimHei"/>
      <w:sz w:val="24"/>
      <w:szCs w:val="24"/>
    </w:rPr>
  </w:style>
  <w:style w:type="character" w:styleId="WW8Num34z1">
    <w:name w:val="WW8Num34z1"/>
    <w:qFormat/>
    <w:rPr/>
  </w:style>
  <w:style w:type="character" w:styleId="WW8Num34z2">
    <w:name w:val="WW8Num34z2"/>
    <w:qFormat/>
    <w:rPr/>
  </w:style>
  <w:style w:type="character" w:styleId="WW8Num34z3">
    <w:name w:val="WW8Num34z3"/>
    <w:qFormat/>
    <w:rPr/>
  </w:style>
  <w:style w:type="character" w:styleId="WW8Num34z4">
    <w:name w:val="WW8Num34z4"/>
    <w:qFormat/>
    <w:rPr/>
  </w:style>
  <w:style w:type="character" w:styleId="WW8Num34z5">
    <w:name w:val="WW8Num34z5"/>
    <w:qFormat/>
    <w:rPr/>
  </w:style>
  <w:style w:type="character" w:styleId="WW8Num34z6">
    <w:name w:val="WW8Num34z6"/>
    <w:qFormat/>
    <w:rPr/>
  </w:style>
  <w:style w:type="character" w:styleId="WW8Num34z7">
    <w:name w:val="WW8Num34z7"/>
    <w:qFormat/>
    <w:rPr/>
  </w:style>
  <w:style w:type="character" w:styleId="WW8Num34z8">
    <w:name w:val="WW8Num34z8"/>
    <w:qFormat/>
    <w:rPr/>
  </w:style>
  <w:style w:type="character" w:styleId="WW8Num35z0">
    <w:name w:val="WW8Num35z0"/>
    <w:qFormat/>
    <w:rPr>
      <w:rFonts w:ascii="SimHei" w:hAnsi="SimHei" w:eastAsia="黑体" w:cs="SimHei"/>
      <w:b w:val="false"/>
      <w:i w:val="false"/>
      <w:sz w:val="24"/>
      <w:szCs w:val="24"/>
    </w:rPr>
  </w:style>
  <w:style w:type="character" w:styleId="WW8Num35z1">
    <w:name w:val="WW8Num35z1"/>
    <w:qFormat/>
    <w:rPr/>
  </w:style>
  <w:style w:type="character" w:styleId="WW8Num35z2">
    <w:name w:val="WW8Num35z2"/>
    <w:qFormat/>
    <w:rPr/>
  </w:style>
  <w:style w:type="character" w:styleId="WW8Num35z3">
    <w:name w:val="WW8Num35z3"/>
    <w:qFormat/>
    <w:rPr/>
  </w:style>
  <w:style w:type="character" w:styleId="WW8Num35z4">
    <w:name w:val="WW8Num35z4"/>
    <w:qFormat/>
    <w:rPr/>
  </w:style>
  <w:style w:type="character" w:styleId="WW8Num35z5">
    <w:name w:val="WW8Num35z5"/>
    <w:qFormat/>
    <w:rPr/>
  </w:style>
  <w:style w:type="character" w:styleId="WW8Num35z6">
    <w:name w:val="WW8Num35z6"/>
    <w:qFormat/>
    <w:rPr/>
  </w:style>
  <w:style w:type="character" w:styleId="WW8Num35z7">
    <w:name w:val="WW8Num35z7"/>
    <w:qFormat/>
    <w:rPr/>
  </w:style>
  <w:style w:type="character" w:styleId="WW8Num35z8">
    <w:name w:val="WW8Num35z8"/>
    <w:qFormat/>
    <w:rPr/>
  </w:style>
  <w:style w:type="character" w:styleId="WW8Num36z0">
    <w:name w:val="WW8Num36z0"/>
    <w:qFormat/>
    <w:rPr>
      <w:rFonts w:ascii="SimHei" w:hAnsi="SimHei" w:eastAsia="黑体" w:cs="SimHei"/>
      <w:b w:val="false"/>
      <w:i w:val="false"/>
      <w:sz w:val="24"/>
      <w:szCs w:val="24"/>
    </w:rPr>
  </w:style>
  <w:style w:type="character" w:styleId="WW8Num36z1">
    <w:name w:val="WW8Num36z1"/>
    <w:qFormat/>
    <w:rPr/>
  </w:style>
  <w:style w:type="character" w:styleId="WW8Num36z2">
    <w:name w:val="WW8Num36z2"/>
    <w:qFormat/>
    <w:rPr/>
  </w:style>
  <w:style w:type="character" w:styleId="WW8Num36z3">
    <w:name w:val="WW8Num36z3"/>
    <w:qFormat/>
    <w:rPr/>
  </w:style>
  <w:style w:type="character" w:styleId="WW8Num36z4">
    <w:name w:val="WW8Num36z4"/>
    <w:qFormat/>
    <w:rPr/>
  </w:style>
  <w:style w:type="character" w:styleId="WW8Num36z5">
    <w:name w:val="WW8Num36z5"/>
    <w:qFormat/>
    <w:rPr/>
  </w:style>
  <w:style w:type="character" w:styleId="WW8Num36z6">
    <w:name w:val="WW8Num36z6"/>
    <w:qFormat/>
    <w:rPr/>
  </w:style>
  <w:style w:type="character" w:styleId="WW8Num36z7">
    <w:name w:val="WW8Num36z7"/>
    <w:qFormat/>
    <w:rPr/>
  </w:style>
  <w:style w:type="character" w:styleId="WW8Num36z8">
    <w:name w:val="WW8Num36z8"/>
    <w:qFormat/>
    <w:rPr/>
  </w:style>
  <w:style w:type="character" w:styleId="WW8Num37z0">
    <w:name w:val="WW8Num37z0"/>
    <w:qFormat/>
    <w:rPr>
      <w:rFonts w:ascii="SimHei" w:hAnsi="SimHei" w:eastAsia="黑体" w:cs="SimHei"/>
      <w:sz w:val="24"/>
      <w:szCs w:val="24"/>
    </w:rPr>
  </w:style>
  <w:style w:type="character" w:styleId="WW8Num37z1">
    <w:name w:val="WW8Num37z1"/>
    <w:qFormat/>
    <w:rPr/>
  </w:style>
  <w:style w:type="character" w:styleId="WW8Num37z2">
    <w:name w:val="WW8Num37z2"/>
    <w:qFormat/>
    <w:rPr/>
  </w:style>
  <w:style w:type="character" w:styleId="WW8Num37z3">
    <w:name w:val="WW8Num37z3"/>
    <w:qFormat/>
    <w:rPr/>
  </w:style>
  <w:style w:type="character" w:styleId="WW8Num37z4">
    <w:name w:val="WW8Num37z4"/>
    <w:qFormat/>
    <w:rPr/>
  </w:style>
  <w:style w:type="character" w:styleId="WW8Num37z5">
    <w:name w:val="WW8Num37z5"/>
    <w:qFormat/>
    <w:rPr/>
  </w:style>
  <w:style w:type="character" w:styleId="WW8Num37z6">
    <w:name w:val="WW8Num37z6"/>
    <w:qFormat/>
    <w:rPr/>
  </w:style>
  <w:style w:type="character" w:styleId="WW8Num37z7">
    <w:name w:val="WW8Num37z7"/>
    <w:qFormat/>
    <w:rPr/>
  </w:style>
  <w:style w:type="character" w:styleId="WW8Num37z8">
    <w:name w:val="WW8Num37z8"/>
    <w:qFormat/>
    <w:rPr/>
  </w:style>
  <w:style w:type="character" w:styleId="WW8Num38z0">
    <w:name w:val="WW8Num38z0"/>
    <w:qFormat/>
    <w:rPr>
      <w:rFonts w:ascii="SimHei" w:hAnsi="SimHei" w:eastAsia="黑体" w:cs="SimHei"/>
      <w:sz w:val="24"/>
      <w:szCs w:val="24"/>
    </w:rPr>
  </w:style>
  <w:style w:type="character" w:styleId="WW8Num38z1">
    <w:name w:val="WW8Num38z1"/>
    <w:qFormat/>
    <w:rPr/>
  </w:style>
  <w:style w:type="character" w:styleId="WW8Num38z2">
    <w:name w:val="WW8Num38z2"/>
    <w:qFormat/>
    <w:rPr/>
  </w:style>
  <w:style w:type="character" w:styleId="WW8Num38z3">
    <w:name w:val="WW8Num38z3"/>
    <w:qFormat/>
    <w:rPr/>
  </w:style>
  <w:style w:type="character" w:styleId="WW8Num38z4">
    <w:name w:val="WW8Num38z4"/>
    <w:qFormat/>
    <w:rPr/>
  </w:style>
  <w:style w:type="character" w:styleId="WW8Num38z5">
    <w:name w:val="WW8Num38z5"/>
    <w:qFormat/>
    <w:rPr/>
  </w:style>
  <w:style w:type="character" w:styleId="WW8Num38z6">
    <w:name w:val="WW8Num38z6"/>
    <w:qFormat/>
    <w:rPr/>
  </w:style>
  <w:style w:type="character" w:styleId="WW8Num38z7">
    <w:name w:val="WW8Num38z7"/>
    <w:qFormat/>
    <w:rPr/>
  </w:style>
  <w:style w:type="character" w:styleId="WW8Num38z8">
    <w:name w:val="WW8Num38z8"/>
    <w:qFormat/>
    <w:rPr/>
  </w:style>
  <w:style w:type="character" w:styleId="Style12">
    <w:name w:val="默认段落字体"/>
    <w:qFormat/>
    <w:rPr/>
  </w:style>
  <w:style w:type="character" w:styleId="PageNumber">
    <w:name w:val="Page Number"/>
    <w:basedOn w:val="Style12"/>
    <w:rPr/>
  </w:style>
  <w:style w:type="character" w:styleId="Introtext1">
    <w:name w:val="introtext1"/>
    <w:qFormat/>
    <w:rPr>
      <w:rFonts w:ascii="SimHei" w:hAnsi="SimHei" w:eastAsia="黑体" w:cs="SimHei"/>
      <w:color w:val="333366"/>
      <w:sz w:val="21"/>
      <w:szCs w:val="21"/>
    </w:rPr>
  </w:style>
  <w:style w:type="character" w:styleId="StrongEmphasis">
    <w:name w:val="Strong Emphasis"/>
    <w:qFormat/>
    <w:rPr>
      <w:b/>
      <w:bCs/>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3">
    <w:name w:val="正文文本缩进 3"/>
    <w:basedOn w:val="Normal"/>
    <w:qFormat/>
    <w:pPr>
      <w:spacing w:lineRule="atLeast" w:line="360"/>
      <w:ind w:firstLine="480"/>
    </w:pPr>
    <w:rPr>
      <w:sz w:val="24"/>
    </w:rPr>
  </w:style>
  <w:style w:type="paragraph" w:styleId="TextBodyIndent">
    <w:name w:val="Body Text Indent"/>
    <w:basedOn w:val="Normal"/>
    <w:pPr>
      <w:spacing w:lineRule="atLeast" w:line="360"/>
      <w:ind w:firstLine="540"/>
    </w:pPr>
    <w:rPr>
      <w:sz w:val="24"/>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Footer">
    <w:name w:val="Footer"/>
    <w:basedOn w:val="Normal"/>
    <w:pPr>
      <w:tabs>
        <w:tab w:val="clear" w:pos="420"/>
        <w:tab w:val="center" w:pos="4153" w:leader="none"/>
        <w:tab w:val="right" w:pos="8306" w:leader="none"/>
      </w:tabs>
      <w:snapToGrid w:val="false"/>
      <w:jc w:val="left"/>
    </w:pPr>
    <w:rPr>
      <w:sz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rPr>
  </w:style>
  <w:style w:type="paragraph" w:styleId="Contents1">
    <w:name w:val="TOC 1"/>
    <w:basedOn w:val="Normal"/>
    <w:next w:val="Normal"/>
    <w:pPr/>
    <w:rPr/>
  </w:style>
  <w:style w:type="paragraph" w:styleId="Contents2">
    <w:name w:val="TOC 2"/>
    <w:basedOn w:val="Normal"/>
    <w:next w:val="Normal"/>
    <w:pPr>
      <w:ind w:left="420" w:hanging="0"/>
    </w:pPr>
    <w:rPr/>
  </w:style>
  <w:style w:type="paragraph" w:styleId="14e">
    <w:name w:val="14e"/>
    <w:basedOn w:val="Normal"/>
    <w:qFormat/>
    <w:pPr>
      <w:widowControl/>
      <w:spacing w:lineRule="atLeast" w:line="300" w:before="280" w:after="280"/>
      <w:jc w:val="left"/>
    </w:pPr>
    <w:rPr>
      <w:rFonts w:ascii="SimHei" w:hAnsi="SimHei" w:eastAsia="黑体" w:cs="SimHei"/>
      <w:color w:val="000000"/>
      <w:kern w:val="0"/>
      <w:szCs w:val="21"/>
    </w:rPr>
  </w:style>
  <w:style w:type="paragraph" w:styleId="Style13">
    <w:name w:val="文档结构图"/>
    <w:basedOn w:val="Normal"/>
    <w:qFormat/>
    <w:pPr>
      <w:shd w:fill="000080" w:val="clear"/>
    </w:pPr>
    <w:rPr/>
  </w:style>
  <w:style w:type="paragraph" w:styleId="Style14">
    <w:name w:val="纯文本"/>
    <w:basedOn w:val="Normal"/>
    <w:qFormat/>
    <w:pPr>
      <w:ind w:firstLine="200"/>
    </w:pPr>
    <w:rPr>
      <w:rFonts w:ascii="SimHei" w:hAnsi="SimHei" w:eastAsia="黑体" w:cs="SimHei"/>
      <w:sz w:val="28"/>
    </w:rPr>
  </w:style>
  <w:style w:type="paragraph" w:styleId="Style15">
    <w:name w:val="普通(网站)"/>
    <w:basedOn w:val="Normal"/>
    <w:qFormat/>
    <w:pPr>
      <w:widowControl/>
      <w:spacing w:before="280" w:after="280"/>
      <w:jc w:val="left"/>
    </w:pPr>
    <w:rPr>
      <w:rFonts w:ascii="SimHei" w:hAnsi="SimHei" w:eastAsia="黑体" w:cs="SimHei"/>
      <w:kern w:val="0"/>
      <w:sz w:val="24"/>
      <w:szCs w:val="24"/>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95</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2007-06-18T03:09:00Z</dcterms:created>
  <dc:creator>jiangf</dc:creator>
  <dc:description/>
  <cp:keywords> </cp:keywords>
  <dc:language>en-US</dc:language>
  <cp:lastModifiedBy>VNN.R9</cp:lastModifiedBy>
  <dcterms:modified xsi:type="dcterms:W3CDTF">2022-10-11T16:39:00Z</dcterms:modified>
  <cp:revision>12</cp:revision>
  <dc:subject/>
  <dc:title>制度类文件</dc:title>
</cp:coreProperties>
</file>