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440" w:before="0" w:after="163"/>
        <w:jc w:val="center"/>
        <w:rPr>
          <w:rFonts w:ascii="SimHei" w:hAnsi="SimHei" w:eastAsia="黑体" w:cs="SimHei"/>
          <w:sz w:val="36"/>
          <w:szCs w:val="36"/>
        </w:rPr>
      </w:pPr>
      <w:r>
        <w:rPr>
          <w:rFonts w:ascii="SimHei" w:hAnsi="SimHei" w:eastAsia="黑体" w:cs="SimHei"/>
          <w:sz w:val="36"/>
          <w:szCs w:val="36"/>
        </w:rPr>
        <w:t>20xx</w:t>
      </w:r>
      <w:r>
        <w:rPr>
          <w:rFonts w:ascii="SimHei" w:hAnsi="SimHei" w:eastAsia="黑体" w:cs="SimHei"/>
          <w:sz w:val="36"/>
          <w:szCs w:val="36"/>
        </w:rPr>
        <w:t>年工作总结</w:t>
      </w:r>
      <w:r>
        <w:rPr>
          <w:rFonts w:ascii="SimHei" w:hAnsi="SimHei" w:eastAsia="黑体" w:cs="SimHei"/>
          <w:sz w:val="36"/>
          <w:szCs w:val="36"/>
        </w:rPr>
        <w:t>报告</w:t>
      </w:r>
      <w:r>
        <w:rPr>
          <w:rFonts w:ascii="SimHei" w:hAnsi="SimHei" w:eastAsia="黑体" w:cs="SimHei"/>
          <w:sz w:val="36"/>
          <w:szCs w:val="36"/>
        </w:rPr>
        <w:t>及</w:t>
      </w:r>
      <w:r>
        <w:rPr>
          <w:rFonts w:ascii="SimHei" w:hAnsi="SimHei" w:eastAsia="黑体" w:cs="SimHei"/>
          <w:sz w:val="36"/>
          <w:szCs w:val="36"/>
        </w:rPr>
        <w:t>20xx</w:t>
      </w:r>
      <w:r>
        <w:rPr>
          <w:rFonts w:ascii="SimHei" w:hAnsi="SimHei" w:eastAsia="黑体" w:cs="SimHei"/>
          <w:sz w:val="36"/>
          <w:szCs w:val="36"/>
        </w:rPr>
        <w:t>年工作计划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随着整个集团向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～</w:t>
      </w:r>
      <w:r>
        <w:rPr>
          <w:rFonts w:ascii="SimHei" w:hAnsi="SimHei" w:eastAsia="黑体" w:cs="SimHei"/>
        </w:rPr>
        <w:t>5</w:t>
      </w:r>
      <w:r>
        <w:rPr>
          <w:rFonts w:ascii="SimHei" w:hAnsi="SimHei" w:eastAsia="黑体" w:cs="SimHei"/>
        </w:rPr>
        <w:t>年战略目标及未来</w:t>
      </w:r>
      <w:r>
        <w:rPr>
          <w:rFonts w:ascii="SimHei" w:hAnsi="SimHei" w:eastAsia="黑体" w:cs="SimHei"/>
        </w:rPr>
        <w:t>10</w:t>
      </w:r>
      <w:r>
        <w:rPr>
          <w:rFonts w:ascii="SimHei" w:hAnsi="SimHei" w:eastAsia="黑体" w:cs="SimHei"/>
        </w:rPr>
        <w:t>年远景规划的不断迈进，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的各项工作也已到了阶段性、关键性的收尾和总结时期。作为一名普通员工，站在集团战略远景、经营管理和社会经济环境的交叉点上，回顾一年来的工作和成长经历，有很多工作事例、管理方法、实施程序、人力资源管理观念等，值得我反思、总结和学习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反思——即“其进锐者，其退速”，是为了吸取过去的经验教训，做得更稳健；总结——即“往者不可谏，来者犹可追”，是为了发扬以往的优势长处，做得更熟练；学习——即“博观而约取，厚积而薄发”，是为了丰富自己的知识技能，做得更专业。</w:t>
      </w:r>
    </w:p>
    <w:p>
      <w:pPr>
        <w:pStyle w:val="Normal"/>
        <w:spacing w:lineRule="exact" w:line="440"/>
        <w:ind w:firstLine="480"/>
        <w:rPr/>
      </w:pPr>
      <w:r>
        <w:rPr>
          <w:rFonts w:ascii="SimHei" w:hAnsi="SimHei" w:eastAsia="黑体" w:cs="SimHei"/>
        </w:rPr>
        <w:t>遵循以上原则，综观全年工作，有以下总结、分析、收获和展望：</w:t>
      </w:r>
    </w:p>
    <w:p>
      <w:pPr>
        <w:pStyle w:val="Normal"/>
        <w:spacing w:lineRule="exact" w:line="440" w:before="163" w:after="163"/>
        <w:rPr/>
      </w:pPr>
      <w:r>
        <w:rPr>
          <w:rFonts w:ascii="SimHei" w:hAnsi="SimHei" w:eastAsia="黑体" w:cs="SimHei"/>
          <w:b/>
          <w:sz w:val="28"/>
          <w:szCs w:val="28"/>
        </w:rPr>
        <w:t>一、</w:t>
      </w:r>
      <w:r>
        <w:rPr>
          <w:rFonts w:ascii="SimHei" w:hAnsi="SimHei" w:eastAsia="黑体" w:cs="SimHei"/>
          <w:b/>
          <w:sz w:val="28"/>
          <w:szCs w:val="28"/>
        </w:rPr>
        <w:t>20xx</w:t>
      </w:r>
      <w:r>
        <w:rPr>
          <w:rFonts w:ascii="SimHei" w:hAnsi="SimHei" w:eastAsia="黑体" w:cs="SimHei"/>
          <w:b/>
          <w:sz w:val="28"/>
          <w:szCs w:val="28"/>
        </w:rPr>
        <w:t>年工作完成情况：</w:t>
      </w:r>
    </w:p>
    <w:p>
      <w:pPr>
        <w:pStyle w:val="Normal"/>
        <w:spacing w:lineRule="exact" w:line="440" w:before="97" w:after="97"/>
        <w:rPr/>
      </w:pPr>
      <w:r>
        <w:rPr>
          <w:rFonts w:ascii="SimHei" w:hAnsi="SimHei" w:eastAsia="黑体" w:cs="SimHei"/>
          <w:b/>
        </w:rPr>
        <w:t>（一）培训工作的交接，部分工作的后续跟踪：</w:t>
      </w:r>
    </w:p>
    <w:p>
      <w:pPr>
        <w:pStyle w:val="Normal"/>
        <w:spacing w:lineRule="exact" w:line="440"/>
        <w:ind w:firstLine="480"/>
        <w:rPr/>
      </w:pPr>
      <w:r>
        <w:rPr>
          <w:rFonts w:ascii="SimHei" w:hAnsi="SimHei" w:eastAsia="黑体" w:cs="SimHei"/>
        </w:rPr>
        <w:t>因</w:t>
      </w:r>
      <w:r>
        <w:rPr>
          <w:rFonts w:ascii="SimHei" w:hAnsi="SimHei" w:eastAsia="黑体" w:cs="SimHei"/>
        </w:rPr>
        <w:t>人力资源部</w:t>
      </w:r>
      <w:r>
        <w:rPr>
          <w:rFonts w:ascii="SimHei" w:hAnsi="SimHei" w:eastAsia="黑体" w:cs="SimHei"/>
        </w:rPr>
        <w:t>内部工作调整，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月</w:t>
      </w:r>
      <w:r>
        <w:rPr>
          <w:rFonts w:ascii="SimHei" w:hAnsi="SimHei" w:eastAsia="黑体" w:cs="SimHei"/>
        </w:rPr>
        <w:t>已</w:t>
      </w:r>
      <w:r>
        <w:rPr>
          <w:rFonts w:ascii="SimHei" w:hAnsi="SimHei" w:eastAsia="黑体" w:cs="SimHei"/>
        </w:rPr>
        <w:t>将</w:t>
      </w:r>
      <w:r>
        <w:rPr>
          <w:rFonts w:ascii="SimHei" w:hAnsi="SimHei" w:eastAsia="黑体" w:cs="SimHei"/>
        </w:rPr>
        <w:t>全部</w:t>
      </w:r>
      <w:r>
        <w:rPr>
          <w:rFonts w:ascii="SimHei" w:hAnsi="SimHei" w:eastAsia="黑体" w:cs="SimHei"/>
        </w:rPr>
        <w:t>培训工作</w:t>
      </w:r>
      <w:r>
        <w:rPr>
          <w:rFonts w:ascii="SimHei" w:hAnsi="SimHei" w:eastAsia="黑体" w:cs="SimHei"/>
        </w:rPr>
        <w:t>交接给</w:t>
      </w:r>
      <w:r>
        <w:rPr>
          <w:rFonts w:ascii="SimHei" w:hAnsi="SimHei" w:eastAsia="黑体" w:cs="SimHei"/>
        </w:rPr>
        <w:t>×××</w:t>
      </w:r>
      <w:r>
        <w:rPr>
          <w:rFonts w:ascii="SimHei" w:hAnsi="SimHei" w:eastAsia="黑体" w:cs="SimHei"/>
        </w:rPr>
        <w:t>，并将涉及培训、员工资质的证件和文件资料转交，</w:t>
      </w:r>
      <w:r>
        <w:rPr>
          <w:rFonts w:ascii="SimHei" w:hAnsi="SimHei" w:eastAsia="黑体" w:cs="SimHei"/>
        </w:rPr>
        <w:t>协助其完成</w:t>
      </w:r>
      <w:r>
        <w:rPr>
          <w:rFonts w:ascii="SimHei" w:hAnsi="SimHei" w:eastAsia="黑体" w:cs="SimHei"/>
        </w:rPr>
        <w:t>了</w:t>
      </w:r>
      <w:r>
        <w:rPr>
          <w:rFonts w:ascii="SimHei" w:hAnsi="SimHei" w:eastAsia="黑体" w:cs="SimHei"/>
        </w:rPr>
        <w:t>部分工作的后续跟踪</w:t>
      </w:r>
      <w:r>
        <w:rPr>
          <w:rFonts w:ascii="SimHei" w:hAnsi="SimHei" w:eastAsia="黑体" w:cs="SimHei"/>
        </w:rPr>
        <w:t>。</w:t>
      </w:r>
    </w:p>
    <w:p>
      <w:pPr>
        <w:pStyle w:val="Normal"/>
        <w:spacing w:lineRule="exact" w:line="440"/>
        <w:ind w:firstLine="480"/>
        <w:rPr/>
      </w:pPr>
      <w:r>
        <w:rPr>
          <w:rFonts w:ascii="SimHei" w:hAnsi="SimHei" w:eastAsia="黑体" w:cs="SimHei"/>
        </w:rPr>
        <w:t>1.</w:t>
      </w:r>
      <w:r>
        <w:rPr>
          <w:rFonts w:ascii="SimHei" w:hAnsi="SimHei" w:eastAsia="黑体" w:cs="SimHei"/>
        </w:rPr>
        <w:t>交接的证件和文件（资料）包括：预算员印章、质检员印章、证件借阅记录、年度培训计划、见证取样员印章、建造师执业印章、费用统计计划表、特种作业人员钢印、各部门培训考试试卷、建造师变更及注册材料、职称评定相关档案资料、</w:t>
      </w:r>
      <w:r>
        <w:rPr>
          <w:rFonts w:ascii="SimHei" w:hAnsi="SimHei" w:eastAsia="黑体" w:cs="SimHei"/>
        </w:rPr>
        <w:t>集团</w:t>
      </w:r>
      <w:r>
        <w:rPr>
          <w:rFonts w:ascii="SimHei" w:hAnsi="SimHei" w:eastAsia="黑体" w:cs="SimHei"/>
        </w:rPr>
        <w:t>相关</w:t>
      </w:r>
      <w:r>
        <w:rPr>
          <w:rFonts w:ascii="SimHei" w:hAnsi="SimHei" w:eastAsia="黑体" w:cs="SimHei"/>
        </w:rPr>
        <w:t>员工资质</w:t>
      </w:r>
      <w:r>
        <w:rPr>
          <w:rFonts w:ascii="SimHei" w:hAnsi="SimHei" w:eastAsia="黑体" w:cs="SimHei"/>
        </w:rPr>
        <w:t>及执业</w:t>
      </w:r>
      <w:r>
        <w:rPr>
          <w:rFonts w:ascii="SimHei" w:hAnsi="SimHei" w:eastAsia="黑体" w:cs="SimHei"/>
        </w:rPr>
        <w:t>证件</w:t>
      </w:r>
      <w:r>
        <w:rPr>
          <w:rFonts w:ascii="SimHei" w:hAnsi="SimHei" w:eastAsia="黑体" w:cs="SimHei"/>
        </w:rPr>
        <w:t>等。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2.</w:t>
      </w:r>
      <w:r>
        <w:rPr>
          <w:rFonts w:ascii="SimHei" w:hAnsi="SimHei" w:eastAsia="黑体" w:cs="SimHei"/>
        </w:rPr>
        <w:t>协助完成的后续工作主要有</w:t>
      </w:r>
      <w:r>
        <w:rPr>
          <w:rFonts w:ascii="SimHei" w:hAnsi="SimHei" w:eastAsia="黑体" w:cs="SimHei"/>
        </w:rPr>
        <w:t>：①</w:t>
      </w:r>
      <w:r>
        <w:rPr>
          <w:rFonts w:ascii="SimHei" w:hAnsi="SimHei" w:eastAsia="黑体" w:cs="SimHei"/>
        </w:rPr>
        <w:t>××</w:t>
      </w:r>
      <w:r>
        <w:rPr>
          <w:rFonts w:ascii="SimHei" w:hAnsi="SimHei" w:eastAsia="黑体" w:cs="SimHei"/>
        </w:rPr>
        <w:t>安全员（</w:t>
      </w:r>
      <w:r>
        <w:rPr>
          <w:rFonts w:ascii="SimHei" w:hAnsi="SimHei" w:eastAsia="黑体" w:cs="SimHei"/>
        </w:rPr>
        <w:t>A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B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C</w:t>
      </w:r>
      <w:r>
        <w:rPr>
          <w:rFonts w:ascii="SimHei" w:hAnsi="SimHei" w:eastAsia="黑体" w:cs="SimHei"/>
        </w:rPr>
        <w:t>类人员</w:t>
      </w:r>
      <w:r>
        <w:rPr>
          <w:rFonts w:ascii="SimHei" w:hAnsi="SimHei" w:eastAsia="黑体" w:cs="SimHei"/>
        </w:rPr>
        <w:t>共</w:t>
      </w:r>
      <w:r>
        <w:rPr>
          <w:rFonts w:ascii="SimHei" w:hAnsi="SimHei" w:eastAsia="黑体" w:cs="SimHei"/>
        </w:rPr>
        <w:t>55</w:t>
      </w:r>
      <w:r>
        <w:rPr>
          <w:rFonts w:ascii="SimHei" w:hAnsi="SimHei" w:eastAsia="黑体" w:cs="SimHei"/>
        </w:rPr>
        <w:t>人）继续教育的报名、考试</w:t>
      </w:r>
      <w:r>
        <w:rPr>
          <w:rFonts w:ascii="SimHei" w:hAnsi="SimHei" w:eastAsia="黑体" w:cs="SimHei"/>
        </w:rPr>
        <w:t>、组卷、报卷</w:t>
      </w:r>
      <w:r>
        <w:rPr>
          <w:rFonts w:ascii="SimHei" w:hAnsi="SimHei" w:eastAsia="黑体" w:cs="SimHei"/>
        </w:rPr>
        <w:t>和取证工作；②</w:t>
      </w:r>
      <w:r>
        <w:rPr>
          <w:rFonts w:ascii="SimHei" w:hAnsi="SimHei" w:eastAsia="黑体" w:cs="SimHei"/>
        </w:rPr>
        <w:t>完成</w:t>
      </w:r>
      <w:r>
        <w:rPr>
          <w:rFonts w:ascii="SimHei" w:hAnsi="SimHei" w:eastAsia="黑体" w:cs="SimHei"/>
        </w:rPr>
        <w:t>部分特种作业（塔式起重机）人员</w:t>
      </w:r>
      <w:r>
        <w:rPr>
          <w:rFonts w:ascii="SimHei" w:hAnsi="SimHei" w:eastAsia="黑体" w:cs="SimHei"/>
        </w:rPr>
        <w:t>的</w:t>
      </w:r>
      <w:r>
        <w:rPr>
          <w:rFonts w:ascii="SimHei" w:hAnsi="SimHei" w:eastAsia="黑体" w:cs="SimHei"/>
        </w:rPr>
        <w:t>培训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理论考试</w:t>
      </w:r>
      <w:r>
        <w:rPr>
          <w:rFonts w:ascii="SimHei" w:hAnsi="SimHei" w:eastAsia="黑体" w:cs="SimHei"/>
        </w:rPr>
        <w:t>和网上申报；③其他与政府部门、建设部门等有关的申报事项</w:t>
      </w:r>
      <w:r>
        <w:rPr>
          <w:rFonts w:ascii="SimHei" w:hAnsi="SimHei" w:eastAsia="黑体" w:cs="SimHei"/>
        </w:rPr>
        <w:t>。</w:t>
      </w:r>
    </w:p>
    <w:p>
      <w:pPr>
        <w:pStyle w:val="Normal"/>
        <w:spacing w:lineRule="exact" w:line="440" w:before="97" w:after="97"/>
        <w:rPr/>
      </w:pPr>
      <w:r>
        <w:rPr>
          <w:rFonts w:ascii="SimHei" w:hAnsi="SimHei" w:eastAsia="黑体" w:cs="SimHei"/>
          <w:b/>
        </w:rPr>
        <w:t>（二）</w:t>
      </w:r>
      <w:r>
        <w:rPr>
          <w:rFonts w:ascii="SimHei" w:hAnsi="SimHei" w:eastAsia="黑体" w:cs="SimHei"/>
          <w:b/>
        </w:rPr>
        <w:t>1</w:t>
      </w:r>
      <w:r>
        <w:rPr>
          <w:rFonts w:ascii="SimHei" w:hAnsi="SimHei" w:eastAsia="黑体" w:cs="SimHei"/>
          <w:b/>
        </w:rPr>
        <w:t>～</w:t>
      </w:r>
      <w:r>
        <w:rPr>
          <w:rFonts w:ascii="SimHei" w:hAnsi="SimHei" w:eastAsia="黑体" w:cs="SimHei"/>
          <w:b/>
        </w:rPr>
        <w:t>6</w:t>
      </w:r>
      <w:r>
        <w:rPr>
          <w:rFonts w:ascii="SimHei" w:hAnsi="SimHei" w:eastAsia="黑体" w:cs="SimHei"/>
          <w:b/>
        </w:rPr>
        <w:t>月份</w:t>
      </w:r>
      <w:r>
        <w:rPr>
          <w:rFonts w:ascii="SimHei" w:hAnsi="SimHei" w:eastAsia="黑体" w:cs="SimHei"/>
          <w:b/>
        </w:rPr>
        <w:t>的招聘工作：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今年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～</w:t>
      </w:r>
      <w:r>
        <w:rPr>
          <w:rFonts w:ascii="SimHei" w:hAnsi="SimHei" w:eastAsia="黑体" w:cs="SimHei"/>
        </w:rPr>
        <w:t>6</w:t>
      </w:r>
      <w:r>
        <w:rPr>
          <w:rFonts w:ascii="SimHei" w:hAnsi="SimHei" w:eastAsia="黑体" w:cs="SimHei"/>
        </w:rPr>
        <w:t>月份共参加招聘会</w:t>
      </w:r>
      <w:r>
        <w:rPr>
          <w:rFonts w:ascii="SimHei" w:hAnsi="SimHei" w:eastAsia="黑体" w:cs="SimHei"/>
        </w:rPr>
        <w:t>20</w:t>
      </w:r>
      <w:r>
        <w:rPr>
          <w:rFonts w:ascii="SimHei" w:hAnsi="SimHei" w:eastAsia="黑体" w:cs="SimHei"/>
        </w:rPr>
        <w:t>场，其中校园招聘会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场，异地大型招聘会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场，</w:t>
      </w:r>
      <w:r>
        <w:rPr>
          <w:rFonts w:ascii="SimHei" w:hAnsi="SimHei" w:eastAsia="黑体" w:cs="SimHei"/>
        </w:rPr>
        <w:t>××</w:t>
      </w:r>
      <w:r>
        <w:rPr>
          <w:rFonts w:ascii="SimHei" w:hAnsi="SimHei" w:eastAsia="黑体" w:cs="SimHei"/>
        </w:rPr>
        <w:t>人才市场招聘会</w:t>
      </w:r>
      <w:r>
        <w:rPr>
          <w:rFonts w:ascii="SimHei" w:hAnsi="SimHei" w:eastAsia="黑体" w:cs="SimHei"/>
        </w:rPr>
        <w:t>17</w:t>
      </w:r>
      <w:r>
        <w:rPr>
          <w:rFonts w:ascii="SimHei" w:hAnsi="SimHei" w:eastAsia="黑体" w:cs="SimHei"/>
        </w:rPr>
        <w:t>场；结合网络招聘，上半年共为集团各用人部门推荐</w:t>
      </w:r>
      <w:r>
        <w:rPr>
          <w:rFonts w:ascii="SimHei" w:hAnsi="SimHei" w:eastAsia="黑体" w:cs="SimHei"/>
        </w:rPr>
        <w:t>779</w:t>
      </w:r>
      <w:r>
        <w:rPr>
          <w:rFonts w:ascii="SimHei" w:hAnsi="SimHei" w:eastAsia="黑体" w:cs="SimHei"/>
        </w:rPr>
        <w:t>人（不包含施工及一线生产人员）。经筛选，参加面试的约为</w:t>
      </w:r>
      <w:r>
        <w:rPr>
          <w:rFonts w:ascii="SimHei" w:hAnsi="SimHei" w:eastAsia="黑体" w:cs="SimHei"/>
        </w:rPr>
        <w:t>120</w:t>
      </w:r>
      <w:r>
        <w:rPr>
          <w:rFonts w:ascii="SimHei" w:hAnsi="SimHei" w:eastAsia="黑体" w:cs="SimHei"/>
        </w:rPr>
        <w:t>人，上岗</w:t>
      </w:r>
      <w:r>
        <w:rPr>
          <w:rFonts w:ascii="SimHei" w:hAnsi="SimHei" w:eastAsia="黑体" w:cs="SimHei"/>
        </w:rPr>
        <w:t>28</w:t>
      </w:r>
      <w:r>
        <w:rPr>
          <w:rFonts w:ascii="SimHei" w:hAnsi="SimHei" w:eastAsia="黑体" w:cs="SimHei"/>
        </w:rPr>
        <w:t>人，目前在职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5</w:t>
      </w:r>
      <w:r>
        <w:rPr>
          <w:rFonts w:ascii="SimHei" w:hAnsi="SimHei" w:eastAsia="黑体" w:cs="SimHei"/>
        </w:rPr>
        <w:t>人（见表一）。其中管理人员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人，财务人员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人，销售人员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人，工程技术人员</w:t>
      </w:r>
      <w:r>
        <w:rPr>
          <w:rFonts w:ascii="SimHei" w:hAnsi="SimHei" w:eastAsia="黑体" w:cs="SimHei"/>
        </w:rPr>
        <w:t>6</w:t>
      </w:r>
      <w:r>
        <w:rPr>
          <w:rFonts w:ascii="SimHei" w:hAnsi="SimHei" w:eastAsia="黑体" w:cs="SimHei"/>
        </w:rPr>
        <w:t>人，其他类别员工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人。推荐与面试比为约为</w:t>
      </w:r>
      <w:r>
        <w:rPr>
          <w:rFonts w:ascii="SimHei" w:hAnsi="SimHei" w:eastAsia="黑体" w:cs="SimHei"/>
        </w:rPr>
        <w:t>6.5</w:t>
      </w:r>
      <w:r>
        <w:rPr>
          <w:rFonts w:ascii="SimHei" w:hAnsi="SimHei" w:eastAsia="黑体" w:cs="SimHei"/>
          <w:b/>
        </w:rPr>
        <w:t xml:space="preserve"> </w:t>
      </w:r>
      <w:r>
        <w:rPr>
          <w:rFonts w:ascii="SimHei" w:hAnsi="SimHei" w:eastAsia="黑体" w:cs="SimHei"/>
          <w:b/>
        </w:rPr>
        <w:t>:</w:t>
      </w:r>
      <w:r>
        <w:rPr>
          <w:rFonts w:ascii="SimHei" w:hAnsi="SimHei" w:eastAsia="黑体" w:cs="SimHei"/>
          <w:b/>
        </w:rPr>
        <w:t xml:space="preserve"> 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，面试与录用比约为</w:t>
      </w:r>
      <w:r>
        <w:rPr>
          <w:rFonts w:ascii="SimHei" w:hAnsi="SimHei" w:eastAsia="黑体" w:cs="SimHei"/>
        </w:rPr>
        <w:t xml:space="preserve">4.3 </w:t>
      </w:r>
      <w:r>
        <w:rPr>
          <w:rFonts w:ascii="SimHei" w:hAnsi="SimHei" w:eastAsia="黑体" w:cs="SimHei"/>
          <w:b/>
        </w:rPr>
        <w:t xml:space="preserve">: 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。</w:t>
      </w:r>
    </w:p>
    <w:p>
      <w:pPr>
        <w:pStyle w:val="Normal"/>
        <w:spacing w:lineRule="exact" w:line="440" w:before="97" w:after="97"/>
        <w:jc w:val="center"/>
        <w:rPr>
          <w:rFonts w:ascii="SimHei" w:hAnsi="SimHei" w:eastAsia="黑体" w:cs="SimHei"/>
          <w:b/>
          <w:b/>
          <w:sz w:val="21"/>
          <w:szCs w:val="21"/>
        </w:rPr>
      </w:pPr>
      <w:r>
        <w:rPr>
          <w:rFonts w:ascii="SimHei" w:hAnsi="SimHei" w:eastAsia="黑体" w:cs="SimHei"/>
          <w:b/>
          <w:sz w:val="21"/>
          <w:szCs w:val="21"/>
        </w:rPr>
        <w:t xml:space="preserve">表一 </w:t>
      </w:r>
      <w:r>
        <w:rPr>
          <w:rFonts w:ascii="SimHei" w:hAnsi="SimHei" w:eastAsia="黑体" w:cs="SimHei"/>
          <w:b/>
          <w:sz w:val="21"/>
          <w:szCs w:val="21"/>
        </w:rPr>
        <w:t>20xx</w:t>
      </w:r>
      <w:r>
        <w:rPr>
          <w:rFonts w:ascii="SimHei" w:hAnsi="SimHei" w:eastAsia="黑体" w:cs="SimHei"/>
          <w:b/>
          <w:sz w:val="21"/>
          <w:szCs w:val="21"/>
        </w:rPr>
        <w:t>年</w:t>
      </w:r>
      <w:r>
        <w:rPr>
          <w:rFonts w:ascii="SimHei" w:hAnsi="SimHei" w:eastAsia="黑体" w:cs="SimHei"/>
          <w:b/>
          <w:sz w:val="21"/>
          <w:szCs w:val="21"/>
        </w:rPr>
        <w:t>1</w:t>
      </w:r>
      <w:r>
        <w:rPr>
          <w:rFonts w:ascii="SimHei" w:hAnsi="SimHei" w:eastAsia="黑体" w:cs="SimHei"/>
          <w:b/>
          <w:sz w:val="21"/>
          <w:szCs w:val="21"/>
        </w:rPr>
        <w:t>～</w:t>
      </w:r>
      <w:r>
        <w:rPr>
          <w:rFonts w:ascii="SimHei" w:hAnsi="SimHei" w:eastAsia="黑体" w:cs="SimHei"/>
          <w:b/>
          <w:sz w:val="21"/>
          <w:szCs w:val="21"/>
        </w:rPr>
        <w:t>6</w:t>
      </w:r>
      <w:r>
        <w:rPr>
          <w:rFonts w:ascii="SimHei" w:hAnsi="SimHei" w:eastAsia="黑体" w:cs="SimHei"/>
          <w:b/>
          <w:sz w:val="21"/>
          <w:szCs w:val="21"/>
        </w:rPr>
        <w:t>月份招聘情况汇总</w:t>
      </w:r>
    </w:p>
    <w:tbl>
      <w:tblPr>
        <w:tblW w:w="920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150"/>
        <w:gridCol w:w="1150"/>
        <w:gridCol w:w="1151"/>
        <w:gridCol w:w="1150"/>
        <w:gridCol w:w="1150"/>
        <w:gridCol w:w="1150"/>
        <w:gridCol w:w="1151"/>
      </w:tblGrid>
      <w:tr>
        <w:trPr>
          <w:trHeight w:val="512" w:hRule="atLeast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right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月份</w:t>
            </w:r>
          </w:p>
          <w:p>
            <w:pPr>
              <w:pStyle w:val="Normal"/>
              <w:spacing w:lineRule="exact" w:line="320"/>
              <w:jc w:val="left"/>
              <w:rPr>
                <w:rFonts w:ascii="SimHei" w:hAnsi="SimHei" w:eastAsia="黑体" w:cs="SimHei"/>
                <w:b/>
                <w:b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人数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sz w:val="21"/>
                <w:szCs w:val="21"/>
              </w:rPr>
              <w:t>1</w:t>
            </w:r>
            <w:r>
              <w:rPr>
                <w:rFonts w:ascii="SimHei" w:hAnsi="SimHei" w:eastAsia="黑体" w:cs="SimHei"/>
                <w:b/>
                <w:sz w:val="21"/>
                <w:szCs w:val="21"/>
              </w:rPr>
              <w:t>月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sz w:val="21"/>
                <w:szCs w:val="21"/>
              </w:rPr>
              <w:t>2</w:t>
            </w:r>
            <w:r>
              <w:rPr>
                <w:rFonts w:ascii="SimHei" w:hAnsi="SimHei" w:eastAsia="黑体" w:cs="SimHei"/>
                <w:b/>
                <w:sz w:val="21"/>
                <w:szCs w:val="21"/>
              </w:rPr>
              <w:t>月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sz w:val="21"/>
                <w:szCs w:val="21"/>
              </w:rPr>
              <w:t>3</w:t>
            </w:r>
            <w:r>
              <w:rPr>
                <w:rFonts w:ascii="SimHei" w:hAnsi="SimHei" w:eastAsia="黑体" w:cs="SimHei"/>
                <w:b/>
                <w:sz w:val="21"/>
                <w:szCs w:val="21"/>
              </w:rPr>
              <w:t>月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sz w:val="21"/>
                <w:szCs w:val="21"/>
              </w:rPr>
              <w:t>4</w:t>
            </w:r>
            <w:r>
              <w:rPr>
                <w:rFonts w:ascii="SimHei" w:hAnsi="SimHei" w:eastAsia="黑体" w:cs="SimHei"/>
                <w:b/>
                <w:sz w:val="21"/>
                <w:szCs w:val="21"/>
              </w:rPr>
              <w:t>月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sz w:val="21"/>
                <w:szCs w:val="21"/>
              </w:rPr>
              <w:t>5</w:t>
            </w:r>
            <w:r>
              <w:rPr>
                <w:rFonts w:ascii="SimHei" w:hAnsi="SimHei" w:eastAsia="黑体" w:cs="SimHei"/>
                <w:b/>
                <w:sz w:val="21"/>
                <w:szCs w:val="21"/>
              </w:rPr>
              <w:t>月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sz w:val="21"/>
                <w:szCs w:val="21"/>
              </w:rPr>
              <w:t>6</w:t>
            </w:r>
            <w:r>
              <w:rPr>
                <w:rFonts w:ascii="SimHei" w:hAnsi="SimHei" w:eastAsia="黑体" w:cs="SimHei"/>
                <w:b/>
                <w:sz w:val="21"/>
                <w:szCs w:val="21"/>
              </w:rPr>
              <w:t>月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sz w:val="21"/>
                <w:szCs w:val="21"/>
              </w:rPr>
              <w:t>合计</w:t>
            </w:r>
          </w:p>
        </w:tc>
      </w:tr>
      <w:tr>
        <w:trPr/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sz w:val="21"/>
                <w:szCs w:val="21"/>
              </w:rPr>
              <w:t>推荐人数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86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春节休假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269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102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215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107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779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</w:tr>
      <w:tr>
        <w:trPr/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sz w:val="21"/>
                <w:szCs w:val="21"/>
              </w:rPr>
              <w:t>上岗人数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3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春节休假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3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2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14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6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28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</w:tr>
      <w:tr>
        <w:trPr/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sz w:val="21"/>
                <w:szCs w:val="21"/>
              </w:rPr>
              <w:t>目前在职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2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0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2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1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4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6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1</w:t>
            </w:r>
            <w:r>
              <w:rPr>
                <w:rFonts w:ascii="SimHei" w:hAnsi="SimHei" w:eastAsia="黑体" w:cs="SimHei"/>
                <w:sz w:val="21"/>
                <w:szCs w:val="21"/>
              </w:rPr>
              <w:t>5</w:t>
            </w:r>
            <w:r>
              <w:rPr>
                <w:rFonts w:ascii="SimHei" w:hAnsi="SimHei" w:eastAsia="黑体" w:cs="SimHei"/>
                <w:sz w:val="21"/>
                <w:szCs w:val="21"/>
              </w:rPr>
              <w:t>人</w:t>
            </w:r>
          </w:p>
        </w:tc>
      </w:tr>
    </w:tbl>
    <w:p>
      <w:pPr>
        <w:pStyle w:val="Normal"/>
        <w:spacing w:lineRule="exact" w:line="440" w:before="97" w:after="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表二为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～</w:t>
      </w:r>
      <w:r>
        <w:rPr>
          <w:rFonts w:ascii="SimHei" w:hAnsi="SimHei" w:eastAsia="黑体" w:cs="SimHei"/>
        </w:rPr>
        <w:t>6</w:t>
      </w:r>
      <w:r>
        <w:rPr>
          <w:rFonts w:ascii="SimHei" w:hAnsi="SimHei" w:eastAsia="黑体" w:cs="SimHei"/>
        </w:rPr>
        <w:t>月份集团员工变动的情况统计；并且到目前为止，外部招聘仍为集团各部门、各子公司、各管理岗位人力资源的主要来源，约占员工入职及调动人数的</w:t>
      </w:r>
      <w:r>
        <w:rPr>
          <w:rFonts w:ascii="SimHei" w:hAnsi="SimHei" w:eastAsia="黑体" w:cs="SimHei"/>
        </w:rPr>
        <w:t>71%</w:t>
      </w:r>
      <w:r>
        <w:rPr>
          <w:rFonts w:ascii="SimHei" w:hAnsi="SimHei" w:eastAsia="黑体" w:cs="SimHei"/>
        </w:rPr>
        <w:t>。</w:t>
      </w:r>
    </w:p>
    <w:p>
      <w:pPr>
        <w:pStyle w:val="Normal"/>
        <w:spacing w:lineRule="exact" w:line="440" w:before="0" w:after="97"/>
        <w:jc w:val="center"/>
        <w:rPr>
          <w:rFonts w:ascii="SimHei" w:hAnsi="SimHei" w:eastAsia="黑体" w:cs="SimHei"/>
          <w:b/>
          <w:b/>
          <w:sz w:val="21"/>
          <w:szCs w:val="21"/>
        </w:rPr>
      </w:pPr>
      <w:r>
        <w:rPr>
          <w:rFonts w:ascii="SimHei" w:hAnsi="SimHei" w:eastAsia="黑体" w:cs="SimHei"/>
          <w:b/>
          <w:sz w:val="21"/>
          <w:szCs w:val="21"/>
        </w:rPr>
        <w:t xml:space="preserve">表二 </w:t>
      </w:r>
      <w:r>
        <w:rPr>
          <w:rFonts w:ascii="SimHei" w:hAnsi="SimHei" w:eastAsia="黑体" w:cs="SimHei"/>
          <w:b/>
          <w:sz w:val="21"/>
          <w:szCs w:val="21"/>
        </w:rPr>
        <w:t>20xx</w:t>
      </w:r>
      <w:r>
        <w:rPr>
          <w:rFonts w:ascii="SimHei" w:hAnsi="SimHei" w:eastAsia="黑体" w:cs="SimHei"/>
          <w:b/>
          <w:sz w:val="21"/>
          <w:szCs w:val="21"/>
        </w:rPr>
        <w:t>年</w:t>
      </w:r>
      <w:r>
        <w:rPr>
          <w:rFonts w:ascii="SimHei" w:hAnsi="SimHei" w:eastAsia="黑体" w:cs="SimHei"/>
          <w:b/>
          <w:sz w:val="21"/>
          <w:szCs w:val="21"/>
        </w:rPr>
        <w:t>1</w:t>
      </w:r>
      <w:r>
        <w:rPr>
          <w:rFonts w:ascii="SimHei" w:hAnsi="SimHei" w:eastAsia="黑体" w:cs="SimHei"/>
          <w:b/>
          <w:sz w:val="21"/>
          <w:szCs w:val="21"/>
        </w:rPr>
        <w:t>～</w:t>
      </w:r>
      <w:r>
        <w:rPr>
          <w:rFonts w:ascii="SimHei" w:hAnsi="SimHei" w:eastAsia="黑体" w:cs="SimHei"/>
          <w:b/>
          <w:sz w:val="21"/>
          <w:szCs w:val="21"/>
        </w:rPr>
        <w:t>6</w:t>
      </w:r>
      <w:r>
        <w:rPr>
          <w:rFonts w:ascii="SimHei" w:hAnsi="SimHei" w:eastAsia="黑体" w:cs="SimHei"/>
          <w:b/>
          <w:sz w:val="21"/>
          <w:szCs w:val="21"/>
        </w:rPr>
        <w:t>月份</w:t>
      </w:r>
      <w:r>
        <w:rPr>
          <w:rFonts w:ascii="SimHei" w:hAnsi="SimHei" w:eastAsia="黑体" w:cs="SimHei"/>
          <w:b/>
          <w:sz w:val="21"/>
          <w:szCs w:val="21"/>
        </w:rPr>
        <w:t>集团</w:t>
      </w:r>
      <w:r>
        <w:rPr>
          <w:rFonts w:ascii="SimHei" w:hAnsi="SimHei" w:eastAsia="黑体" w:cs="SimHei"/>
          <w:b/>
          <w:sz w:val="21"/>
          <w:szCs w:val="21"/>
        </w:rPr>
        <w:t>员工变动情况统计</w:t>
      </w:r>
    </w:p>
    <w:tbl>
      <w:tblPr>
        <w:tblW w:w="7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</w:tblGrid>
      <w:tr>
        <w:trPr/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公司名称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招聘及离职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集团内部调动</w:t>
            </w:r>
          </w:p>
        </w:tc>
      </w:tr>
      <w:tr>
        <w:trPr/>
        <w:tc>
          <w:tcPr>
            <w:tcW w:w="1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入职人数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离职人数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调入人数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调出人数</w:t>
            </w:r>
          </w:p>
        </w:tc>
      </w:tr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</w:t>
            </w:r>
          </w:p>
        </w:tc>
      </w:tr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</w:t>
            </w:r>
          </w:p>
        </w:tc>
      </w:tr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</w:t>
            </w:r>
          </w:p>
        </w:tc>
      </w:tr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</w:t>
            </w:r>
          </w:p>
        </w:tc>
      </w:tr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</w:t>
            </w:r>
          </w:p>
        </w:tc>
      </w:tr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</w:t>
            </w:r>
          </w:p>
        </w:tc>
      </w:tr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</w:tr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</w:t>
            </w:r>
          </w:p>
        </w:tc>
      </w:tr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合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 xml:space="preserve"> 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计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80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17</w:t>
            </w:r>
          </w:p>
        </w:tc>
      </w:tr>
    </w:tbl>
    <w:p>
      <w:pPr>
        <w:pStyle w:val="Normal"/>
        <w:spacing w:lineRule="exact" w:line="320" w:before="97" w:after="97"/>
        <w:ind w:firstLine="925"/>
        <w:jc w:val="left"/>
        <w:rPr>
          <w:rFonts w:ascii="SimHei" w:hAnsi="SimHei" w:eastAsia="黑体" w:cs="SimHei"/>
          <w:b/>
          <w:b/>
          <w:sz w:val="21"/>
          <w:szCs w:val="21"/>
        </w:rPr>
      </w:pPr>
      <w:r>
        <w:rPr>
          <w:rFonts w:ascii="SimHei" w:hAnsi="SimHei" w:eastAsia="黑体" w:cs="SimHei"/>
          <w:b/>
          <w:sz w:val="21"/>
          <w:szCs w:val="21"/>
        </w:rPr>
        <w:t>注：以上入、离职人数为不完全统计，包括各子公司自主招聘、施工及一线生产人员。</w:t>
      </w:r>
    </w:p>
    <w:p>
      <w:pPr>
        <w:pStyle w:val="Normal"/>
        <w:spacing w:lineRule="exact" w:line="440"/>
        <w:jc w:val="left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 xml:space="preserve">    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6</w:t>
      </w:r>
      <w:r>
        <w:rPr>
          <w:rFonts w:ascii="SimHei" w:hAnsi="SimHei" w:eastAsia="黑体" w:cs="SimHei"/>
        </w:rPr>
        <w:t>月底，因人力资源部内部工作调整，全部招聘工作已交接给</w:t>
      </w:r>
      <w:r>
        <w:rPr>
          <w:rFonts w:ascii="SimHei" w:hAnsi="SimHei" w:eastAsia="黑体" w:cs="SimHei"/>
        </w:rPr>
        <w:t>×××</w:t>
      </w:r>
      <w:r>
        <w:rPr>
          <w:rFonts w:ascii="SimHei" w:hAnsi="SimHei" w:eastAsia="黑体" w:cs="SimHei"/>
        </w:rPr>
        <w:t>。</w:t>
      </w:r>
      <w:r>
        <w:rPr>
          <w:rFonts w:ascii="SimHei" w:hAnsi="SimHei" w:eastAsia="黑体" w:cs="SimHei"/>
        </w:rPr>
        <w:t>10</w:t>
      </w:r>
      <w:r>
        <w:rPr>
          <w:rFonts w:ascii="SimHei" w:hAnsi="SimHei" w:eastAsia="黑体" w:cs="SimHei"/>
        </w:rPr>
        <w:t>月份完成设计制作集团形象</w:t>
      </w:r>
      <w:r>
        <w:rPr>
          <w:rFonts w:ascii="SimHei" w:hAnsi="SimHei" w:eastAsia="黑体" w:cs="SimHei"/>
        </w:rPr>
        <w:t>PPT</w:t>
      </w:r>
      <w:r>
        <w:rPr>
          <w:rFonts w:ascii="SimHei" w:hAnsi="SimHei" w:eastAsia="黑体" w:cs="SimHei"/>
        </w:rPr>
        <w:t>、企业文化宣传展架后，协助其完成了</w:t>
      </w:r>
      <w:r>
        <w:rPr>
          <w:rFonts w:ascii="SimHei" w:hAnsi="SimHei" w:eastAsia="黑体" w:cs="SimHei"/>
        </w:rPr>
        <w:t>××</w:t>
      </w:r>
      <w:r>
        <w:rPr>
          <w:rFonts w:ascii="SimHei" w:hAnsi="SimHei" w:eastAsia="黑体" w:cs="SimHei"/>
        </w:rPr>
        <w:t>大学校园专场招聘会（</w:t>
      </w:r>
      <w:r>
        <w:rPr>
          <w:rFonts w:ascii="SimHei" w:hAnsi="SimHei" w:eastAsia="黑体" w:cs="SimHei"/>
        </w:rPr>
        <w:t>10</w:t>
      </w:r>
      <w:r>
        <w:rPr>
          <w:rFonts w:ascii="SimHei" w:hAnsi="SimHei" w:eastAsia="黑体" w:cs="SimHei"/>
        </w:rPr>
        <w:t>月</w:t>
      </w:r>
      <w:r>
        <w:rPr>
          <w:rFonts w:ascii="SimHei" w:hAnsi="SimHei" w:eastAsia="黑体" w:cs="SimHei"/>
        </w:rPr>
        <w:t>19</w:t>
      </w:r>
      <w:r>
        <w:rPr>
          <w:rFonts w:ascii="SimHei" w:hAnsi="SimHei" w:eastAsia="黑体" w:cs="SimHei"/>
        </w:rPr>
        <w:t>日）、</w:t>
      </w:r>
      <w:r>
        <w:rPr>
          <w:rFonts w:ascii="SimHei" w:hAnsi="SimHei" w:eastAsia="黑体" w:cs="SimHei"/>
        </w:rPr>
        <w:t>××</w:t>
      </w:r>
      <w:r>
        <w:rPr>
          <w:rFonts w:ascii="SimHei" w:hAnsi="SimHei" w:eastAsia="黑体" w:cs="SimHei"/>
        </w:rPr>
        <w:t>大学应届毕业生见面会（</w:t>
      </w:r>
      <w:r>
        <w:rPr>
          <w:rFonts w:ascii="SimHei" w:hAnsi="SimHei" w:eastAsia="黑体" w:cs="SimHei"/>
        </w:rPr>
        <w:t>11</w:t>
      </w:r>
      <w:r>
        <w:rPr>
          <w:rFonts w:ascii="SimHei" w:hAnsi="SimHei" w:eastAsia="黑体" w:cs="SimHei"/>
        </w:rPr>
        <w:t>月</w:t>
      </w:r>
      <w:r>
        <w:rPr>
          <w:rFonts w:ascii="SimHei" w:hAnsi="SimHei" w:eastAsia="黑体" w:cs="SimHei"/>
        </w:rPr>
        <w:t>7</w:t>
      </w:r>
      <w:r>
        <w:rPr>
          <w:rFonts w:ascii="SimHei" w:hAnsi="SimHei" w:eastAsia="黑体" w:cs="SimHei"/>
        </w:rPr>
        <w:t>日）和</w:t>
      </w:r>
      <w:r>
        <w:rPr>
          <w:rFonts w:ascii="SimHei" w:hAnsi="SimHei" w:eastAsia="黑体" w:cs="SimHei"/>
        </w:rPr>
        <w:t>××××××</w:t>
      </w:r>
      <w:r>
        <w:rPr>
          <w:rFonts w:ascii="SimHei" w:hAnsi="SimHei" w:eastAsia="黑体" w:cs="SimHei"/>
        </w:rPr>
        <w:t>学院校园专场招聘会（</w:t>
      </w:r>
      <w:r>
        <w:rPr>
          <w:rFonts w:ascii="SimHei" w:hAnsi="SimHei" w:eastAsia="黑体" w:cs="SimHei"/>
        </w:rPr>
        <w:t>11</w:t>
      </w:r>
      <w:r>
        <w:rPr>
          <w:rFonts w:ascii="SimHei" w:hAnsi="SimHei" w:eastAsia="黑体" w:cs="SimHei"/>
        </w:rPr>
        <w:t>月</w:t>
      </w:r>
      <w:r>
        <w:rPr>
          <w:rFonts w:ascii="SimHei" w:hAnsi="SimHei" w:eastAsia="黑体" w:cs="SimHei"/>
        </w:rPr>
        <w:t>11</w:t>
      </w:r>
      <w:r>
        <w:rPr>
          <w:rFonts w:ascii="SimHei" w:hAnsi="SimHei" w:eastAsia="黑体" w:cs="SimHei"/>
        </w:rPr>
        <w:t>日）的组织、宣讲和简历筛选工作。</w:t>
      </w:r>
    </w:p>
    <w:p>
      <w:pPr>
        <w:pStyle w:val="Normal"/>
        <w:spacing w:lineRule="exact" w:line="440" w:before="97" w:after="97"/>
        <w:jc w:val="left"/>
        <w:rPr>
          <w:rFonts w:ascii="SimHei" w:hAnsi="SimHei" w:eastAsia="黑体" w:cs="SimHei"/>
          <w:b/>
          <w:b/>
        </w:rPr>
      </w:pPr>
      <w:r>
        <w:rPr>
          <w:rFonts w:ascii="SimHei" w:hAnsi="SimHei" w:eastAsia="黑体" w:cs="SimHei"/>
          <w:b/>
        </w:rPr>
        <w:t>（三）薪资核算：</w:t>
      </w:r>
    </w:p>
    <w:p>
      <w:pPr>
        <w:pStyle w:val="Normal"/>
        <w:spacing w:lineRule="exact" w:line="440" w:before="97" w:after="97"/>
        <w:jc w:val="center"/>
        <w:rPr/>
      </w:pPr>
      <w:r>
        <w:rPr>
          <w:rFonts w:ascii="SimHei" w:hAnsi="SimHei" w:eastAsia="黑体" w:cs="SimHei"/>
          <w:b/>
          <w:sz w:val="21"/>
          <w:szCs w:val="21"/>
        </w:rPr>
        <w:t xml:space="preserve">表三 </w:t>
      </w:r>
      <w:r>
        <w:rPr>
          <w:rFonts w:ascii="SimHei" w:hAnsi="SimHei" w:eastAsia="黑体" w:cs="SimHei"/>
          <w:b/>
          <w:sz w:val="21"/>
          <w:szCs w:val="21"/>
        </w:rPr>
        <w:t>20xx</w:t>
      </w:r>
      <w:r>
        <w:rPr>
          <w:rFonts w:ascii="SimHei" w:hAnsi="SimHei" w:eastAsia="黑体" w:cs="SimHei"/>
          <w:b/>
          <w:sz w:val="21"/>
          <w:szCs w:val="21"/>
        </w:rPr>
        <w:t>年</w:t>
      </w:r>
      <w:r>
        <w:rPr>
          <w:rFonts w:ascii="SimHei" w:hAnsi="SimHei" w:eastAsia="黑体" w:cs="SimHei"/>
          <w:b/>
          <w:sz w:val="21"/>
          <w:szCs w:val="21"/>
        </w:rPr>
        <w:t>1</w:t>
      </w:r>
      <w:r>
        <w:rPr>
          <w:rFonts w:ascii="SimHei" w:hAnsi="SimHei" w:eastAsia="黑体" w:cs="SimHei"/>
          <w:b/>
          <w:sz w:val="21"/>
          <w:szCs w:val="21"/>
        </w:rPr>
        <w:t>～</w:t>
      </w:r>
      <w:r>
        <w:rPr>
          <w:rFonts w:ascii="SimHei" w:hAnsi="SimHei" w:eastAsia="黑体" w:cs="SimHei"/>
          <w:b/>
          <w:sz w:val="21"/>
          <w:szCs w:val="21"/>
        </w:rPr>
        <w:t>1</w:t>
      </w:r>
      <w:r>
        <w:rPr>
          <w:rFonts w:ascii="SimHei" w:hAnsi="SimHei" w:eastAsia="黑体" w:cs="SimHei"/>
          <w:b/>
          <w:sz w:val="21"/>
          <w:szCs w:val="21"/>
        </w:rPr>
        <w:t>1</w:t>
      </w:r>
      <w:r>
        <w:rPr>
          <w:rFonts w:ascii="SimHei" w:hAnsi="SimHei" w:eastAsia="黑体" w:cs="SimHei"/>
          <w:b/>
          <w:sz w:val="21"/>
          <w:szCs w:val="21"/>
        </w:rPr>
        <w:t>月份</w:t>
      </w:r>
      <w:r>
        <w:rPr>
          <w:rFonts w:ascii="SimHei" w:hAnsi="SimHei" w:eastAsia="黑体" w:cs="SimHei"/>
          <w:b/>
          <w:sz w:val="21"/>
          <w:szCs w:val="21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、</w:t>
      </w:r>
      <w:r>
        <w:rPr>
          <w:rFonts w:ascii="SimHei" w:hAnsi="SimHei" w:eastAsia="黑体" w:cs="SimHei"/>
          <w:b/>
          <w:sz w:val="21"/>
          <w:szCs w:val="21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、</w:t>
      </w:r>
      <w:r>
        <w:rPr>
          <w:rFonts w:ascii="SimHei" w:hAnsi="SimHei" w:eastAsia="黑体" w:cs="SimHei"/>
          <w:b/>
          <w:sz w:val="21"/>
          <w:szCs w:val="21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应发工资</w:t>
      </w:r>
      <w:r>
        <w:rPr>
          <w:rFonts w:ascii="SimHei" w:hAnsi="SimHei" w:eastAsia="黑体" w:cs="SimHei"/>
          <w:b/>
          <w:sz w:val="21"/>
          <w:szCs w:val="21"/>
        </w:rPr>
        <w:t>及人数</w:t>
      </w:r>
      <w:r>
        <w:rPr/>
        <w:t>统计</w:t>
      </w:r>
    </w:p>
    <w:tbl>
      <w:tblPr>
        <w:tblW w:w="894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418"/>
        <w:gridCol w:w="850"/>
        <w:gridCol w:w="1559"/>
        <w:gridCol w:w="851"/>
        <w:gridCol w:w="1417"/>
        <w:gridCol w:w="898"/>
      </w:tblGrid>
      <w:tr>
        <w:trPr/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月份</w:t>
            </w:r>
          </w:p>
        </w:tc>
        <w:tc>
          <w:tcPr>
            <w:tcW w:w="69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/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公司名称、工资总和及当月人数</w:t>
            </w:r>
          </w:p>
        </w:tc>
      </w:tr>
      <w:tr>
        <w:trPr/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2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</w:tr>
      <w:tr>
        <w:trPr/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工资总和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人数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工资总和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人数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工资总和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人数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55942.00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206995.7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46557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.00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6+23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2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57726.00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218581.06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37796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.00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6+23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3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66445.90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290377.87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11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555.4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9+67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4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68258.85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260326.57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183048.78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11+160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5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74764.94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283055.5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254835.52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13+161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6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77599.00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249055.66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299965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.00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13+207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7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98395.15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259681.78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163553.63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15+86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8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95311.58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247741.05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123548.74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13+63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9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100190.00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283308.74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107629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.00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13+39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10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96684.13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276705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2010.40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14+38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11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未到核算期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未到核算期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未到核算期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14+38</w:t>
            </w:r>
          </w:p>
        </w:tc>
      </w:tr>
      <w:tr>
        <w:trPr/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合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 xml:space="preserve"> 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791317.55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2575828.93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1424499.47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</w:tr>
    </w:tbl>
    <w:p>
      <w:pPr>
        <w:pStyle w:val="Normal"/>
        <w:spacing w:lineRule="exact" w:line="320" w:before="97" w:after="0"/>
        <w:ind w:firstLine="413"/>
        <w:rPr/>
      </w:pPr>
      <w:r>
        <w:rPr>
          <w:rFonts w:ascii="SimHei" w:hAnsi="SimHei" w:eastAsia="黑体" w:cs="SimHei"/>
          <w:b/>
          <w:sz w:val="21"/>
          <w:szCs w:val="21"/>
        </w:rPr>
        <w:t>注：①本统计表人数为当月在编人员，不包含当月离职、补发工资以及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以老带新</w:t>
      </w:r>
      <w:r>
        <w:rPr>
          <w:rFonts w:ascii="SimHei" w:hAnsi="SimHei" w:eastAsia="黑体" w:cs="SimHei"/>
          <w:b/>
          <w:sz w:val="21"/>
          <w:szCs w:val="21"/>
        </w:rPr>
        <w:t>销售</w:t>
      </w:r>
      <w:r>
        <w:rPr>
          <w:rFonts w:ascii="SimHei" w:hAnsi="SimHei" w:eastAsia="黑体" w:cs="SimHei"/>
          <w:b/>
          <w:sz w:val="21"/>
          <w:szCs w:val="21"/>
        </w:rPr>
        <w:t>人员</w:t>
      </w:r>
      <w:r>
        <w:rPr>
          <w:rFonts w:ascii="SimHei" w:hAnsi="SimHei" w:eastAsia="黑体" w:cs="SimHei"/>
          <w:b/>
          <w:sz w:val="21"/>
          <w:szCs w:val="21"/>
        </w:rPr>
        <w:t>；</w:t>
      </w:r>
    </w:p>
    <w:p>
      <w:pPr>
        <w:pStyle w:val="Normal"/>
        <w:spacing w:lineRule="exact" w:line="320" w:before="0" w:after="97"/>
        <w:ind w:firstLine="864"/>
        <w:rPr>
          <w:rFonts w:ascii="SimHei" w:hAnsi="SimHei" w:eastAsia="黑体" w:cs="SimHei"/>
          <w:b/>
          <w:b/>
          <w:sz w:val="21"/>
          <w:szCs w:val="21"/>
        </w:rPr>
      </w:pPr>
      <w:r>
        <w:rPr>
          <w:rFonts w:ascii="SimHei" w:hAnsi="SimHei" w:eastAsia="黑体" w:cs="SimHei"/>
          <w:b/>
          <w:sz w:val="21"/>
          <w:szCs w:val="21"/>
        </w:rPr>
        <w:t>②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“</w:t>
      </w:r>
      <w:r>
        <w:rPr>
          <w:rFonts w:ascii="SimHei" w:hAnsi="SimHei" w:eastAsia="黑体" w:cs="SimHei"/>
          <w:b/>
          <w:sz w:val="21"/>
          <w:szCs w:val="21"/>
        </w:rPr>
        <w:t>+</w:t>
      </w:r>
      <w:r>
        <w:rPr>
          <w:rFonts w:ascii="SimHei" w:hAnsi="SimHei" w:eastAsia="黑体" w:cs="SimHei"/>
          <w:b/>
          <w:sz w:val="21"/>
          <w:szCs w:val="21"/>
        </w:rPr>
        <w:t>”</w:t>
      </w:r>
      <w:r>
        <w:rPr>
          <w:rFonts w:ascii="SimHei" w:hAnsi="SimHei" w:eastAsia="黑体" w:cs="SimHei"/>
          <w:b/>
          <w:sz w:val="21"/>
          <w:szCs w:val="21"/>
        </w:rPr>
        <w:t>号前数值为管理人员总人数，“</w:t>
      </w:r>
      <w:r>
        <w:rPr>
          <w:rFonts w:ascii="SimHei" w:hAnsi="SimHei" w:eastAsia="黑体" w:cs="SimHei"/>
          <w:b/>
          <w:sz w:val="21"/>
          <w:szCs w:val="21"/>
        </w:rPr>
        <w:t>+</w:t>
      </w:r>
      <w:r>
        <w:rPr>
          <w:rFonts w:ascii="SimHei" w:hAnsi="SimHei" w:eastAsia="黑体" w:cs="SimHei"/>
          <w:b/>
          <w:sz w:val="21"/>
          <w:szCs w:val="21"/>
        </w:rPr>
        <w:t>”</w:t>
      </w:r>
      <w:r>
        <w:rPr>
          <w:rFonts w:ascii="SimHei" w:hAnsi="SimHei" w:eastAsia="黑体" w:cs="SimHei"/>
          <w:b/>
          <w:sz w:val="21"/>
          <w:szCs w:val="21"/>
        </w:rPr>
        <w:t>号后数值为每月临时工总人数。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月份，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和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的薪资核算工作开始由我接手，到目前为止共完成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～</w:t>
      </w:r>
      <w:r>
        <w:rPr>
          <w:rFonts w:ascii="SimHei" w:hAnsi="SimHei" w:eastAsia="黑体" w:cs="SimHei"/>
        </w:rPr>
        <w:t>10</w:t>
      </w:r>
      <w:r>
        <w:rPr>
          <w:rFonts w:ascii="SimHei" w:hAnsi="SimHei" w:eastAsia="黑体" w:cs="SimHei"/>
        </w:rPr>
        <w:t>月份</w:t>
      </w:r>
      <w:r>
        <w:rPr>
          <w:rFonts w:ascii="SimHei" w:hAnsi="SimHei" w:eastAsia="黑体" w:cs="SimHei"/>
        </w:rPr>
        <w:t>应发工资</w:t>
      </w:r>
      <w:r>
        <w:rPr>
          <w:rFonts w:ascii="SimHei" w:hAnsi="SimHei" w:eastAsia="黑体" w:cs="SimHei"/>
        </w:rPr>
        <w:t>4690537.95</w:t>
      </w:r>
      <w:r>
        <w:rPr>
          <w:rFonts w:ascii="SimHei" w:hAnsi="SimHei" w:eastAsia="黑体" w:cs="SimHei"/>
        </w:rPr>
        <w:t>元</w:t>
      </w:r>
      <w:r>
        <w:rPr>
          <w:rFonts w:ascii="SimHei" w:hAnsi="SimHei" w:eastAsia="黑体" w:cs="SimHei"/>
        </w:rPr>
        <w:t>（见上页表三）。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因接近年底，员工流动趋于稳定，</w:t>
      </w:r>
      <w:r>
        <w:rPr>
          <w:rFonts w:ascii="SimHei" w:hAnsi="SimHei" w:eastAsia="黑体" w:cs="SimHei"/>
        </w:rPr>
        <w:t>11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12</w:t>
      </w:r>
      <w:r>
        <w:rPr>
          <w:rFonts w:ascii="SimHei" w:hAnsi="SimHei" w:eastAsia="黑体" w:cs="SimHei"/>
        </w:rPr>
        <w:t>月份的薪资不会有较大浮动，故可预计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的工资总额约为</w:t>
      </w:r>
      <w:r>
        <w:rPr>
          <w:rFonts w:ascii="SimHei" w:hAnsi="SimHei" w:eastAsia="黑体" w:cs="SimHei"/>
        </w:rPr>
        <w:t>987300</w:t>
      </w:r>
      <w:r>
        <w:rPr>
          <w:rFonts w:ascii="SimHei" w:hAnsi="SimHei" w:eastAsia="黑体" w:cs="SimHei"/>
        </w:rPr>
        <w:t>元，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约为</w:t>
      </w:r>
      <w:r>
        <w:rPr>
          <w:rFonts w:ascii="SimHei" w:hAnsi="SimHei" w:eastAsia="黑体" w:cs="SimHei"/>
        </w:rPr>
        <w:t>3139800</w:t>
      </w:r>
      <w:r>
        <w:rPr>
          <w:rFonts w:ascii="SimHei" w:hAnsi="SimHei" w:eastAsia="黑体" w:cs="SimHei"/>
        </w:rPr>
        <w:t>元，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约为</w:t>
      </w:r>
      <w:r>
        <w:rPr>
          <w:rFonts w:ascii="SimHei" w:hAnsi="SimHei" w:eastAsia="黑体" w:cs="SimHei"/>
        </w:rPr>
        <w:t>1609900</w:t>
      </w:r>
      <w:r>
        <w:rPr>
          <w:rFonts w:ascii="SimHei" w:hAnsi="SimHei" w:eastAsia="黑体" w:cs="SimHei"/>
        </w:rPr>
        <w:t>元，合计：</w:t>
      </w:r>
      <w:r>
        <w:rPr>
          <w:rFonts w:ascii="SimHei" w:hAnsi="SimHei" w:eastAsia="黑体" w:cs="SimHei"/>
        </w:rPr>
        <w:t>5737000</w:t>
      </w:r>
      <w:r>
        <w:rPr>
          <w:rFonts w:ascii="SimHei" w:hAnsi="SimHei" w:eastAsia="黑体" w:cs="SimHei"/>
        </w:rPr>
        <w:t>元。</w:t>
      </w:r>
    </w:p>
    <w:p>
      <w:pPr>
        <w:pStyle w:val="Normal"/>
        <w:spacing w:lineRule="exact" w:line="440" w:before="0" w:after="97"/>
        <w:jc w:val="center"/>
        <w:rPr>
          <w:rFonts w:ascii="SimHei" w:hAnsi="SimHei" w:eastAsia="黑体" w:cs="SimHei"/>
          <w:b/>
          <w:b/>
          <w:sz w:val="21"/>
          <w:szCs w:val="21"/>
        </w:rPr>
      </w:pPr>
      <w:r>
        <w:rPr>
          <w:rFonts w:ascii="SimHei" w:hAnsi="SimHei" w:eastAsia="黑体" w:cs="SimHei"/>
          <w:b/>
          <w:sz w:val="21"/>
          <w:szCs w:val="21"/>
        </w:rPr>
        <w:t xml:space="preserve">表四 </w:t>
      </w:r>
      <w:r>
        <w:rPr>
          <w:rFonts w:ascii="SimHei" w:hAnsi="SimHei" w:eastAsia="黑体" w:cs="SimHei"/>
          <w:b/>
          <w:sz w:val="21"/>
          <w:szCs w:val="21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1</w:t>
      </w:r>
      <w:r>
        <w:rPr>
          <w:rFonts w:ascii="SimHei" w:hAnsi="SimHei" w:eastAsia="黑体" w:cs="SimHei"/>
          <w:b/>
          <w:sz w:val="21"/>
          <w:szCs w:val="21"/>
        </w:rPr>
        <w:t>～</w:t>
      </w:r>
      <w:r>
        <w:rPr>
          <w:rFonts w:ascii="SimHei" w:hAnsi="SimHei" w:eastAsia="黑体" w:cs="SimHei"/>
          <w:b/>
          <w:sz w:val="21"/>
          <w:szCs w:val="21"/>
        </w:rPr>
        <w:t>10</w:t>
      </w:r>
      <w:r>
        <w:rPr>
          <w:rFonts w:ascii="SimHei" w:hAnsi="SimHei" w:eastAsia="黑体" w:cs="SimHei"/>
          <w:b/>
          <w:sz w:val="21"/>
          <w:szCs w:val="21"/>
        </w:rPr>
        <w:t>月份销售佣金</w:t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51"/>
        <w:gridCol w:w="741"/>
        <w:gridCol w:w="741"/>
        <w:gridCol w:w="928"/>
        <w:gridCol w:w="992"/>
        <w:gridCol w:w="992"/>
        <w:gridCol w:w="851"/>
        <w:gridCol w:w="992"/>
        <w:gridCol w:w="734"/>
        <w:gridCol w:w="967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佣金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  <w:t>29079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  <w:t>46880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  <w:t>96932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  <w:t>67975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  <w:t>81958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  <w:t>56048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  <w:t>66100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  <w:t>53526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  <w:t>64311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2"/>
                <w:sz w:val="21"/>
                <w:szCs w:val="21"/>
              </w:rPr>
              <w:t>64615</w:t>
            </w:r>
          </w:p>
        </w:tc>
      </w:tr>
    </w:tbl>
    <w:p>
      <w:pPr>
        <w:pStyle w:val="Normal"/>
        <w:spacing w:lineRule="exact" w:line="440" w:before="97" w:after="0"/>
        <w:ind w:firstLine="480"/>
        <w:rPr/>
      </w:pPr>
      <w:r>
        <w:rPr>
          <w:rFonts w:ascii="SimHei" w:hAnsi="SimHei" w:eastAsia="黑体" w:cs="SimHei"/>
        </w:rPr>
        <w:t>表四、图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为</w:t>
      </w:r>
      <w:r>
        <w:rPr>
          <w:rFonts w:ascii="SimHei" w:hAnsi="SimHei" w:eastAsia="黑体" w:cs="SimHei"/>
        </w:rPr>
        <w:t>××××1</w:t>
      </w:r>
      <w:r>
        <w:rPr>
          <w:rFonts w:ascii="SimHei" w:hAnsi="SimHei" w:eastAsia="黑体" w:cs="SimHei"/>
        </w:rPr>
        <w:t>～</w:t>
      </w:r>
      <w:r>
        <w:rPr>
          <w:rFonts w:ascii="SimHei" w:hAnsi="SimHei" w:eastAsia="黑体" w:cs="SimHei"/>
        </w:rPr>
        <w:t>10</w:t>
      </w:r>
      <w:r>
        <w:rPr>
          <w:rFonts w:ascii="SimHei" w:hAnsi="SimHei" w:eastAsia="黑体" w:cs="SimHei"/>
        </w:rPr>
        <w:t>月份销售佣金及变化趋势。如不考虑销售人员数量的因素，可以看出：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月份的销售佣金最低为</w:t>
      </w:r>
      <w:r>
        <w:rPr>
          <w:rFonts w:ascii="SimHei" w:hAnsi="SimHei" w:eastAsia="黑体" w:cs="SimHei"/>
        </w:rPr>
        <w:t>29079</w:t>
      </w:r>
      <w:r>
        <w:rPr>
          <w:rFonts w:ascii="SimHei" w:hAnsi="SimHei" w:eastAsia="黑体" w:cs="SimHei"/>
        </w:rPr>
        <w:t>元，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月份的销售佣金最高为</w:t>
      </w:r>
      <w:r>
        <w:rPr>
          <w:rFonts w:ascii="SimHei" w:hAnsi="SimHei" w:eastAsia="黑体" w:cs="SimHei"/>
        </w:rPr>
        <w:t>96932</w:t>
      </w:r>
      <w:r>
        <w:rPr>
          <w:rFonts w:ascii="SimHei" w:hAnsi="SimHei" w:eastAsia="黑体" w:cs="SimHei"/>
        </w:rPr>
        <w:t>元；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月为当年销售的高峰期，业绩状况全年最佳。</w:t>
      </w:r>
    </w:p>
    <w:p>
      <w:pPr>
        <w:pStyle w:val="Normal"/>
        <w:spacing w:lineRule="exact" w:line="440"/>
        <w:jc w:val="left"/>
        <w:rPr>
          <w:rFonts w:ascii="SimHei" w:hAnsi="SimHei" w:eastAsia="黑体" w:cs="SimHei"/>
          <w:sz w:val="21"/>
          <w:szCs w:val="21"/>
          <w:lang w:val="en-US" w:eastAsia="en-US"/>
        </w:rPr>
      </w:pPr>
      <w:r>
        <w:rPr>
          <w:rFonts w:ascii="SimHei" w:hAnsi="SimHei" w:eastAsia="黑体" w:cs="SimHei"/>
          <w:sz w:val="21"/>
          <w:szCs w:val="21"/>
          <w:lang w:val="en-US" w:eastAsia="en-US"/>
        </w:rPr>
        <w:drawing>
          <wp:anchor behindDoc="0" distT="0" distB="0" distL="114935" distR="114935" simplePos="0" locked="0" layoutInCell="0" allowOverlap="1" relativeHeight="5">
            <wp:simplePos x="0" y="0"/>
            <wp:positionH relativeFrom="column">
              <wp:posOffset>1226185</wp:posOffset>
            </wp:positionH>
            <wp:positionV relativeFrom="paragraph">
              <wp:posOffset>85725</wp:posOffset>
            </wp:positionV>
            <wp:extent cx="3792855" cy="2142490"/>
            <wp:effectExtent l="0" t="0" r="0" b="0"/>
            <wp:wrapNone/>
            <wp:docPr id="1" name="图表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表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769" t="1176" r="769" b="1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55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440"/>
        <w:rPr>
          <w:rFonts w:ascii="SimHei" w:hAnsi="SimHei" w:eastAsia="黑体" w:cs="SimHei"/>
          <w:sz w:val="21"/>
          <w:szCs w:val="21"/>
        </w:rPr>
      </w:pPr>
      <w:r>
        <w:rPr>
          <w:rFonts w:ascii="SimHei" w:hAnsi="SimHei" w:eastAsia="黑体" w:cs="SimHei"/>
          <w:sz w:val="21"/>
          <w:szCs w:val="21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 w:before="326" w:after="97"/>
        <w:jc w:val="center"/>
        <w:rPr>
          <w:rFonts w:ascii="SimHei" w:hAnsi="SimHei" w:eastAsia="黑体" w:cs="SimHei"/>
        </w:rPr>
      </w:pPr>
      <w:r>
        <w:rPr>
          <w:rFonts w:ascii="SimHei" w:hAnsi="SimHei" w:eastAsia="黑体" w:cs="SimHei"/>
          <w:sz w:val="21"/>
          <w:szCs w:val="21"/>
        </w:rPr>
        <w:t>图</w:t>
      </w:r>
      <w:r>
        <w:rPr>
          <w:rFonts w:ascii="SimHei" w:hAnsi="SimHei" w:eastAsia="黑体" w:cs="SimHei"/>
          <w:sz w:val="21"/>
          <w:szCs w:val="21"/>
        </w:rPr>
        <w:t>1</w:t>
      </w:r>
      <w:r>
        <w:rPr>
          <w:rFonts w:ascii="SimHei" w:hAnsi="SimHei" w:eastAsia="黑体" w:cs="SimHei"/>
          <w:sz w:val="21"/>
          <w:szCs w:val="21"/>
        </w:rPr>
        <w:t xml:space="preserve"> 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  <w:sz w:val="21"/>
          <w:szCs w:val="21"/>
        </w:rPr>
        <w:t>1</w:t>
      </w:r>
      <w:r>
        <w:rPr>
          <w:rFonts w:ascii="SimHei" w:hAnsi="SimHei" w:eastAsia="黑体" w:cs="SimHei"/>
          <w:sz w:val="21"/>
          <w:szCs w:val="21"/>
        </w:rPr>
        <w:t>～</w:t>
      </w:r>
      <w:r>
        <w:rPr>
          <w:rFonts w:ascii="SimHei" w:hAnsi="SimHei" w:eastAsia="黑体" w:cs="SimHei"/>
          <w:sz w:val="21"/>
          <w:szCs w:val="21"/>
        </w:rPr>
        <w:t>10</w:t>
      </w:r>
      <w:r>
        <w:rPr>
          <w:rFonts w:ascii="SimHei" w:hAnsi="SimHei" w:eastAsia="黑体" w:cs="SimHei"/>
          <w:sz w:val="21"/>
          <w:szCs w:val="21"/>
        </w:rPr>
        <w:t>月</w:t>
      </w:r>
      <w:r>
        <w:rPr>
          <w:rFonts w:ascii="SimHei" w:hAnsi="SimHei" w:eastAsia="黑体" w:cs="SimHei"/>
          <w:sz w:val="21"/>
          <w:szCs w:val="21"/>
        </w:rPr>
        <w:t>份</w:t>
      </w:r>
      <w:r>
        <w:rPr>
          <w:rFonts w:ascii="SimHei" w:hAnsi="SimHei" w:eastAsia="黑体" w:cs="SimHei"/>
          <w:sz w:val="21"/>
          <w:szCs w:val="21"/>
        </w:rPr>
        <w:t>销售佣金变化趋势</w:t>
      </w:r>
    </w:p>
    <w:p>
      <w:pPr>
        <w:pStyle w:val="Normal"/>
        <w:spacing w:lineRule="exact" w:line="440" w:before="97" w:after="97"/>
        <w:rPr>
          <w:rFonts w:ascii="SimHei" w:hAnsi="SimHei" w:eastAsia="黑体" w:cs="SimHei"/>
          <w:b/>
          <w:b/>
        </w:rPr>
      </w:pPr>
      <w:r>
        <w:rPr>
          <w:rFonts w:ascii="SimHei" w:hAnsi="SimHei" w:eastAsia="黑体" w:cs="SimHei"/>
          <w:b/>
        </w:rPr>
        <w:t>（四）社会保险的申报缴纳：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社会保险的申报缴纳也于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月份开始由我接手（其中有部分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员工的社会保险在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代缴）。其间除完成工伤保险、养老保险、医疗保险的基数调整工作外，</w:t>
      </w:r>
      <w:r>
        <w:rPr>
          <w:rFonts w:ascii="SimHei" w:hAnsi="SimHei" w:eastAsia="黑体" w:cs="SimHei"/>
        </w:rPr>
        <w:t>5</w:t>
      </w:r>
      <w:r>
        <w:rPr>
          <w:rFonts w:ascii="SimHei" w:hAnsi="SimHei" w:eastAsia="黑体" w:cs="SimHei"/>
        </w:rPr>
        <w:t>～</w:t>
      </w:r>
      <w:r>
        <w:rPr>
          <w:rFonts w:ascii="SimHei" w:hAnsi="SimHei" w:eastAsia="黑体" w:cs="SimHei"/>
        </w:rPr>
        <w:t>10</w:t>
      </w:r>
      <w:r>
        <w:rPr>
          <w:rFonts w:ascii="SimHei" w:hAnsi="SimHei" w:eastAsia="黑体" w:cs="SimHei"/>
        </w:rPr>
        <w:t>月间还完成了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社会保险的立户（见表五）工作，同时于</w:t>
      </w:r>
      <w:r>
        <w:rPr>
          <w:rFonts w:ascii="SimHei" w:hAnsi="SimHei" w:eastAsia="黑体" w:cs="SimHei"/>
        </w:rPr>
        <w:t>10</w:t>
      </w:r>
      <w:r>
        <w:rPr>
          <w:rFonts w:ascii="SimHei" w:hAnsi="SimHei" w:eastAsia="黑体" w:cs="SimHei"/>
        </w:rPr>
        <w:t>月份完成了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员工社会保险向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的调转工作。</w:t>
      </w:r>
    </w:p>
    <w:p>
      <w:pPr>
        <w:pStyle w:val="Normal"/>
        <w:spacing w:lineRule="exact" w:line="440" w:before="97" w:after="97"/>
        <w:jc w:val="center"/>
        <w:rPr/>
      </w:pPr>
      <w:r>
        <w:rPr>
          <w:rFonts w:ascii="SimHei" w:hAnsi="SimHei" w:eastAsia="黑体" w:cs="SimHei"/>
          <w:b/>
          <w:sz w:val="21"/>
          <w:szCs w:val="21"/>
        </w:rPr>
        <w:t>表</w:t>
      </w:r>
      <w:r>
        <w:rPr>
          <w:rFonts w:ascii="SimHei" w:hAnsi="SimHei" w:eastAsia="黑体" w:cs="SimHei"/>
          <w:b/>
          <w:sz w:val="21"/>
          <w:szCs w:val="21"/>
        </w:rPr>
        <w:t>五</w:t>
      </w:r>
      <w:r>
        <w:rPr>
          <w:rFonts w:ascii="SimHei" w:hAnsi="SimHei" w:eastAsia="黑体" w:cs="SimHei"/>
          <w:b/>
          <w:sz w:val="21"/>
          <w:szCs w:val="21"/>
        </w:rPr>
        <w:t xml:space="preserve"> </w:t>
      </w:r>
      <w:r>
        <w:rPr>
          <w:rFonts w:ascii="SimHei" w:hAnsi="SimHei" w:eastAsia="黑体" w:cs="SimHei"/>
          <w:b/>
          <w:sz w:val="21"/>
          <w:szCs w:val="21"/>
        </w:rPr>
        <w:t>××××</w:t>
      </w:r>
      <w:r>
        <w:rPr/>
        <w:t>社会保险立户时间表</w:t>
      </w:r>
    </w:p>
    <w:tbl>
      <w:tblPr>
        <w:tblW w:w="75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1875"/>
        <w:gridCol w:w="1875"/>
        <w:gridCol w:w="1875"/>
      </w:tblGrid>
      <w:tr>
        <w:trPr>
          <w:trHeight w:val="70" w:hRule="atLeast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养老保险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工伤保险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医疗保险</w:t>
            </w:r>
          </w:p>
        </w:tc>
      </w:tr>
      <w:tr>
        <w:trPr>
          <w:trHeight w:val="70" w:hRule="atLeast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时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 xml:space="preserve"> 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间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24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日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日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日</w:t>
            </w:r>
          </w:p>
        </w:tc>
      </w:tr>
    </w:tbl>
    <w:p>
      <w:pPr>
        <w:pStyle w:val="Normal"/>
        <w:spacing w:lineRule="exact" w:line="440" w:before="97" w:after="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如表六所示，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～</w:t>
      </w:r>
      <w:r>
        <w:rPr>
          <w:rFonts w:ascii="SimHei" w:hAnsi="SimHei" w:eastAsia="黑体" w:cs="SimHei"/>
        </w:rPr>
        <w:t>11</w:t>
      </w:r>
      <w:r>
        <w:rPr>
          <w:rFonts w:ascii="SimHei" w:hAnsi="SimHei" w:eastAsia="黑体" w:cs="SimHei"/>
        </w:rPr>
        <w:t>月份</w:t>
      </w:r>
      <w:r>
        <w:rPr>
          <w:rFonts w:ascii="SimHei" w:hAnsi="SimHei" w:eastAsia="黑体" w:cs="SimHei"/>
        </w:rPr>
        <w:t>，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社会保险费缴纳总计</w:t>
      </w:r>
      <w:r>
        <w:rPr>
          <w:rFonts w:ascii="SimHei" w:hAnsi="SimHei" w:eastAsia="黑体" w:cs="SimHei"/>
        </w:rPr>
        <w:t>341698.69</w:t>
      </w:r>
      <w:r>
        <w:rPr>
          <w:rFonts w:ascii="SimHei" w:hAnsi="SimHei" w:eastAsia="黑体" w:cs="SimHei"/>
        </w:rPr>
        <w:t>元</w:t>
      </w:r>
      <w:r>
        <w:rPr>
          <w:rFonts w:ascii="SimHei" w:hAnsi="SimHei" w:eastAsia="黑体" w:cs="SimHei"/>
        </w:rPr>
        <w:t>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因</w:t>
      </w:r>
      <w:r>
        <w:rPr>
          <w:rFonts w:ascii="SimHei" w:hAnsi="SimHei" w:eastAsia="黑体" w:cs="SimHei"/>
        </w:rPr>
        <w:t>12</w:t>
      </w:r>
      <w:r>
        <w:rPr>
          <w:rFonts w:ascii="SimHei" w:hAnsi="SimHei" w:eastAsia="黑体" w:cs="SimHei"/>
        </w:rPr>
        <w:t>月份的员工流动趋于稳定，缴纳保险的人数不会有较大变化，故可预计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缴纳社会保险总额约为</w:t>
      </w:r>
      <w:r>
        <w:rPr>
          <w:rFonts w:ascii="SimHei" w:hAnsi="SimHei" w:eastAsia="黑体" w:cs="SimHei"/>
        </w:rPr>
        <w:t>95000</w:t>
      </w:r>
      <w:r>
        <w:rPr>
          <w:rFonts w:ascii="SimHei" w:hAnsi="SimHei" w:eastAsia="黑体" w:cs="SimHei"/>
        </w:rPr>
        <w:t>元，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约为</w:t>
      </w:r>
      <w:r>
        <w:rPr>
          <w:rFonts w:ascii="SimHei" w:hAnsi="SimHei" w:eastAsia="黑体" w:cs="SimHei"/>
        </w:rPr>
        <w:t>259000</w:t>
      </w:r>
      <w:r>
        <w:rPr>
          <w:rFonts w:ascii="SimHei" w:hAnsi="SimHei" w:eastAsia="黑体" w:cs="SimHei"/>
        </w:rPr>
        <w:t>元，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约为</w:t>
      </w:r>
      <w:r>
        <w:rPr>
          <w:rFonts w:ascii="SimHei" w:hAnsi="SimHei" w:eastAsia="黑体" w:cs="SimHei"/>
        </w:rPr>
        <w:t>37880</w:t>
      </w:r>
      <w:r>
        <w:rPr>
          <w:rFonts w:ascii="SimHei" w:hAnsi="SimHei" w:eastAsia="黑体" w:cs="SimHei"/>
        </w:rPr>
        <w:t>元，合计：</w:t>
      </w:r>
      <w:r>
        <w:rPr>
          <w:rFonts w:ascii="SimHei" w:hAnsi="SimHei" w:eastAsia="黑体" w:cs="SimHei"/>
        </w:rPr>
        <w:t>391880</w:t>
      </w:r>
      <w:r>
        <w:rPr>
          <w:rFonts w:ascii="SimHei" w:hAnsi="SimHei" w:eastAsia="黑体" w:cs="SimHei"/>
        </w:rPr>
        <w:t>元。</w:t>
      </w:r>
    </w:p>
    <w:p>
      <w:pPr>
        <w:pStyle w:val="Normal"/>
        <w:spacing w:lineRule="exact" w:line="440" w:before="97" w:after="97"/>
        <w:jc w:val="center"/>
        <w:rPr>
          <w:rFonts w:ascii="SimHei" w:hAnsi="SimHei" w:eastAsia="黑体" w:cs="SimHei"/>
          <w:b/>
          <w:b/>
          <w:sz w:val="21"/>
          <w:szCs w:val="21"/>
        </w:rPr>
      </w:pPr>
      <w:r>
        <w:rPr>
          <w:rFonts w:ascii="SimHei" w:hAnsi="SimHei" w:eastAsia="黑体" w:cs="SimHei"/>
          <w:b/>
          <w:sz w:val="21"/>
          <w:szCs w:val="21"/>
        </w:rPr>
        <w:t xml:space="preserve">表六 </w:t>
      </w:r>
      <w:r>
        <w:rPr>
          <w:rFonts w:ascii="SimHei" w:hAnsi="SimHei" w:eastAsia="黑体" w:cs="SimHei"/>
          <w:b/>
          <w:sz w:val="21"/>
          <w:szCs w:val="21"/>
        </w:rPr>
        <w:t>20xx</w:t>
      </w:r>
      <w:r>
        <w:rPr>
          <w:rFonts w:ascii="SimHei" w:hAnsi="SimHei" w:eastAsia="黑体" w:cs="SimHei"/>
          <w:b/>
          <w:sz w:val="21"/>
          <w:szCs w:val="21"/>
        </w:rPr>
        <w:t>年</w:t>
      </w:r>
      <w:r>
        <w:rPr>
          <w:rFonts w:ascii="SimHei" w:hAnsi="SimHei" w:eastAsia="黑体" w:cs="SimHei"/>
          <w:b/>
          <w:sz w:val="21"/>
          <w:szCs w:val="21"/>
        </w:rPr>
        <w:t>1</w:t>
      </w:r>
      <w:r>
        <w:rPr>
          <w:rFonts w:ascii="SimHei" w:hAnsi="SimHei" w:eastAsia="黑体" w:cs="SimHei"/>
          <w:b/>
          <w:sz w:val="21"/>
          <w:szCs w:val="21"/>
        </w:rPr>
        <w:t>～</w:t>
      </w:r>
      <w:r>
        <w:rPr>
          <w:rFonts w:ascii="SimHei" w:hAnsi="SimHei" w:eastAsia="黑体" w:cs="SimHei"/>
          <w:b/>
          <w:sz w:val="21"/>
          <w:szCs w:val="21"/>
        </w:rPr>
        <w:t>11</w:t>
      </w:r>
      <w:r>
        <w:rPr>
          <w:rFonts w:ascii="SimHei" w:hAnsi="SimHei" w:eastAsia="黑体" w:cs="SimHei"/>
          <w:b/>
          <w:sz w:val="21"/>
          <w:szCs w:val="21"/>
        </w:rPr>
        <w:t>月份</w:t>
      </w:r>
      <w:r>
        <w:rPr>
          <w:rFonts w:ascii="SimHei" w:hAnsi="SimHei" w:eastAsia="黑体" w:cs="SimHei"/>
          <w:b/>
          <w:sz w:val="21"/>
          <w:szCs w:val="21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、</w:t>
      </w:r>
      <w:r>
        <w:rPr>
          <w:rFonts w:ascii="SimHei" w:hAnsi="SimHei" w:eastAsia="黑体" w:cs="SimHei"/>
          <w:b/>
          <w:sz w:val="21"/>
          <w:szCs w:val="21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、</w:t>
      </w:r>
      <w:r>
        <w:rPr>
          <w:rFonts w:ascii="SimHei" w:hAnsi="SimHei" w:eastAsia="黑体" w:cs="SimHei"/>
          <w:b/>
          <w:sz w:val="21"/>
          <w:szCs w:val="21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缴纳社保金额统计</w:t>
      </w:r>
    </w:p>
    <w:tbl>
      <w:tblPr>
        <w:tblW w:w="940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004"/>
        <w:gridCol w:w="1004"/>
        <w:gridCol w:w="899"/>
        <w:gridCol w:w="1109"/>
        <w:gridCol w:w="1004"/>
        <w:gridCol w:w="1004"/>
        <w:gridCol w:w="1004"/>
        <w:gridCol w:w="899"/>
        <w:gridCol w:w="899"/>
      </w:tblGrid>
      <w:tr>
        <w:trPr/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月份</w:t>
            </w:r>
          </w:p>
        </w:tc>
        <w:tc>
          <w:tcPr>
            <w:tcW w:w="2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3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2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</w:tr>
      <w:tr>
        <w:trPr/>
        <w:tc>
          <w:tcPr>
            <w:tcW w:w="5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养老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医疗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工伤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养老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医疗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工伤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养老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医疗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工伤</w:t>
            </w:r>
          </w:p>
        </w:tc>
      </w:tr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1591.27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579.48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334.29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7956.52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3596.25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942.09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1084.98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431.55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91.17</w:t>
            </w:r>
          </w:p>
        </w:tc>
      </w:tr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1591.27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579.48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334.29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8318.18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3452.40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881.31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1084.98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431.55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91.17</w:t>
            </w:r>
          </w:p>
        </w:tc>
      </w:tr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3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4339.93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1582.35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445.72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10488.14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3164.70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911.70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1084.98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431.55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91.17</w:t>
            </w:r>
          </w:p>
        </w:tc>
      </w:tr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4339.93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1726.20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445.72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11573.12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4603.20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911.70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1476.58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431.55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91.17</w:t>
            </w:r>
          </w:p>
        </w:tc>
      </w:tr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5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4701.59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1870.05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445.72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10849.80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4603.20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911.70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1838.24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719.25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91.17</w:t>
            </w:r>
          </w:p>
        </w:tc>
      </w:tr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6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4701.59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1870.05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445.72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11211.46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4747.05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911.70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1838.24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719.25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91.17</w:t>
            </w:r>
          </w:p>
        </w:tc>
      </w:tr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7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5063.25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1870.05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445.72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10849.80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4747.05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931.87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1838.24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719.25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137.04</w:t>
            </w:r>
          </w:p>
        </w:tc>
      </w:tr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8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4701.59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1870.05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328.89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13649.80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4747.05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1151.13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1838.24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719.25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191.85</w:t>
            </w:r>
          </w:p>
        </w:tc>
      </w:tr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9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8675.93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2722.10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411.12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32076.34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6659.96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1096.32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2793.68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892.32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294.54</w:t>
            </w:r>
          </w:p>
        </w:tc>
      </w:tr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6886.26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2884.26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438.53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21140.46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8605.88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1891.15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3277.10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1394.16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397.32</w:t>
            </w:r>
          </w:p>
        </w:tc>
      </w:tr>
      <w:tr>
        <w:trPr/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11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8886.26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3532.90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575.57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20349.62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8443.72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1863.74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3677.10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1556.32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397.32</w:t>
            </w:r>
          </w:p>
        </w:tc>
      </w:tr>
      <w:tr>
        <w:trPr>
          <w:trHeight w:val="463" w:hRule="atLeast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合计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color w:val="000000"/>
                <w:kern w:val="2"/>
                <w:sz w:val="21"/>
                <w:szCs w:val="21"/>
              </w:rPr>
              <w:t>55478.87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color w:val="000000"/>
                <w:kern w:val="2"/>
                <w:sz w:val="21"/>
                <w:szCs w:val="21"/>
              </w:rPr>
              <w:t>21086.97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color w:val="000000"/>
                <w:kern w:val="2"/>
                <w:sz w:val="21"/>
                <w:szCs w:val="21"/>
              </w:rPr>
              <w:t>4651.29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color w:val="000000"/>
                <w:kern w:val="2"/>
                <w:sz w:val="21"/>
                <w:szCs w:val="21"/>
              </w:rPr>
              <w:t>158463.24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color w:val="000000"/>
                <w:kern w:val="2"/>
                <w:sz w:val="21"/>
                <w:szCs w:val="21"/>
              </w:rPr>
              <w:t>57370.46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color w:val="000000"/>
                <w:kern w:val="2"/>
                <w:sz w:val="21"/>
                <w:szCs w:val="21"/>
              </w:rPr>
              <w:t>12404.41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color w:val="000000"/>
                <w:kern w:val="2"/>
                <w:sz w:val="21"/>
                <w:szCs w:val="21"/>
              </w:rPr>
              <w:t>21832.36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color w:val="000000"/>
                <w:kern w:val="2"/>
                <w:sz w:val="21"/>
                <w:szCs w:val="21"/>
              </w:rPr>
              <w:t>84</w:t>
            </w:r>
            <w:r>
              <w:rPr>
                <w:rFonts w:ascii="SimHei" w:hAnsi="SimHei" w:eastAsia="黑体" w:cs="SimHei"/>
                <w:b/>
                <w:color w:val="000000"/>
                <w:kern w:val="2"/>
                <w:sz w:val="21"/>
                <w:szCs w:val="21"/>
              </w:rPr>
              <w:t>46.00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color w:val="000000"/>
                <w:kern w:val="2"/>
                <w:sz w:val="21"/>
                <w:szCs w:val="21"/>
              </w:rPr>
              <w:t>1965.09</w:t>
            </w:r>
          </w:p>
        </w:tc>
      </w:tr>
    </w:tbl>
    <w:p>
      <w:pPr>
        <w:pStyle w:val="Normal"/>
        <w:spacing w:lineRule="exact" w:line="440" w:before="97" w:after="97"/>
        <w:ind w:firstLine="480"/>
        <w:jc w:val="left"/>
        <w:rPr/>
      </w:pPr>
      <w:r>
        <w:rPr>
          <w:rFonts w:ascii="SimHei" w:hAnsi="SimHei" w:eastAsia="黑体" w:cs="SimHei"/>
        </w:rPr>
        <w:t>表七为</w:t>
      </w:r>
      <w:r>
        <w:rPr>
          <w:rFonts w:ascii="SimHei" w:hAnsi="SimHei" w:eastAsia="黑体" w:cs="SimHei"/>
        </w:rPr>
        <w:t>截止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11</w:t>
      </w:r>
      <w:r>
        <w:rPr>
          <w:rFonts w:ascii="SimHei" w:hAnsi="SimHei" w:eastAsia="黑体" w:cs="SimHei"/>
        </w:rPr>
        <w:t>月各险种</w:t>
      </w:r>
      <w:r>
        <w:rPr>
          <w:rFonts w:ascii="SimHei" w:hAnsi="SimHei" w:eastAsia="黑体" w:cs="SimHei"/>
        </w:rPr>
        <w:t>的</w:t>
      </w:r>
      <w:r>
        <w:rPr>
          <w:rFonts w:ascii="SimHei" w:hAnsi="SimHei" w:eastAsia="黑体" w:cs="SimHei"/>
        </w:rPr>
        <w:t>参保</w:t>
      </w:r>
      <w:r>
        <w:rPr>
          <w:rFonts w:ascii="SimHei" w:hAnsi="SimHei" w:eastAsia="黑体" w:cs="SimHei"/>
        </w:rPr>
        <w:t>人数，其中养老保险参保人数占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实际总人数的</w:t>
      </w:r>
      <w:r>
        <w:rPr>
          <w:rFonts w:ascii="SimHei" w:hAnsi="SimHei" w:eastAsia="黑体" w:cs="SimHei"/>
        </w:rPr>
        <w:t>61%</w:t>
      </w:r>
      <w:r>
        <w:rPr>
          <w:rFonts w:ascii="SimHei" w:hAnsi="SimHei" w:eastAsia="黑体" w:cs="SimHei"/>
        </w:rPr>
        <w:t>，医疗保险占</w:t>
      </w:r>
      <w:r>
        <w:rPr>
          <w:rFonts w:ascii="SimHei" w:hAnsi="SimHei" w:eastAsia="黑体" w:cs="SimHei"/>
        </w:rPr>
        <w:t>62%</w:t>
      </w:r>
      <w:r>
        <w:rPr>
          <w:rFonts w:ascii="SimHei" w:hAnsi="SimHei" w:eastAsia="黑体" w:cs="SimHei"/>
        </w:rPr>
        <w:t>，工伤保险占</w:t>
      </w:r>
      <w:r>
        <w:rPr>
          <w:rFonts w:ascii="SimHei" w:hAnsi="SimHei" w:eastAsia="黑体" w:cs="SimHei"/>
        </w:rPr>
        <w:t>77%</w:t>
      </w:r>
      <w:r>
        <w:rPr>
          <w:rFonts w:ascii="SimHei" w:hAnsi="SimHei" w:eastAsia="黑体" w:cs="SimHei"/>
        </w:rPr>
        <w:t>（图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4</w:t>
      </w:r>
      <w:r>
        <w:rPr>
          <w:rFonts w:ascii="SimHei" w:hAnsi="SimHei" w:eastAsia="黑体" w:cs="SimHei"/>
        </w:rPr>
        <w:t>），未参保者多为试用期、灵活就业和已过参保年龄（仅限工伤保险）的员工。</w:t>
      </w:r>
    </w:p>
    <w:p>
      <w:pPr>
        <w:pStyle w:val="Normal"/>
        <w:spacing w:lineRule="exact" w:line="440" w:before="0" w:after="97"/>
        <w:jc w:val="center"/>
        <w:rPr>
          <w:rFonts w:ascii="SimHei" w:hAnsi="SimHei" w:eastAsia="黑体" w:cs="SimHei"/>
          <w:b/>
          <w:b/>
          <w:sz w:val="21"/>
          <w:szCs w:val="21"/>
        </w:rPr>
      </w:pPr>
      <w:r>
        <w:rPr>
          <w:rFonts w:ascii="SimHei" w:hAnsi="SimHei" w:eastAsia="黑体" w:cs="SimHei"/>
          <w:b/>
          <w:sz w:val="21"/>
          <w:szCs w:val="21"/>
        </w:rPr>
        <w:t>表七 截止</w:t>
      </w:r>
      <w:r>
        <w:rPr>
          <w:rFonts w:ascii="SimHei" w:hAnsi="SimHei" w:eastAsia="黑体" w:cs="SimHei"/>
          <w:b/>
          <w:sz w:val="21"/>
          <w:szCs w:val="21"/>
        </w:rPr>
        <w:t>20xx</w:t>
      </w:r>
      <w:r>
        <w:rPr>
          <w:rFonts w:ascii="SimHei" w:hAnsi="SimHei" w:eastAsia="黑体" w:cs="SimHei"/>
          <w:b/>
          <w:sz w:val="21"/>
          <w:szCs w:val="21"/>
        </w:rPr>
        <w:t>年</w:t>
      </w:r>
      <w:r>
        <w:rPr>
          <w:rFonts w:ascii="SimHei" w:hAnsi="SimHei" w:eastAsia="黑体" w:cs="SimHei"/>
          <w:b/>
          <w:sz w:val="21"/>
          <w:szCs w:val="21"/>
        </w:rPr>
        <w:t>11</w:t>
      </w:r>
      <w:r>
        <w:rPr>
          <w:rFonts w:ascii="SimHei" w:hAnsi="SimHei" w:eastAsia="黑体" w:cs="SimHei"/>
          <w:b/>
          <w:sz w:val="21"/>
          <w:szCs w:val="21"/>
        </w:rPr>
        <w:t>月份</w:t>
      </w:r>
      <w:r>
        <w:rPr>
          <w:rFonts w:ascii="SimHei" w:hAnsi="SimHei" w:eastAsia="黑体" w:cs="SimHei"/>
          <w:b/>
          <w:sz w:val="21"/>
          <w:szCs w:val="21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、</w:t>
      </w:r>
      <w:r>
        <w:rPr>
          <w:rFonts w:ascii="SimHei" w:hAnsi="SimHei" w:eastAsia="黑体" w:cs="SimHei"/>
          <w:b/>
          <w:sz w:val="21"/>
          <w:szCs w:val="21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、</w:t>
      </w:r>
      <w:r>
        <w:rPr>
          <w:rFonts w:ascii="SimHei" w:hAnsi="SimHei" w:eastAsia="黑体" w:cs="SimHei"/>
          <w:b/>
          <w:sz w:val="21"/>
          <w:szCs w:val="21"/>
        </w:rPr>
        <w:t>××××</w:t>
      </w:r>
      <w:r>
        <w:rPr>
          <w:rFonts w:ascii="SimHei" w:hAnsi="SimHei" w:eastAsia="黑体" w:cs="SimHei"/>
          <w:b/>
          <w:sz w:val="21"/>
          <w:szCs w:val="21"/>
        </w:rPr>
        <w:t>社会保险缴纳人数统计</w:t>
      </w:r>
    </w:p>
    <w:tbl>
      <w:tblPr>
        <w:tblW w:w="897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836"/>
        <w:gridCol w:w="837"/>
        <w:gridCol w:w="837"/>
        <w:gridCol w:w="837"/>
        <w:gridCol w:w="837"/>
        <w:gridCol w:w="837"/>
        <w:gridCol w:w="837"/>
        <w:gridCol w:w="837"/>
        <w:gridCol w:w="837"/>
      </w:tblGrid>
      <w:tr>
        <w:trPr>
          <w:trHeight w:val="70" w:hRule="atLeast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月份</w:t>
            </w:r>
          </w:p>
        </w:tc>
        <w:tc>
          <w:tcPr>
            <w:tcW w:w="2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2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  <w:tc>
          <w:tcPr>
            <w:tcW w:w="2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</w:tc>
      </w:tr>
      <w:tr>
        <w:trPr/>
        <w:tc>
          <w:tcPr>
            <w:tcW w:w="14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养老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医疗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工伤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养老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医疗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工伤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养老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医疗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b/>
                <w:kern w:val="2"/>
                <w:sz w:val="18"/>
                <w:szCs w:val="18"/>
              </w:rPr>
              <w:t>工伤</w:t>
            </w:r>
          </w:p>
        </w:tc>
      </w:tr>
      <w:tr>
        <w:trPr/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11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月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11</w:t>
            </w:r>
          </w:p>
        </w:tc>
      </w:tr>
      <w:tr>
        <w:trPr/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实际总人数</w:t>
            </w:r>
          </w:p>
        </w:tc>
        <w:tc>
          <w:tcPr>
            <w:tcW w:w="2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31</w:t>
            </w:r>
          </w:p>
        </w:tc>
        <w:tc>
          <w:tcPr>
            <w:tcW w:w="2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85</w:t>
            </w:r>
          </w:p>
        </w:tc>
        <w:tc>
          <w:tcPr>
            <w:tcW w:w="2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14</w:t>
            </w:r>
          </w:p>
        </w:tc>
      </w:tr>
    </w:tbl>
    <w:p>
      <w:pPr>
        <w:pStyle w:val="Normal"/>
        <w:spacing w:lineRule="exact" w:line="440"/>
        <w:rPr>
          <w:rFonts w:ascii="SimHei" w:hAnsi="SimHei" w:eastAsia="黑体" w:cs="SimHei"/>
          <w:lang w:val="en-US" w:eastAsia="en-US"/>
        </w:rPr>
      </w:pPr>
      <w:r>
        <w:rPr>
          <w:rFonts w:ascii="SimHei" w:hAnsi="SimHei" w:eastAsia="黑体" w:cs="SimHei"/>
          <w:lang w:val="en-US" w:eastAsia="en-US"/>
        </w:rPr>
        <w:drawing>
          <wp:anchor behindDoc="1" distT="0" distB="0" distL="114935" distR="114935" simplePos="0" locked="0" layoutInCell="0" allowOverlap="1" relativeHeight="2">
            <wp:simplePos x="0" y="0"/>
            <wp:positionH relativeFrom="column">
              <wp:posOffset>71755</wp:posOffset>
            </wp:positionH>
            <wp:positionV relativeFrom="paragraph">
              <wp:posOffset>34290</wp:posOffset>
            </wp:positionV>
            <wp:extent cx="2989580" cy="1624965"/>
            <wp:effectExtent l="0" t="0" r="0" b="0"/>
            <wp:wrapNone/>
            <wp:docPr id="2" name="图表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表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769" t="1283" r="769" b="1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14935" distR="114935" simplePos="0" locked="0" layoutInCell="0" allowOverlap="1" relativeHeight="3">
            <wp:simplePos x="0" y="0"/>
            <wp:positionH relativeFrom="column">
              <wp:posOffset>3326130</wp:posOffset>
            </wp:positionH>
            <wp:positionV relativeFrom="paragraph">
              <wp:posOffset>34290</wp:posOffset>
            </wp:positionV>
            <wp:extent cx="2989580" cy="1624965"/>
            <wp:effectExtent l="0" t="0" r="0" b="0"/>
            <wp:wrapNone/>
            <wp:docPr id="3" name="图表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表 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769" t="1283" r="769" b="1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48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</w:r>
    </w:p>
    <w:p>
      <w:pPr>
        <w:pStyle w:val="Normal"/>
        <w:spacing w:lineRule="exact" w:line="48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</w:r>
    </w:p>
    <w:p>
      <w:pPr>
        <w:pStyle w:val="Normal"/>
        <w:spacing w:lineRule="exact" w:line="48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</w:r>
    </w:p>
    <w:p>
      <w:pPr>
        <w:pStyle w:val="Normal"/>
        <w:spacing w:lineRule="exact" w:line="48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</w:r>
    </w:p>
    <w:p>
      <w:pPr>
        <w:pStyle w:val="Normal"/>
        <w:spacing w:lineRule="exact" w:line="440"/>
        <w:ind w:firstLine="1200"/>
        <w:rPr>
          <w:rFonts w:ascii="SimHei" w:hAnsi="SimHei" w:eastAsia="黑体" w:cs="SimHei"/>
          <w:sz w:val="28"/>
          <w:szCs w:val="28"/>
        </w:rPr>
      </w:pPr>
      <w:r>
        <w:drawing>
          <wp:anchor behindDoc="1" distT="0" distB="0" distL="114935" distR="114935" simplePos="0" locked="0" layoutInCell="0" allowOverlap="1" relativeHeight="4">
            <wp:simplePos x="0" y="0"/>
            <wp:positionH relativeFrom="column">
              <wp:posOffset>1686560</wp:posOffset>
            </wp:positionH>
            <wp:positionV relativeFrom="paragraph">
              <wp:posOffset>247650</wp:posOffset>
            </wp:positionV>
            <wp:extent cx="2989580" cy="1624965"/>
            <wp:effectExtent l="0" t="0" r="0" b="0"/>
            <wp:wrapNone/>
            <wp:docPr id="4" name="图表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表 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69" t="1283" r="769" b="1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黑体" w:cs="SimHei"/>
          <w:sz w:val="21"/>
          <w:szCs w:val="21"/>
        </w:rPr>
        <w:t>图</w:t>
      </w:r>
      <w:r>
        <w:rPr>
          <w:rFonts w:ascii="SimHei" w:hAnsi="SimHei" w:eastAsia="黑体" w:cs="SimHei"/>
          <w:sz w:val="21"/>
          <w:szCs w:val="21"/>
        </w:rPr>
        <w:t xml:space="preserve">2 </w:t>
      </w:r>
      <w:r>
        <w:rPr>
          <w:rFonts w:ascii="SimHei" w:hAnsi="SimHei" w:eastAsia="黑体" w:cs="SimHei"/>
          <w:sz w:val="21"/>
          <w:szCs w:val="21"/>
        </w:rPr>
        <w:t>养老保险参保比例</w:t>
      </w:r>
      <w:r>
        <w:rPr>
          <w:rFonts w:ascii="SimHei" w:hAnsi="SimHei" w:eastAsia="黑体" w:cs="SimHei"/>
          <w:sz w:val="21"/>
          <w:szCs w:val="21"/>
        </w:rPr>
        <w:t xml:space="preserve">                           </w:t>
      </w:r>
      <w:r>
        <w:rPr>
          <w:rFonts w:ascii="SimHei" w:hAnsi="SimHei" w:eastAsia="黑体" w:cs="SimHei"/>
          <w:sz w:val="21"/>
          <w:szCs w:val="21"/>
        </w:rPr>
        <w:t xml:space="preserve">  </w:t>
      </w:r>
      <w:r>
        <w:rPr>
          <w:rFonts w:ascii="SimHei" w:hAnsi="SimHei" w:eastAsia="黑体" w:cs="SimHei"/>
          <w:sz w:val="21"/>
          <w:szCs w:val="21"/>
        </w:rPr>
        <w:t>图</w:t>
      </w:r>
      <w:r>
        <w:rPr>
          <w:rFonts w:ascii="SimHei" w:hAnsi="SimHei" w:eastAsia="黑体" w:cs="SimHei"/>
          <w:sz w:val="21"/>
          <w:szCs w:val="21"/>
        </w:rPr>
        <w:t xml:space="preserve">3 </w:t>
      </w:r>
      <w:r>
        <w:rPr>
          <w:rFonts w:ascii="SimHei" w:hAnsi="SimHei" w:eastAsia="黑体" w:cs="SimHei"/>
          <w:sz w:val="21"/>
          <w:szCs w:val="21"/>
        </w:rPr>
        <w:t>医疗保险参保比例</w:t>
      </w:r>
    </w:p>
    <w:p>
      <w:pPr>
        <w:pStyle w:val="Normal"/>
        <w:spacing w:lineRule="exact" w:line="480"/>
        <w:rPr>
          <w:rFonts w:ascii="SimHei" w:hAnsi="SimHei" w:eastAsia="黑体" w:cs="SimHei"/>
          <w:sz w:val="21"/>
          <w:szCs w:val="21"/>
        </w:rPr>
      </w:pPr>
      <w:r>
        <w:rPr>
          <w:rFonts w:ascii="SimHei" w:hAnsi="SimHei" w:eastAsia="黑体" w:cs="SimHei"/>
          <w:sz w:val="21"/>
          <w:szCs w:val="21"/>
        </w:rPr>
      </w:r>
    </w:p>
    <w:p>
      <w:pPr>
        <w:pStyle w:val="Normal"/>
        <w:spacing w:lineRule="exact" w:line="48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</w:r>
    </w:p>
    <w:p>
      <w:pPr>
        <w:pStyle w:val="Normal"/>
        <w:spacing w:lineRule="exact" w:line="48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</w:r>
    </w:p>
    <w:p>
      <w:pPr>
        <w:pStyle w:val="Normal"/>
        <w:spacing w:lineRule="exact" w:line="48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</w:r>
    </w:p>
    <w:p>
      <w:pPr>
        <w:pStyle w:val="Normal"/>
        <w:spacing w:lineRule="exact" w:line="440" w:before="326" w:after="97"/>
        <w:ind w:firstLine="3675"/>
        <w:rPr>
          <w:rFonts w:ascii="SimHei" w:hAnsi="SimHei" w:eastAsia="黑体" w:cs="SimHei"/>
          <w:sz w:val="21"/>
          <w:szCs w:val="21"/>
        </w:rPr>
      </w:pPr>
      <w:r>
        <w:rPr>
          <w:rFonts w:ascii="SimHei" w:hAnsi="SimHei" w:eastAsia="黑体" w:cs="SimHei"/>
          <w:sz w:val="21"/>
          <w:szCs w:val="21"/>
        </w:rPr>
        <w:t>图</w:t>
      </w:r>
      <w:r>
        <w:rPr>
          <w:rFonts w:ascii="SimHei" w:hAnsi="SimHei" w:eastAsia="黑体" w:cs="SimHei"/>
          <w:sz w:val="21"/>
          <w:szCs w:val="21"/>
        </w:rPr>
        <w:t>4</w:t>
      </w:r>
      <w:r>
        <w:rPr>
          <w:rFonts w:ascii="SimHei" w:hAnsi="SimHei" w:eastAsia="黑体" w:cs="SimHei"/>
          <w:sz w:val="21"/>
          <w:szCs w:val="21"/>
        </w:rPr>
        <w:t xml:space="preserve"> </w:t>
      </w:r>
      <w:r>
        <w:rPr>
          <w:rFonts w:ascii="SimHei" w:hAnsi="SimHei" w:eastAsia="黑体" w:cs="SimHei"/>
          <w:sz w:val="21"/>
          <w:szCs w:val="21"/>
        </w:rPr>
        <w:t>工伤保险参保比例</w:t>
      </w:r>
    </w:p>
    <w:p>
      <w:pPr>
        <w:pStyle w:val="Normal"/>
        <w:spacing w:lineRule="exact" w:line="440" w:before="97" w:after="97"/>
        <w:rPr>
          <w:rFonts w:ascii="SimHei" w:hAnsi="SimHei" w:eastAsia="黑体" w:cs="SimHei"/>
          <w:b/>
          <w:b/>
        </w:rPr>
      </w:pPr>
      <w:r>
        <w:rPr>
          <w:rFonts w:ascii="SimHei" w:hAnsi="SimHei" w:eastAsia="黑体" w:cs="SimHei"/>
          <w:b/>
        </w:rPr>
        <w:t>（五）完成集团人力资源部分管理制度的沟通与文件编制工作：</w:t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 xml:space="preserve">    </w:t>
      </w:r>
      <w:r>
        <w:rPr>
          <w:rFonts w:ascii="SimHei" w:hAnsi="SimHei" w:eastAsia="黑体" w:cs="SimHei"/>
        </w:rPr>
        <w:t>表八为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7</w:t>
      </w:r>
      <w:r>
        <w:rPr>
          <w:rFonts w:ascii="SimHei" w:hAnsi="SimHei" w:eastAsia="黑体" w:cs="SimHei"/>
        </w:rPr>
        <w:t>月至今，完成或正在编制、正在讨论研究的人力资源管理制度文件明细，除部门职责及各岗位职位说明书外，招聘、绩效、定岗定编、人才接替方面的管理制度均已编制完成。</w:t>
      </w:r>
    </w:p>
    <w:p>
      <w:pPr>
        <w:pStyle w:val="Normal"/>
        <w:spacing w:lineRule="exact" w:line="440" w:before="0" w:after="97"/>
        <w:jc w:val="center"/>
        <w:rPr>
          <w:rFonts w:ascii="SimHei" w:hAnsi="SimHei" w:eastAsia="黑体" w:cs="SimHei"/>
          <w:b/>
          <w:b/>
          <w:sz w:val="21"/>
          <w:szCs w:val="21"/>
        </w:rPr>
      </w:pPr>
      <w:r>
        <w:rPr>
          <w:rFonts w:ascii="SimHei" w:hAnsi="SimHei" w:eastAsia="黑体" w:cs="SimHei"/>
          <w:b/>
          <w:sz w:val="21"/>
          <w:szCs w:val="21"/>
        </w:rPr>
        <w:t>表</w:t>
      </w:r>
      <w:r>
        <w:rPr>
          <w:rFonts w:ascii="SimHei" w:hAnsi="SimHei" w:eastAsia="黑体" w:cs="SimHei"/>
          <w:b/>
          <w:sz w:val="21"/>
          <w:szCs w:val="21"/>
        </w:rPr>
        <w:t>八 编制的人力资源管理制度文件明细</w:t>
      </w:r>
    </w:p>
    <w:tbl>
      <w:tblPr>
        <w:tblW w:w="100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694"/>
        <w:gridCol w:w="717"/>
        <w:gridCol w:w="5255"/>
        <w:gridCol w:w="525"/>
        <w:gridCol w:w="741"/>
        <w:gridCol w:w="721"/>
      </w:tblGrid>
      <w:tr>
        <w:trPr>
          <w:trHeight w:val="766" w:hRule="atLeast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制度名称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完成时间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/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章节内容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附表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字数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目前状态</w:t>
            </w:r>
          </w:p>
        </w:tc>
      </w:tr>
      <w:tr>
        <w:trPr>
          <w:trHeight w:val="1004" w:hRule="atLeast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80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  <w:p>
            <w:pPr>
              <w:pStyle w:val="Normal"/>
              <w:spacing w:lineRule="exact" w:line="28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招聘管理制度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①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总则；②招聘组织管理；③招聘的计划；④人员招聘；⑤面试甄选；⑥员工录用及离职；⑦招聘评估；⑧附则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11965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2"/>
                <w:sz w:val="18"/>
                <w:szCs w:val="18"/>
              </w:rPr>
              <w:t>试行</w:t>
            </w:r>
          </w:p>
        </w:tc>
      </w:tr>
      <w:tr>
        <w:trPr>
          <w:trHeight w:val="1273" w:hRule="atLeast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80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  <w:p>
            <w:pPr>
              <w:pStyle w:val="Normal"/>
              <w:spacing w:lineRule="exact" w:line="28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定岗定编及员工调动管理制度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①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总则；②责权划分；③工作流程；④流程解释及管理细则；⑤恒热集团（各子公司）组织架构及定岗定编；⑥员工调动；⑦附则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12696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2"/>
                <w:sz w:val="18"/>
                <w:szCs w:val="18"/>
              </w:rPr>
              <w:t>正在</w:t>
            </w:r>
          </w:p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2"/>
                <w:sz w:val="18"/>
                <w:szCs w:val="18"/>
              </w:rPr>
              <w:t>讨论</w:t>
            </w:r>
          </w:p>
        </w:tc>
      </w:tr>
      <w:tr>
        <w:trPr>
          <w:trHeight w:val="1263" w:hRule="atLeast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80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  <w:p>
            <w:pPr>
              <w:pStyle w:val="Normal"/>
              <w:spacing w:lineRule="exact" w:line="28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人才接替与梯队</w:t>
            </w:r>
          </w:p>
          <w:p>
            <w:pPr>
              <w:pStyle w:val="Normal"/>
              <w:spacing w:lineRule="exact" w:line="28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建设管理制度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10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①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总则；②责权划分；③管理人员接替模型；④工作流程；⑤流程解释及实施细则；⑥兼职内部培训师的选拔与接替；⑦人才梯队建设；⑧附则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14481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2"/>
                <w:sz w:val="18"/>
                <w:szCs w:val="18"/>
              </w:rPr>
              <w:t>正在</w:t>
            </w:r>
          </w:p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2"/>
                <w:sz w:val="18"/>
                <w:szCs w:val="18"/>
              </w:rPr>
              <w:t>讨论</w:t>
            </w:r>
          </w:p>
        </w:tc>
      </w:tr>
      <w:tr>
        <w:trPr>
          <w:trHeight w:val="1254" w:hRule="atLeast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80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  <w:p>
            <w:pPr>
              <w:pStyle w:val="Normal"/>
              <w:spacing w:lineRule="exact" w:line="28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绩效管理制度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11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月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①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总则；②责权划分；③工作流程；④实施细则；</w:t>
            </w:r>
          </w:p>
          <w:p>
            <w:pPr>
              <w:pStyle w:val="Normal"/>
              <w:spacing w:lineRule="exact" w:line="36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⑤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附则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11558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2"/>
                <w:sz w:val="18"/>
                <w:szCs w:val="18"/>
              </w:rPr>
              <w:t>正在</w:t>
            </w:r>
          </w:p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2"/>
                <w:sz w:val="18"/>
                <w:szCs w:val="18"/>
              </w:rPr>
              <w:t>讨论</w:t>
            </w:r>
          </w:p>
        </w:tc>
      </w:tr>
      <w:tr>
        <w:trPr>
          <w:trHeight w:val="1130" w:hRule="atLeast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80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××××</w:t>
            </w:r>
          </w:p>
          <w:p>
            <w:pPr>
              <w:pStyle w:val="Normal"/>
              <w:spacing w:lineRule="exact" w:line="280"/>
              <w:jc w:val="center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部门职责及各岗位职位说明书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预计</w:t>
            </w:r>
          </w:p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明年</w:t>
            </w:r>
          </w:p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年初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①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集团各部门职责；②各岗位《职位说明书》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无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——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2"/>
                <w:sz w:val="18"/>
                <w:szCs w:val="18"/>
              </w:rPr>
              <w:t>正在</w:t>
            </w:r>
          </w:p>
          <w:p>
            <w:pPr>
              <w:pStyle w:val="Normal"/>
              <w:spacing w:lineRule="exact" w:line="240"/>
              <w:jc w:val="center"/>
              <w:rPr>
                <w:rFonts w:ascii="SimHei" w:hAnsi="SimHei" w:eastAsia="黑体" w:cs="SimHei"/>
                <w:kern w:val="2"/>
                <w:sz w:val="18"/>
                <w:szCs w:val="18"/>
              </w:rPr>
            </w:pPr>
            <w:r>
              <w:rPr>
                <w:rFonts w:ascii="SimHei" w:hAnsi="SimHei" w:eastAsia="黑体" w:cs="SimHei"/>
                <w:kern w:val="2"/>
                <w:sz w:val="18"/>
                <w:szCs w:val="18"/>
              </w:rPr>
              <w:t>编制</w:t>
            </w:r>
          </w:p>
        </w:tc>
      </w:tr>
      <w:tr>
        <w:trPr>
          <w:trHeight w:val="774" w:hRule="atLeast"/>
        </w:trPr>
        <w:tc>
          <w:tcPr>
            <w:tcW w:w="2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合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 xml:space="preserve"> </w:t>
            </w: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计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————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38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50700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——</w:t>
            </w:r>
          </w:p>
        </w:tc>
      </w:tr>
    </w:tbl>
    <w:p>
      <w:pPr>
        <w:pStyle w:val="Normal"/>
        <w:spacing w:lineRule="exact" w:line="440" w:before="97" w:after="0"/>
        <w:ind w:firstLine="480"/>
        <w:rPr/>
      </w:pPr>
      <w:r>
        <w:rPr>
          <w:rFonts w:ascii="SimHei" w:hAnsi="SimHei" w:eastAsia="黑体" w:cs="SimHei"/>
        </w:rPr>
        <w:t>1.</w:t>
      </w:r>
      <w:r>
        <w:rPr>
          <w:rFonts w:ascii="SimHei" w:hAnsi="SimHei" w:eastAsia="黑体" w:cs="SimHei"/>
        </w:rPr>
        <w:t>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招聘管理制度》编制完成后，经集团领导审批，已于</w:t>
      </w:r>
      <w:r>
        <w:rPr>
          <w:rFonts w:ascii="SimHei" w:hAnsi="SimHei" w:eastAsia="黑体" w:cs="SimHei"/>
        </w:rPr>
        <w:t>8</w:t>
      </w:r>
      <w:r>
        <w:rPr>
          <w:rFonts w:ascii="SimHei" w:hAnsi="SimHei" w:eastAsia="黑体" w:cs="SimHei"/>
        </w:rPr>
        <w:t>月</w:t>
      </w:r>
      <w:r>
        <w:rPr>
          <w:rFonts w:ascii="SimHei" w:hAnsi="SimHei" w:eastAsia="黑体" w:cs="SimHei"/>
        </w:rPr>
        <w:t>23</w:t>
      </w:r>
      <w:r>
        <w:rPr>
          <w:rFonts w:ascii="SimHei" w:hAnsi="SimHei" w:eastAsia="黑体" w:cs="SimHei"/>
        </w:rPr>
        <w:t>日发布试行。</w:t>
      </w:r>
    </w:p>
    <w:p>
      <w:pPr>
        <w:pStyle w:val="Normal"/>
        <w:spacing w:lineRule="exact" w:line="440"/>
        <w:ind w:firstLine="480"/>
        <w:rPr/>
      </w:pPr>
      <w:r>
        <w:rPr>
          <w:rFonts w:ascii="SimHei" w:hAnsi="SimHei" w:eastAsia="黑体" w:cs="SimHei"/>
        </w:rPr>
        <w:t>2.</w:t>
      </w:r>
      <w:r>
        <w:rPr>
          <w:rFonts w:ascii="SimHei" w:hAnsi="SimHei" w:eastAsia="黑体" w:cs="SimHei"/>
        </w:rPr>
        <w:t>在听取集团各部门、各子公司的反馈意见后，目前正在制定《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定岗定编及员工调动管理制度》和《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人才接替与梯队建设管理制度》的相关执行方案，预计在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月中旬完成，并发布实施。</w:t>
      </w:r>
    </w:p>
    <w:p>
      <w:pPr>
        <w:pStyle w:val="Normal"/>
        <w:spacing w:lineRule="exact" w:line="440"/>
        <w:ind w:firstLine="480"/>
        <w:rPr/>
      </w:pPr>
      <w:r>
        <w:rPr>
          <w:rFonts w:ascii="SimHei" w:hAnsi="SimHei" w:eastAsia="黑体" w:cs="SimHei"/>
        </w:rPr>
        <w:t>3.</w:t>
      </w:r>
      <w:r>
        <w:rPr>
          <w:rFonts w:ascii="SimHei" w:hAnsi="SimHei" w:eastAsia="黑体" w:cs="SimHei"/>
        </w:rPr>
        <w:t>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绩效管理制度》的目的、责权、工作流程、实施细则和相关附表目前已制作完成，涉及集团各部门的绩效考核指标也已初步成型，下一步工作主要是针对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年当年绩效考核的运行情况和存在的问题，于</w:t>
      </w:r>
      <w:r>
        <w:rPr>
          <w:rFonts w:ascii="SimHei" w:hAnsi="SimHei" w:eastAsia="黑体" w:cs="SimHei"/>
        </w:rPr>
        <w:t>11</w:t>
      </w:r>
      <w:r>
        <w:rPr>
          <w:rFonts w:ascii="SimHei" w:hAnsi="SimHei" w:eastAsia="黑体" w:cs="SimHei"/>
        </w:rPr>
        <w:t>月底对集团各部门、各子公司进行绩效辅导，并在</w:t>
      </w:r>
      <w:r>
        <w:rPr>
          <w:rFonts w:ascii="SimHei" w:hAnsi="SimHei" w:eastAsia="黑体" w:cs="SimHei"/>
        </w:rPr>
        <w:t>12</w:t>
      </w:r>
      <w:r>
        <w:rPr>
          <w:rFonts w:ascii="SimHei" w:hAnsi="SimHei" w:eastAsia="黑体" w:cs="SimHei"/>
        </w:rPr>
        <w:t>月底前协助集团各部门、各子公司完成各自绩效考核指标的制定，于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～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月试行，</w:t>
      </w:r>
      <w:r>
        <w:rPr>
          <w:rFonts w:ascii="SimHei" w:hAnsi="SimHei" w:eastAsia="黑体" w:cs="SimHei"/>
        </w:rPr>
        <w:t>4</w:t>
      </w:r>
      <w:r>
        <w:rPr>
          <w:rFonts w:ascii="SimHei" w:hAnsi="SimHei" w:eastAsia="黑体" w:cs="SimHei"/>
        </w:rPr>
        <w:t>月份后正式执行。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4.</w:t>
      </w:r>
      <w:r>
        <w:rPr>
          <w:rFonts w:ascii="SimHei" w:hAnsi="SimHei" w:eastAsia="黑体" w:cs="SimHei"/>
        </w:rPr>
        <w:t>目前正在进行《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部门职责及各岗位职位说明书》的编制，计划于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月完成并发布实施。</w:t>
      </w:r>
    </w:p>
    <w:p>
      <w:pPr>
        <w:pStyle w:val="Normal"/>
        <w:spacing w:lineRule="exact" w:line="440" w:before="97" w:after="97"/>
        <w:rPr>
          <w:rFonts w:ascii="SimHei" w:hAnsi="SimHei" w:eastAsia="黑体" w:cs="SimHei"/>
          <w:b/>
          <w:b/>
        </w:rPr>
      </w:pPr>
      <w:r>
        <w:rPr>
          <w:rFonts w:ascii="SimHei" w:hAnsi="SimHei" w:eastAsia="黑体" w:cs="SimHei"/>
          <w:b/>
        </w:rPr>
        <w:t>（六）其他主要事务性工作：</w:t>
      </w:r>
    </w:p>
    <w:p>
      <w:pPr>
        <w:pStyle w:val="Normal"/>
        <w:spacing w:lineRule="exact" w:line="440" w:before="97" w:after="97"/>
        <w:jc w:val="center"/>
        <w:rPr/>
      </w:pPr>
      <w:r>
        <w:rPr>
          <w:rFonts w:ascii="SimHei" w:hAnsi="SimHei" w:eastAsia="黑体" w:cs="SimHei"/>
          <w:b/>
          <w:sz w:val="21"/>
          <w:szCs w:val="21"/>
        </w:rPr>
        <w:t>表九</w:t>
      </w:r>
      <w:r>
        <w:rPr/>
        <w:t xml:space="preserve"> 其他主要事务性工作一览</w:t>
      </w:r>
    </w:p>
    <w:tbl>
      <w:tblPr>
        <w:tblW w:w="936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8646"/>
      </w:tblGrid>
      <w:tr>
        <w:trPr>
          <w:trHeight w:val="440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工作内容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配合完成年初“</w:t>
            </w:r>
            <w:r>
              <w:rPr>
                <w:rFonts w:ascii="SimHei" w:hAnsi="SimHei" w:eastAsia="黑体" w:cs="SimHei"/>
              </w:rPr>
              <w:t>××××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实效管理精英特训营”中旭培训相关事宜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2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完成</w:t>
            </w:r>
            <w:r>
              <w:rPr>
                <w:rFonts w:ascii="SimHei" w:hAnsi="SimHei" w:eastAsia="黑体" w:cs="SimHei"/>
              </w:rPr>
              <w:t>××××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、</w:t>
            </w:r>
            <w:r>
              <w:rPr>
                <w:rFonts w:ascii="SimHei" w:hAnsi="SimHei" w:eastAsia="黑体" w:cs="SimHei"/>
              </w:rPr>
              <w:t>××××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、</w:t>
            </w:r>
            <w:r>
              <w:rPr>
                <w:rFonts w:ascii="SimHei" w:hAnsi="SimHei" w:eastAsia="黑体" w:cs="SimHei"/>
              </w:rPr>
              <w:t>××××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电子档案的整理和更新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3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每季度完成统计数据平台的数据申报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4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完成</w:t>
            </w:r>
            <w:r>
              <w:rPr>
                <w:rFonts w:ascii="SimHei" w:hAnsi="SimHei" w:eastAsia="黑体" w:cs="SimHei"/>
              </w:rPr>
              <w:t>××××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、</w:t>
            </w:r>
            <w:r>
              <w:rPr>
                <w:rFonts w:ascii="SimHei" w:hAnsi="SimHei" w:eastAsia="黑体" w:cs="SimHei"/>
              </w:rPr>
              <w:t>××××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、</w:t>
            </w:r>
            <w:r>
              <w:rPr>
                <w:rFonts w:ascii="SimHei" w:hAnsi="SimHei" w:eastAsia="黑体" w:cs="SimHei"/>
              </w:rPr>
              <w:t>××××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《劳动合同》、《劳务协议》的签订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5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每月完成办理员工的社会保险卡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6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制定《员工信息采集表》，完成集团全员的员工情况调查，统计未上保险人员明细，编制集团社会保险缴纳方案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7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完成集团公司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40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岁（女员工）、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45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岁（男员工）人数及未上保险情况统计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8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完成修改各类人力资源审批表格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9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完成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20xx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年</w:t>
            </w:r>
            <w:r>
              <w:rPr>
                <w:rFonts w:ascii="SimHei" w:hAnsi="SimHei" w:eastAsia="黑体" w:cs="SimHei"/>
              </w:rPr>
              <w:t>××××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住房公积金的缴纳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10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完成</w:t>
            </w:r>
            <w:r>
              <w:rPr>
                <w:rFonts w:ascii="SimHei" w:hAnsi="SimHei" w:eastAsia="黑体" w:cs="SimHei"/>
              </w:rPr>
              <w:t>××××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20xx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年管理费用（工资及社会统筹费）预算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11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配合信息部商议讨论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OA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人力资源管理模块及流程的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设计和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制定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12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完成“</w:t>
            </w:r>
            <w:r>
              <w:rPr>
                <w:rFonts w:ascii="SimHei" w:hAnsi="SimHei" w:eastAsia="黑体" w:cs="SimHei"/>
              </w:rPr>
              <w:t>××××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绩效管理培训”课件的制作并适时培训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13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各类报表、考勤表、社保缴费表的整理及归档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00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14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400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绩效考核数据的分类、统计</w:t>
            </w:r>
          </w:p>
        </w:tc>
      </w:tr>
    </w:tbl>
    <w:p>
      <w:pPr>
        <w:pStyle w:val="Normal"/>
        <w:spacing w:lineRule="exact" w:line="440" w:before="163" w:after="163"/>
        <w:rPr>
          <w:rFonts w:ascii="SimHei" w:hAnsi="SimHei" w:eastAsia="黑体" w:cs="SimHei"/>
          <w:b/>
          <w:b/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二、</w:t>
      </w:r>
      <w:r>
        <w:rPr>
          <w:rFonts w:ascii="SimHei" w:hAnsi="SimHei" w:eastAsia="黑体" w:cs="SimHei"/>
          <w:b/>
          <w:sz w:val="28"/>
          <w:szCs w:val="28"/>
        </w:rPr>
        <w:t>20xx</w:t>
      </w:r>
      <w:r>
        <w:rPr>
          <w:rFonts w:ascii="SimHei" w:hAnsi="SimHei" w:eastAsia="黑体" w:cs="SimHei"/>
          <w:b/>
          <w:sz w:val="28"/>
          <w:szCs w:val="28"/>
        </w:rPr>
        <w:t>年工作中存在的主要问题及分析：</w:t>
      </w:r>
    </w:p>
    <w:p>
      <w:pPr>
        <w:pStyle w:val="Normal"/>
        <w:spacing w:lineRule="exact" w:line="440" w:before="97" w:after="97"/>
        <w:rPr/>
      </w:pPr>
      <w:r>
        <w:rPr>
          <w:rFonts w:ascii="SimHei" w:hAnsi="SimHei" w:eastAsia="黑体" w:cs="SimHei"/>
          <w:b/>
        </w:rPr>
        <w:t>（一）</w:t>
      </w:r>
      <w:r>
        <w:rPr>
          <w:rFonts w:ascii="SimHei" w:hAnsi="SimHei" w:eastAsia="黑体" w:cs="SimHei"/>
          <w:b/>
        </w:rPr>
        <w:t>1</w:t>
      </w:r>
      <w:r>
        <w:rPr>
          <w:rFonts w:ascii="SimHei" w:hAnsi="SimHei" w:eastAsia="黑体" w:cs="SimHei"/>
          <w:b/>
        </w:rPr>
        <w:t>～</w:t>
      </w:r>
      <w:r>
        <w:rPr>
          <w:rFonts w:ascii="SimHei" w:hAnsi="SimHei" w:eastAsia="黑体" w:cs="SimHei"/>
          <w:b/>
        </w:rPr>
        <w:t>6</w:t>
      </w:r>
      <w:r>
        <w:rPr>
          <w:rFonts w:ascii="SimHei" w:hAnsi="SimHei" w:eastAsia="黑体" w:cs="SimHei"/>
          <w:b/>
        </w:rPr>
        <w:t>月份的</w:t>
      </w:r>
      <w:r>
        <w:rPr>
          <w:rFonts w:ascii="SimHei" w:hAnsi="SimHei" w:eastAsia="黑体" w:cs="SimHei"/>
          <w:b/>
        </w:rPr>
        <w:t>招聘工作：</w:t>
      </w:r>
    </w:p>
    <w:p>
      <w:pPr>
        <w:pStyle w:val="Normal"/>
        <w:spacing w:lineRule="exact" w:line="440" w:before="0" w:after="97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 xml:space="preserve">    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～</w:t>
      </w:r>
      <w:r>
        <w:rPr>
          <w:rFonts w:ascii="SimHei" w:hAnsi="SimHei" w:eastAsia="黑体" w:cs="SimHei"/>
        </w:rPr>
        <w:t>6</w:t>
      </w:r>
      <w:r>
        <w:rPr>
          <w:rFonts w:ascii="SimHei" w:hAnsi="SimHei" w:eastAsia="黑体" w:cs="SimHei"/>
        </w:rPr>
        <w:t>月份</w:t>
      </w:r>
      <w:r>
        <w:rPr>
          <w:rFonts w:ascii="SimHei" w:hAnsi="SimHei" w:eastAsia="黑体" w:cs="SimHei"/>
        </w:rPr>
        <w:t>共涉及</w:t>
      </w:r>
      <w:r>
        <w:rPr>
          <w:rFonts w:ascii="SimHei" w:hAnsi="SimHei" w:eastAsia="黑体" w:cs="SimHei"/>
        </w:rPr>
        <w:t>30</w:t>
      </w:r>
      <w:r>
        <w:rPr>
          <w:rFonts w:ascii="SimHei" w:hAnsi="SimHei" w:eastAsia="黑体" w:cs="SimHei"/>
        </w:rPr>
        <w:t>余个岗位</w:t>
      </w:r>
      <w:r>
        <w:rPr>
          <w:rFonts w:ascii="SimHei" w:hAnsi="SimHei" w:eastAsia="黑体" w:cs="SimHei"/>
        </w:rPr>
        <w:t>的招聘工作</w:t>
      </w:r>
      <w:r>
        <w:rPr>
          <w:rFonts w:ascii="SimHei" w:hAnsi="SimHei" w:eastAsia="黑体" w:cs="SimHei"/>
        </w:rPr>
        <w:t>，招聘岗位的数量与</w:t>
      </w:r>
      <w:r>
        <w:rPr>
          <w:rFonts w:ascii="SimHei" w:hAnsi="SimHei" w:eastAsia="黑体" w:cs="SimHei"/>
        </w:rPr>
        <w:t>2012</w:t>
      </w:r>
      <w:r>
        <w:rPr>
          <w:rFonts w:ascii="SimHei" w:hAnsi="SimHei" w:eastAsia="黑体" w:cs="SimHei"/>
        </w:rPr>
        <w:t>年同期基本持平（备注：</w:t>
      </w:r>
      <w:r>
        <w:rPr>
          <w:rFonts w:ascii="SimHei" w:hAnsi="SimHei" w:eastAsia="黑体" w:cs="SimHei"/>
        </w:rPr>
        <w:t>2012</w:t>
      </w:r>
      <w:r>
        <w:rPr>
          <w:rFonts w:ascii="SimHei" w:hAnsi="SimHei" w:eastAsia="黑体" w:cs="SimHei"/>
        </w:rPr>
        <w:t>年全年累计招聘岗位共有</w:t>
      </w:r>
      <w:r>
        <w:rPr>
          <w:rFonts w:ascii="SimHei" w:hAnsi="SimHei" w:eastAsia="黑体" w:cs="SimHei"/>
        </w:rPr>
        <w:t>78</w:t>
      </w:r>
      <w:r>
        <w:rPr>
          <w:rFonts w:ascii="SimHei" w:hAnsi="SimHei" w:eastAsia="黑体" w:cs="SimHei"/>
        </w:rPr>
        <w:t>个）。但相比之下，财务类、技术工种、工程技术类岗位的招聘难度较大，简历投递数量、面试通过率、上岗率和转正率都比较低。经今年中、后期的工作分析，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年上半年的招聘工作主要存在以下问题：</w:t>
      </w:r>
    </w:p>
    <w:p>
      <w:pPr>
        <w:pStyle w:val="Normal"/>
        <w:spacing w:lineRule="exact" w:line="440"/>
        <w:rPr/>
      </w:pPr>
      <w:r>
        <w:rPr>
          <w:rFonts w:ascii="SimHei" w:hAnsi="SimHei" w:eastAsia="黑体" w:cs="SimHei"/>
          <w:b/>
        </w:rPr>
        <w:t>1.</w:t>
      </w:r>
      <w:r>
        <w:rPr>
          <w:rFonts w:ascii="SimHei" w:hAnsi="SimHei" w:eastAsia="黑体" w:cs="SimHei"/>
          <w:b/>
        </w:rPr>
        <w:t>招聘工作层面：</w:t>
      </w:r>
    </w:p>
    <w:p>
      <w:pPr>
        <w:pStyle w:val="Normal"/>
        <w:spacing w:lineRule="exact" w:line="440"/>
        <w:ind w:firstLine="360"/>
        <w:rPr/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）</w:t>
      </w:r>
      <w:r>
        <w:rPr>
          <w:rFonts w:ascii="SimHei" w:hAnsi="SimHei" w:eastAsia="黑体" w:cs="SimHei"/>
        </w:rPr>
        <w:t>仍以社会招聘和网络招聘为主，招聘渠道过窄</w:t>
      </w:r>
      <w:r>
        <w:rPr>
          <w:rFonts w:ascii="SimHei" w:hAnsi="SimHei" w:eastAsia="黑体" w:cs="SimHei"/>
        </w:rPr>
        <w:t>，可利用的资源有限</w:t>
      </w:r>
      <w:r>
        <w:rPr>
          <w:rFonts w:ascii="SimHei" w:hAnsi="SimHei" w:eastAsia="黑体" w:cs="SimHei"/>
        </w:rPr>
        <w:t>。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）没有形成详细的薪酬调查报告，</w:t>
      </w:r>
      <w:r>
        <w:rPr>
          <w:rFonts w:ascii="SimHei" w:hAnsi="SimHei" w:eastAsia="黑体" w:cs="SimHei"/>
        </w:rPr>
        <w:t>对同行业同岗位</w:t>
      </w:r>
      <w:r>
        <w:rPr>
          <w:rFonts w:ascii="SimHei" w:hAnsi="SimHei" w:eastAsia="黑体" w:cs="SimHei"/>
        </w:rPr>
        <w:t>、不同行业同岗位</w:t>
      </w:r>
      <w:r>
        <w:rPr>
          <w:rFonts w:ascii="SimHei" w:hAnsi="SimHei" w:eastAsia="黑体" w:cs="SimHei"/>
        </w:rPr>
        <w:t>的薪酬、保险、奖金、休假等福利信息</w:t>
      </w:r>
      <w:r>
        <w:rPr>
          <w:rFonts w:ascii="SimHei" w:hAnsi="SimHei" w:eastAsia="黑体" w:cs="SimHei"/>
        </w:rPr>
        <w:t>缺乏了解</w:t>
      </w:r>
      <w:r>
        <w:rPr>
          <w:rFonts w:ascii="SimHei" w:hAnsi="SimHei" w:eastAsia="黑体" w:cs="SimHei"/>
        </w:rPr>
        <w:t>，缺少竞争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比较和</w:t>
      </w:r>
      <w:r>
        <w:rPr>
          <w:rFonts w:ascii="SimHei" w:hAnsi="SimHei" w:eastAsia="黑体" w:cs="SimHei"/>
        </w:rPr>
        <w:t>具有说服性</w:t>
      </w:r>
      <w:r>
        <w:rPr>
          <w:rFonts w:ascii="SimHei" w:hAnsi="SimHei" w:eastAsia="黑体" w:cs="SimHei"/>
        </w:rPr>
        <w:t>的</w:t>
      </w:r>
      <w:r>
        <w:rPr>
          <w:rFonts w:ascii="SimHei" w:hAnsi="SimHei" w:eastAsia="黑体" w:cs="SimHei"/>
        </w:rPr>
        <w:t>客观</w:t>
      </w:r>
      <w:r>
        <w:rPr>
          <w:rFonts w:ascii="SimHei" w:hAnsi="SimHei" w:eastAsia="黑体" w:cs="SimHei"/>
        </w:rPr>
        <w:t>依据。</w:t>
      </w:r>
    </w:p>
    <w:p>
      <w:pPr>
        <w:pStyle w:val="Normal"/>
        <w:spacing w:lineRule="exact" w:line="440"/>
        <w:ind w:firstLine="360"/>
        <w:rPr/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）招聘、面试工作缺少规范的制度支撑，实施流程不规范、不易控制，整个人力资源招聘模块未形成良好的运行体系。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4</w:t>
      </w:r>
      <w:r>
        <w:rPr>
          <w:rFonts w:ascii="SimHei" w:hAnsi="SimHei" w:eastAsia="黑体" w:cs="SimHei"/>
        </w:rPr>
        <w:t>）对员工入职后</w:t>
      </w:r>
      <w:r>
        <w:rPr>
          <w:rFonts w:ascii="SimHei" w:hAnsi="SimHei" w:eastAsia="黑体" w:cs="SimHei"/>
        </w:rPr>
        <w:t>的动态</w:t>
      </w:r>
      <w:r>
        <w:rPr>
          <w:rFonts w:ascii="SimHei" w:hAnsi="SimHei" w:eastAsia="黑体" w:cs="SimHei"/>
        </w:rPr>
        <w:t>了解不够，未及时进行后续</w:t>
      </w:r>
      <w:r>
        <w:rPr>
          <w:rFonts w:ascii="SimHei" w:hAnsi="SimHei" w:eastAsia="黑体" w:cs="SimHei"/>
        </w:rPr>
        <w:t>跟踪</w:t>
      </w:r>
      <w:r>
        <w:rPr>
          <w:rFonts w:ascii="SimHei" w:hAnsi="SimHei" w:eastAsia="黑体" w:cs="SimHei"/>
        </w:rPr>
        <w:t>和</w:t>
      </w:r>
      <w:r>
        <w:rPr>
          <w:rFonts w:ascii="SimHei" w:hAnsi="SimHei" w:eastAsia="黑体" w:cs="SimHei"/>
        </w:rPr>
        <w:t>信息反馈。</w:t>
      </w:r>
    </w:p>
    <w:p>
      <w:pPr>
        <w:pStyle w:val="Normal"/>
        <w:spacing w:lineRule="exact" w:line="440"/>
        <w:rPr>
          <w:rFonts w:ascii="SimHei" w:hAnsi="SimHei" w:eastAsia="黑体" w:cs="SimHei"/>
          <w:b/>
          <w:b/>
        </w:rPr>
      </w:pPr>
      <w:r>
        <w:rPr>
          <w:rFonts w:ascii="SimHei" w:hAnsi="SimHei" w:eastAsia="黑体" w:cs="SimHei"/>
          <w:b/>
        </w:rPr>
        <w:t>2.</w:t>
      </w:r>
      <w:r>
        <w:rPr>
          <w:rFonts w:ascii="SimHei" w:hAnsi="SimHei" w:eastAsia="黑体" w:cs="SimHei"/>
          <w:b/>
        </w:rPr>
        <w:t>用人部门层面：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）过于看重应聘者的学历、职称和工作经验，忽视了深层次的胜任特征和发展潜力，仍然是为了“用人”而用人，而不是为了用人而“培养人”。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）推荐简历或面试结束后，用人部门的反馈意见和决策速度缓慢，与上级主管之间存在用人的意见分歧，很难达到统一。据粗略统计，因用人部门决策缓慢而导致候选人放弃入职的，约占推荐及面试成功总人数的</w:t>
      </w:r>
      <w:r>
        <w:rPr>
          <w:rFonts w:ascii="SimHei" w:hAnsi="SimHei" w:eastAsia="黑体" w:cs="SimHei"/>
        </w:rPr>
        <w:t>32%</w:t>
      </w:r>
      <w:r>
        <w:rPr>
          <w:rFonts w:ascii="SimHei" w:hAnsi="SimHei" w:eastAsia="黑体" w:cs="SimHei"/>
        </w:rPr>
        <w:t>。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）员工入职后，用人部门缺少行之有效的入职培训、指导和沟通，没有进行正确的引导和职业定位，导致员工离职。</w:t>
      </w:r>
    </w:p>
    <w:p>
      <w:pPr>
        <w:pStyle w:val="Normal"/>
        <w:spacing w:lineRule="exact" w:line="440"/>
        <w:rPr/>
      </w:pPr>
      <w:r>
        <w:rPr>
          <w:rFonts w:ascii="SimHei" w:hAnsi="SimHei" w:eastAsia="黑体" w:cs="SimHei"/>
          <w:b/>
        </w:rPr>
        <w:t>3.</w:t>
      </w:r>
      <w:r>
        <w:rPr>
          <w:rFonts w:ascii="SimHei" w:hAnsi="SimHei" w:eastAsia="黑体" w:cs="SimHei"/>
          <w:b/>
        </w:rPr>
        <w:t>择业心理变化：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）社会人员：盲目攀比，不了解用人单位的需求，更多的期望双休、高薪、安逸和稳定，忽视个人能力和价值的发挥。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）应届大学毕业生：个人定位不明确，高估自己的能力，乱投简历；对薪资、就业环境、就业城市、工作时间等要求较高，追求一次到位、绝对安稳的工作，忽略成长的环境和条件。</w:t>
      </w:r>
    </w:p>
    <w:p>
      <w:pPr>
        <w:pStyle w:val="Normal"/>
        <w:spacing w:lineRule="exact" w:line="440"/>
        <w:rPr/>
      </w:pPr>
      <w:r>
        <w:rPr>
          <w:rFonts w:ascii="SimHei" w:hAnsi="SimHei" w:eastAsia="黑体" w:cs="SimHei"/>
          <w:b/>
        </w:rPr>
        <w:t>4.</w:t>
      </w:r>
      <w:r>
        <w:rPr>
          <w:rFonts w:ascii="SimHei" w:hAnsi="SimHei" w:eastAsia="黑体" w:cs="SimHei"/>
          <w:b/>
        </w:rPr>
        <w:t>管理制度层面：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）集团各岗位的《职位说明书》未形成体系、未落实到文件，某些工作职责空洞、不明确，</w:t>
      </w:r>
      <w:r>
        <w:rPr>
          <w:rFonts w:ascii="SimHei" w:hAnsi="SimHei" w:eastAsia="黑体" w:cs="SimHei"/>
        </w:rPr>
        <w:t>用人标准</w:t>
      </w:r>
      <w:r>
        <w:rPr>
          <w:rFonts w:ascii="SimHei" w:hAnsi="SimHei" w:eastAsia="黑体" w:cs="SimHei"/>
        </w:rPr>
        <w:t>也比较模糊</w:t>
      </w:r>
      <w:r>
        <w:rPr>
          <w:rFonts w:ascii="SimHei" w:hAnsi="SimHei" w:eastAsia="黑体" w:cs="SimHei"/>
        </w:rPr>
        <w:t>。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）薪酬体系缺乏弹性，在同行业中缺乏竞争优势。</w:t>
      </w:r>
    </w:p>
    <w:p>
      <w:pPr>
        <w:pStyle w:val="Normal"/>
        <w:spacing w:lineRule="exact" w:line="440" w:before="0" w:after="97"/>
        <w:ind w:firstLine="360"/>
        <w:rPr/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）未在集团内部形成人才接替与培养制度，导致后续人才接替空缺。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针对以上问题，人力资源部在上级领导的指示和指导下，采取了一系列解决问题的措施（见表十），除了在方式、方法上进行改进外，还在管理制度上不断补充完善，设定了程序和标准，规范了职责和权限。</w:t>
      </w:r>
    </w:p>
    <w:p>
      <w:pPr>
        <w:pStyle w:val="Normal"/>
        <w:spacing w:lineRule="exact" w:line="440" w:before="0" w:after="97"/>
        <w:jc w:val="center"/>
        <w:rPr>
          <w:rFonts w:ascii="SimHei" w:hAnsi="SimHei" w:eastAsia="黑体" w:cs="SimHei"/>
          <w:b/>
          <w:b/>
          <w:sz w:val="21"/>
          <w:szCs w:val="21"/>
        </w:rPr>
      </w:pPr>
      <w:r>
        <w:rPr>
          <w:rFonts w:ascii="SimHei" w:hAnsi="SimHei" w:eastAsia="黑体" w:cs="SimHei"/>
          <w:b/>
          <w:sz w:val="21"/>
          <w:szCs w:val="21"/>
        </w:rPr>
        <w:t>表十 关于招聘的解决措施和达成目标</w:t>
      </w:r>
    </w:p>
    <w:tbl>
      <w:tblPr>
        <w:tblW w:w="100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2"/>
        <w:gridCol w:w="4018"/>
      </w:tblGrid>
      <w:tr>
        <w:trPr>
          <w:trHeight w:val="369" w:hRule="atLeast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解决措施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b/>
                <w:b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kern w:val="2"/>
                <w:sz w:val="21"/>
                <w:szCs w:val="21"/>
              </w:rPr>
              <w:t>达成目标</w:t>
            </w:r>
          </w:p>
        </w:tc>
      </w:tr>
      <w:tr>
        <w:trPr/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1.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关注用人部门提交的的具体招聘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信息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，关注信息反馈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与用人部门沟通，填写《岗位需求分析报告》，全面了解用人部门的人员需求情况</w:t>
            </w:r>
          </w:p>
        </w:tc>
      </w:tr>
      <w:tr>
        <w:trPr>
          <w:trHeight w:val="456" w:hRule="atLeast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2.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熟悉、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了解集团各子公司、各岗位的任职要求及工作内容</w:t>
            </w:r>
          </w:p>
        </w:tc>
        <w:tc>
          <w:tcPr>
            <w:tcW w:w="4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整理、修改集团及各子公司、各部门的《职位说明书》，并在编写的同时，更加细化的了解各岗位的工作职能及工作内容</w:t>
            </w:r>
          </w:p>
        </w:tc>
      </w:tr>
      <w:tr>
        <w:trPr/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3.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参与集团各子公司、各部门《职位说明书》的编写工作</w:t>
            </w:r>
          </w:p>
        </w:tc>
        <w:tc>
          <w:tcPr>
            <w:tcW w:w="4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</w:r>
          </w:p>
        </w:tc>
      </w:tr>
      <w:tr>
        <w:trPr/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4.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配合用人部门制定人员配置计划和预先的招聘计划，为用人部门提供招聘指导，提高招聘工作的效率</w:t>
            </w:r>
          </w:p>
        </w:tc>
        <w:tc>
          <w:tcPr>
            <w:tcW w:w="4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每周与用人部门至少沟通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1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次，了解招聘情况及人员入职后的变动情况</w:t>
            </w:r>
          </w:p>
        </w:tc>
      </w:tr>
      <w:tr>
        <w:trPr/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5.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与各部门用人经理建立密切的联系，提高与用人部门的有效沟通频率，适时了解各部门的人员状况和动态</w:t>
            </w:r>
          </w:p>
        </w:tc>
        <w:tc>
          <w:tcPr>
            <w:tcW w:w="4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</w:r>
          </w:p>
        </w:tc>
      </w:tr>
      <w:tr>
        <w:trPr/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6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.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了解人才市场相关岗位的信息，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开辟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其他招聘途径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全面了解人才市场同行业同岗位、不同行业不同岗位的薪酬、福利等信息</w:t>
            </w:r>
          </w:p>
        </w:tc>
      </w:tr>
      <w:tr>
        <w:trPr/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7.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提高简历筛选的效率，做好员工的入、离职统计；了解相关部门的人员变动情况，提前做好招聘准备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填写《应聘人员推荐、面试与录用统计表》，做到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“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日清月结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”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，并在每月底形成月度招聘统计报告</w:t>
            </w:r>
          </w:p>
        </w:tc>
      </w:tr>
      <w:tr>
        <w:trPr/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8.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规范面试方法和工作流程，提高招聘人员的专业素质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重新编写、修改《</w:t>
            </w:r>
            <w:r>
              <w:rPr>
                <w:rFonts w:ascii="SimHei" w:hAnsi="SimHei" w:eastAsia="黑体" w:cs="SimHei"/>
              </w:rPr>
              <w:t>××××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招聘管理制度》，规范招聘工作的方法和流程</w:t>
            </w:r>
          </w:p>
        </w:tc>
      </w:tr>
      <w:tr>
        <w:trPr/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9.</w:t>
            </w: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完善公司员工梯队化建设，选拔、培养和重用后备人才，增强员工的成就感和使命感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2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</w:rPr>
              <w:t>制定各层级的后备人才选拔、培养、使用制度和方案，建立后备人才库</w:t>
            </w:r>
          </w:p>
        </w:tc>
      </w:tr>
    </w:tbl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虽然我已不在招聘岗位工作，但如果从长远考虑，我认为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年的招聘工作应该从以下四个方面入手：</w:t>
      </w:r>
    </w:p>
    <w:p>
      <w:pPr>
        <w:pStyle w:val="Normal"/>
        <w:spacing w:lineRule="exact" w:line="440"/>
        <w:ind w:firstLine="360"/>
        <w:rPr/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1</w:t>
      </w:r>
      <w:r>
        <w:rPr>
          <w:rFonts w:ascii="SimHei" w:hAnsi="SimHei" w:eastAsia="黑体" w:cs="SimHei"/>
        </w:rPr>
        <w:t>）改善工作方法，提高管理意识和沟通意识，增强招聘工作的自信心。</w:t>
      </w:r>
    </w:p>
    <w:p>
      <w:pPr>
        <w:pStyle w:val="Normal"/>
        <w:spacing w:lineRule="exact" w:line="440"/>
        <w:ind w:firstLine="360"/>
        <w:rPr/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）关注就业市场择业心理变化，寻找求职者与集团招聘岗位需求的结合点，并针对结合点上的差距和需求，提出合理化的建议，不断推进招聘工作的实施。</w:t>
      </w:r>
    </w:p>
    <w:p>
      <w:pPr>
        <w:pStyle w:val="Normal"/>
        <w:spacing w:lineRule="exact" w:line="440"/>
        <w:ind w:firstLine="360"/>
        <w:rPr/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）寻求用人部门配合，提高招聘面试工作的效率，配合用人部门对入职员工进行辅导和培训，完善员工入职的后续跟踪工作。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</w:t>
      </w:r>
      <w:r>
        <w:rPr>
          <w:rFonts w:ascii="SimHei" w:hAnsi="SimHei" w:eastAsia="黑体" w:cs="SimHei"/>
        </w:rPr>
        <w:t>4</w:t>
      </w:r>
      <w:r>
        <w:rPr>
          <w:rFonts w:ascii="SimHei" w:hAnsi="SimHei" w:eastAsia="黑体" w:cs="SimHei"/>
        </w:rPr>
        <w:t>）结合《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招聘管理制度》及其他管理制度，不断完善与招聘工作相关的操作文件，建立初步的、相对完善的招聘工作体系。</w:t>
      </w:r>
    </w:p>
    <w:p>
      <w:pPr>
        <w:pStyle w:val="Normal"/>
        <w:spacing w:lineRule="exact" w:line="440" w:before="97" w:after="97"/>
        <w:rPr/>
      </w:pPr>
      <w:r>
        <w:rPr>
          <w:rFonts w:ascii="SimHei" w:hAnsi="SimHei" w:eastAsia="黑体" w:cs="SimHei"/>
          <w:b/>
        </w:rPr>
        <w:t>（二）社会保险的缴纳工作：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截止</w:t>
      </w:r>
      <w:r>
        <w:rPr>
          <w:rFonts w:ascii="SimHei" w:hAnsi="SimHei" w:eastAsia="黑体" w:cs="SimHei"/>
        </w:rPr>
        <w:t>12</w:t>
      </w:r>
      <w:r>
        <w:rPr>
          <w:rFonts w:ascii="SimHei" w:hAnsi="SimHei" w:eastAsia="黑体" w:cs="SimHei"/>
        </w:rPr>
        <w:t>月</w:t>
      </w:r>
      <w:r>
        <w:rPr>
          <w:rFonts w:ascii="SimHei" w:hAnsi="SimHei" w:eastAsia="黑体" w:cs="SimHei"/>
        </w:rPr>
        <w:t>15</w:t>
      </w:r>
      <w:r>
        <w:rPr>
          <w:rFonts w:ascii="SimHei" w:hAnsi="SimHei" w:eastAsia="黑体" w:cs="SimHei"/>
        </w:rPr>
        <w:t>日，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年全年的社保缴纳工作即将结束。根据现行的社保制度，除医疗保险和工伤保险外，养老保险每年例行的基数调整（一般在</w:t>
      </w:r>
      <w:r>
        <w:rPr>
          <w:rFonts w:ascii="SimHei" w:hAnsi="SimHei" w:eastAsia="黑体" w:cs="SimHei"/>
        </w:rPr>
        <w:t>7</w:t>
      </w:r>
      <w:r>
        <w:rPr>
          <w:rFonts w:ascii="SimHei" w:hAnsi="SimHei" w:eastAsia="黑体" w:cs="SimHei"/>
        </w:rPr>
        <w:t>、</w:t>
      </w:r>
      <w:r>
        <w:rPr>
          <w:rFonts w:ascii="SimHei" w:hAnsi="SimHei" w:eastAsia="黑体" w:cs="SimHei"/>
        </w:rPr>
        <w:t>8</w:t>
      </w:r>
      <w:r>
        <w:rPr>
          <w:rFonts w:ascii="SimHei" w:hAnsi="SimHei" w:eastAsia="黑体" w:cs="SimHei"/>
        </w:rPr>
        <w:t>月份）会对集团员工子公司间的调职不利。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目前，集团各子公司都有独立的养老保险账户。假设某员工在当年调整养老保险基数以前，从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调职至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，那么按照集团现行的管理制度，该员工的养老保险关系也会随之调转，并且会被默认为是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当年度的新参保人员。如果该员工调职前缴纳的养老保险基数为</w:t>
      </w:r>
      <w:r>
        <w:rPr>
          <w:rFonts w:ascii="SimHei" w:hAnsi="SimHei" w:eastAsia="黑体" w:cs="SimHei"/>
        </w:rPr>
        <w:t>2500</w:t>
      </w:r>
      <w:r>
        <w:rPr>
          <w:rFonts w:ascii="SimHei" w:hAnsi="SimHei" w:eastAsia="黑体" w:cs="SimHei"/>
        </w:rPr>
        <w:t>，就会导致该员工的养老保险在基数调整后，被社保中心默认为当年最低的保险基数（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年最低养老保险基数为</w:t>
      </w:r>
      <w:r>
        <w:rPr>
          <w:rFonts w:ascii="SimHei" w:hAnsi="SimHei" w:eastAsia="黑体" w:cs="SimHei"/>
        </w:rPr>
        <w:t>1977.1</w:t>
      </w:r>
      <w:r>
        <w:rPr>
          <w:rFonts w:ascii="SimHei" w:hAnsi="SimHei" w:eastAsia="黑体" w:cs="SimHei"/>
        </w:rPr>
        <w:t>），并进行缴纳，不但对被调职员工不利，而且容易激发被调职员工的抱怨情绪。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针对这个问题，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年年初会在上级领导的指导下制定相关措施，寻找解决方案，保证集团员工的基本权益。</w:t>
      </w:r>
    </w:p>
    <w:p>
      <w:pPr>
        <w:pStyle w:val="Normal"/>
        <w:spacing w:lineRule="exact" w:line="440" w:before="97" w:after="97"/>
        <w:rPr/>
      </w:pPr>
      <w:r>
        <w:rPr>
          <w:rFonts w:ascii="SimHei" w:hAnsi="SimHei" w:eastAsia="黑体" w:cs="SimHei"/>
          <w:b/>
        </w:rPr>
        <w:t>（三）人力资源管理制度的执行：</w:t>
      </w:r>
    </w:p>
    <w:p>
      <w:pPr>
        <w:pStyle w:val="Normal"/>
        <w:spacing w:lineRule="exact" w:line="440"/>
        <w:ind w:firstLine="480"/>
        <w:rPr/>
      </w:pPr>
      <w:r>
        <w:rPr>
          <w:rFonts w:ascii="SimHei" w:hAnsi="SimHei" w:eastAsia="黑体" w:cs="SimHei"/>
        </w:rPr>
        <w:t>目前除《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部门职责及各岗位职位说明书》外，《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招聘管理制度》、《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定岗定编及员工调动管理制度》、《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人才接替与梯队建设管理制度》和《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绩效管理制度》均已陆续编制完成。编制完成的管理制度文件得到了上级领导的认可，但下一步将是如何执行、如何实施的问题，是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年工作的重中之重。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对于以上五项管理制度的执行，我计划从四个方面开展工作：</w:t>
      </w:r>
    </w:p>
    <w:p>
      <w:pPr>
        <w:pStyle w:val="Normal"/>
        <w:spacing w:lineRule="exact" w:line="440"/>
        <w:ind w:firstLine="480"/>
        <w:rPr/>
      </w:pPr>
      <w:r>
        <w:rPr>
          <w:rFonts w:ascii="SimHei" w:hAnsi="SimHei" w:eastAsia="黑体" w:cs="SimHei"/>
        </w:rPr>
        <w:t>1.</w:t>
      </w:r>
      <w:r>
        <w:rPr>
          <w:rFonts w:ascii="SimHei" w:hAnsi="SimHei" w:eastAsia="黑体" w:cs="SimHei"/>
        </w:rPr>
        <w:t>主动与集团各部门、各子公司沟通，了解相关需求信息和以往工作中出现的问题，结合集团（子公司）的实际情况进行落实、执行。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2.</w:t>
      </w:r>
      <w:r>
        <w:rPr>
          <w:rFonts w:ascii="SimHei" w:hAnsi="SimHei" w:eastAsia="黑体" w:cs="SimHei"/>
        </w:rPr>
        <w:t>对有需要的子公司或部门进行业务培训，帮助建立整套的管理文件和工作流程。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3.</w:t>
      </w:r>
      <w:r>
        <w:rPr>
          <w:rFonts w:ascii="SimHei" w:hAnsi="SimHei" w:eastAsia="黑体" w:cs="SimHei"/>
        </w:rPr>
        <w:t>收集反馈信息，修改相关制度条款，不断完善制度管理体系。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4.</w:t>
      </w:r>
      <w:r>
        <w:rPr>
          <w:rFonts w:ascii="SimHei" w:hAnsi="SimHei" w:eastAsia="黑体" w:cs="SimHei"/>
        </w:rPr>
        <w:t>强化自身知识素养，开阔视野，提高人力资源管理的专业水准，各项工作力争都要做到专业、规范。</w:t>
      </w:r>
    </w:p>
    <w:p>
      <w:pPr>
        <w:pStyle w:val="Normal"/>
        <w:spacing w:lineRule="exact" w:line="440" w:before="97" w:after="97"/>
        <w:rPr/>
      </w:pPr>
      <w:r>
        <w:rPr>
          <w:rFonts w:ascii="SimHei" w:hAnsi="SimHei" w:eastAsia="黑体" w:cs="SimHei"/>
          <w:b/>
          <w:sz w:val="28"/>
          <w:szCs w:val="28"/>
        </w:rPr>
        <w:t>三、</w:t>
      </w:r>
      <w:r>
        <w:rPr>
          <w:rFonts w:ascii="SimHei" w:hAnsi="SimHei" w:eastAsia="黑体" w:cs="SimHei"/>
          <w:b/>
          <w:sz w:val="28"/>
          <w:szCs w:val="28"/>
        </w:rPr>
        <w:t>20xx</w:t>
      </w:r>
      <w:r>
        <w:rPr>
          <w:rFonts w:ascii="SimHei" w:hAnsi="SimHei" w:eastAsia="黑体" w:cs="SimHei"/>
          <w:b/>
          <w:sz w:val="28"/>
          <w:szCs w:val="28"/>
        </w:rPr>
        <w:t>年的收获：</w:t>
      </w:r>
    </w:p>
    <w:p>
      <w:pPr>
        <w:pStyle w:val="Normal"/>
        <w:spacing w:lineRule="exact" w:line="440"/>
        <w:ind w:firstLine="480"/>
        <w:rPr/>
      </w:pP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年的工作与</w:t>
      </w:r>
      <w:r>
        <w:rPr>
          <w:rFonts w:ascii="SimHei" w:hAnsi="SimHei" w:eastAsia="黑体" w:cs="SimHei"/>
        </w:rPr>
        <w:t>2012</w:t>
      </w:r>
      <w:r>
        <w:rPr>
          <w:rFonts w:ascii="SimHei" w:hAnsi="SimHei" w:eastAsia="黑体" w:cs="SimHei"/>
        </w:rPr>
        <w:t>年相比有更多的挑战和惊喜。领导的信任、同事的帮助，让我在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年迅速成长起来；同时，我也在更高的层面增强了自信心，实现了自我肯定，并对未来的职业生涯有了全新的定位和规划。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（一）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《招聘专家中级认证》培训、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《劳动合同法修正案》培训让我丰富了人力资源知识、开阔了视野，同时也了解到了集团人力资源管理与一线城市的差距，督促自己不断学习、沟通和进步。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（二）“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实效管理精英特训营”</w:t>
      </w:r>
      <w:r>
        <w:rPr>
          <w:rFonts w:ascii="SimHei" w:hAnsi="SimHei" w:eastAsia="黑体" w:cs="SimHei"/>
        </w:rPr>
        <w:t>××</w:t>
      </w:r>
      <w:r>
        <w:rPr>
          <w:rFonts w:ascii="SimHei" w:hAnsi="SimHei" w:eastAsia="黑体" w:cs="SimHei"/>
        </w:rPr>
        <w:t>培训（</w:t>
      </w:r>
      <w:r>
        <w:rPr>
          <w:rFonts w:ascii="SimHei" w:hAnsi="SimHei" w:eastAsia="黑体" w:cs="SimHei"/>
        </w:rPr>
        <w:t>2</w:t>
      </w:r>
      <w:r>
        <w:rPr>
          <w:rFonts w:ascii="SimHei" w:hAnsi="SimHei" w:eastAsia="黑体" w:cs="SimHei"/>
        </w:rPr>
        <w:t>月</w:t>
      </w:r>
      <w:r>
        <w:rPr>
          <w:rFonts w:ascii="SimHei" w:hAnsi="SimHei" w:eastAsia="黑体" w:cs="SimHei"/>
        </w:rPr>
        <w:t>26</w:t>
      </w:r>
      <w:r>
        <w:rPr>
          <w:rFonts w:ascii="SimHei" w:hAnsi="SimHei" w:eastAsia="黑体" w:cs="SimHei"/>
        </w:rPr>
        <w:t>日～</w:t>
      </w:r>
      <w:r>
        <w:rPr>
          <w:rFonts w:ascii="SimHei" w:hAnsi="SimHei" w:eastAsia="黑体" w:cs="SimHei"/>
        </w:rPr>
        <w:t>28</w:t>
      </w:r>
      <w:r>
        <w:rPr>
          <w:rFonts w:ascii="SimHei" w:hAnsi="SimHei" w:eastAsia="黑体" w:cs="SimHei"/>
        </w:rPr>
        <w:t>日）、集团第一届第一次职工代表大会、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徒步健走比赛等活动让我感受到了集团的凝聚力和生命力，让我对集团的发展前景充满了信心。</w:t>
      </w:r>
    </w:p>
    <w:p>
      <w:pPr>
        <w:pStyle w:val="Normal"/>
        <w:spacing w:lineRule="exact" w:line="440"/>
        <w:ind w:firstLine="360"/>
        <w:rPr/>
      </w:pPr>
      <w:r>
        <w:rPr>
          <w:rFonts w:ascii="SimHei" w:hAnsi="SimHei" w:eastAsia="黑体" w:cs="SimHei"/>
        </w:rPr>
        <w:t>（三）两场校园双选会、两次校园专场招聘会、一次异地大型招聘会，让我积累了校园招聘、异地招聘的经验，并对招聘工作有了更加深刻的认识。</w:t>
      </w:r>
    </w:p>
    <w:p>
      <w:pPr>
        <w:pStyle w:val="Normal"/>
        <w:spacing w:lineRule="exact" w:line="440"/>
        <w:ind w:firstLine="36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（四）下半年几项人力资源管理制度编制的完成，让我步入了人力资源管理最为重要的领域，不但能有幸发挥了自己的能力、验证了自己的想法，而且并把学到的知识变成实际。</w:t>
      </w:r>
    </w:p>
    <w:p>
      <w:pPr>
        <w:pStyle w:val="Normal"/>
        <w:rPr>
          <w:rFonts w:ascii="SimHei" w:hAnsi="SimHei" w:eastAsia="黑体" w:cs="SimHei"/>
        </w:rPr>
      </w:pPr>
      <w:r>
        <w:rPr>
          <w:rFonts w:ascii="SimHei" w:hAnsi="SimHei" w:eastAsia="黑体" w:cs="SimHei"/>
          <w:b/>
          <w:sz w:val="28"/>
          <w:szCs w:val="28"/>
        </w:rPr>
        <w:t>四、</w:t>
      </w:r>
      <w:r>
        <w:rPr>
          <w:rFonts w:ascii="SimHei" w:hAnsi="SimHei" w:eastAsia="黑体" w:cs="SimHei"/>
          <w:b/>
          <w:sz w:val="28"/>
          <w:szCs w:val="28"/>
        </w:rPr>
        <w:t>20xx</w:t>
      </w:r>
      <w:r>
        <w:rPr>
          <w:rFonts w:ascii="SimHei" w:hAnsi="SimHei" w:eastAsia="黑体" w:cs="SimHei"/>
          <w:b/>
          <w:sz w:val="28"/>
          <w:szCs w:val="28"/>
        </w:rPr>
        <w:t>年工作</w:t>
      </w:r>
      <w:r>
        <w:rPr>
          <w:rFonts w:ascii="SimHei" w:hAnsi="SimHei" w:eastAsia="黑体" w:cs="SimHei"/>
          <w:b/>
          <w:sz w:val="28"/>
          <w:szCs w:val="28"/>
        </w:rPr>
        <w:t>计划及重点工作安排：</w:t>
      </w:r>
    </w:p>
    <w:p>
      <w:pPr>
        <w:pStyle w:val="Normal"/>
        <w:spacing w:lineRule="exact" w:line="440"/>
        <w:jc w:val="center"/>
        <w:rPr>
          <w:rFonts w:ascii="SimHei" w:hAnsi="SimHei" w:eastAsia="黑体" w:cs="SimHei"/>
          <w:b/>
          <w:b/>
          <w:sz w:val="21"/>
          <w:szCs w:val="21"/>
        </w:rPr>
      </w:pPr>
      <w:r>
        <w:rPr>
          <w:rFonts w:ascii="SimHei" w:hAnsi="SimHei" w:eastAsia="黑体" w:cs="SimHei"/>
          <w:b/>
          <w:sz w:val="21"/>
          <w:szCs w:val="21"/>
        </w:rPr>
        <w:t>表十一</w:t>
      </w:r>
      <w:r>
        <w:rPr>
          <w:rFonts w:ascii="SimHei" w:hAnsi="SimHei" w:eastAsia="黑体" w:cs="SimHei"/>
          <w:b/>
          <w:sz w:val="21"/>
          <w:szCs w:val="21"/>
        </w:rPr>
        <w:t xml:space="preserve"> </w:t>
      </w:r>
      <w:r>
        <w:rPr>
          <w:rFonts w:ascii="SimHei" w:hAnsi="SimHei" w:eastAsia="黑体" w:cs="SimHei"/>
          <w:b/>
          <w:sz w:val="21"/>
          <w:szCs w:val="21"/>
        </w:rPr>
        <w:t>20xx</w:t>
      </w:r>
      <w:r>
        <w:rPr>
          <w:rFonts w:ascii="SimHei" w:hAnsi="SimHei" w:eastAsia="黑体" w:cs="SimHei"/>
          <w:b/>
          <w:sz w:val="21"/>
          <w:szCs w:val="21"/>
        </w:rPr>
        <w:t>年重点工作内容及进度计划表</w:t>
      </w:r>
    </w:p>
    <w:p>
      <w:pPr>
        <w:pStyle w:val="Normal"/>
        <w:spacing w:lineRule="exact" w:line="440"/>
        <w:rPr>
          <w:rFonts w:ascii="SimHei" w:hAnsi="SimHei" w:eastAsia="黑体" w:cs="SimHei"/>
          <w:b/>
          <w:b/>
          <w:sz w:val="21"/>
          <w:szCs w:val="21"/>
          <w:lang w:val="en-US" w:eastAsia="en-US"/>
        </w:rPr>
      </w:pPr>
      <w:r>
        <w:rPr>
          <w:rFonts w:ascii="SimHei" w:hAnsi="SimHei" w:eastAsia="黑体" w:cs="SimHei"/>
          <w:b/>
          <w:sz w:val="21"/>
          <w:szCs w:val="21"/>
          <w:lang w:val="en-US" w:eastAsia="en-US"/>
        </w:rPr>
        <w:drawing>
          <wp:anchor behindDoc="0" distT="0" distB="0" distL="114935" distR="114935" simplePos="0" locked="0" layoutInCell="0" allowOverlap="1" relativeHeight="6">
            <wp:simplePos x="0" y="0"/>
            <wp:positionH relativeFrom="column">
              <wp:posOffset>-238125</wp:posOffset>
            </wp:positionH>
            <wp:positionV relativeFrom="paragraph">
              <wp:posOffset>113030</wp:posOffset>
            </wp:positionV>
            <wp:extent cx="6762750" cy="4457700"/>
            <wp:effectExtent l="0" t="0" r="0" b="0"/>
            <wp:wrapNone/>
            <wp:docPr id="5" name="CHW%252%5B1JEQ%7D%7BGXB%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HW%252%5B1JEQ%7D%7BGXB%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5" t="-8" r="-5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</w:r>
    </w:p>
    <w:p>
      <w:pPr>
        <w:pStyle w:val="Normal"/>
        <w:spacing w:lineRule="exact" w:line="440" w:before="163" w:after="163"/>
        <w:rPr>
          <w:rFonts w:ascii="SimHei" w:hAnsi="SimHei" w:eastAsia="黑体" w:cs="SimHei"/>
          <w:b/>
          <w:b/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五、</w:t>
      </w:r>
      <w:r>
        <w:rPr>
          <w:rFonts w:ascii="SimHei" w:hAnsi="SimHei" w:eastAsia="黑体" w:cs="SimHei"/>
          <w:b/>
          <w:sz w:val="28"/>
          <w:szCs w:val="28"/>
        </w:rPr>
        <w:t>对集团下一步生产经营工作的建议</w:t>
      </w:r>
      <w:r>
        <w:rPr>
          <w:rFonts w:ascii="SimHei" w:hAnsi="SimHei" w:eastAsia="黑体" w:cs="SimHei"/>
          <w:b/>
          <w:sz w:val="28"/>
          <w:szCs w:val="28"/>
        </w:rPr>
        <w:t>：</w:t>
      </w:r>
    </w:p>
    <w:p>
      <w:pPr>
        <w:pStyle w:val="Normal"/>
        <w:spacing w:lineRule="exact" w:line="440"/>
        <w:ind w:firstLine="480"/>
        <w:rPr/>
      </w:pPr>
      <w:r>
        <w:rPr>
          <w:rFonts w:ascii="SimHei" w:hAnsi="SimHei" w:eastAsia="黑体" w:cs="SimHei"/>
        </w:rPr>
        <w:t>对于集团下一步的生产经营工作，我想从我个人的角度简要谈一下自己的想法：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</w:t>
      </w:r>
      <w:r>
        <w:rPr>
          <w:rFonts w:ascii="SimHei" w:hAnsi="SimHei" w:eastAsia="黑体" w:cs="SimHei"/>
        </w:rPr>
        <w:t>8</w:t>
      </w:r>
      <w:r>
        <w:rPr>
          <w:rFonts w:ascii="SimHei" w:hAnsi="SimHei" w:eastAsia="黑体" w:cs="SimHei"/>
        </w:rPr>
        <w:t>月份召开的集团第一届第一次职工代表大会上，</w:t>
      </w:r>
      <w:r>
        <w:rPr>
          <w:rFonts w:ascii="SimHei" w:hAnsi="SimHei" w:eastAsia="黑体" w:cs="SimHei"/>
        </w:rPr>
        <w:t>×</w:t>
      </w:r>
      <w:r>
        <w:rPr>
          <w:rFonts w:ascii="SimHei" w:hAnsi="SimHei" w:eastAsia="黑体" w:cs="SimHei"/>
        </w:rPr>
        <w:t>总提出了集团</w:t>
      </w:r>
      <w:r>
        <w:rPr>
          <w:rFonts w:ascii="SimHei" w:hAnsi="SimHei" w:eastAsia="黑体" w:cs="SimHei"/>
        </w:rPr>
        <w:t>3</w:t>
      </w:r>
      <w:r>
        <w:rPr>
          <w:rFonts w:ascii="SimHei" w:hAnsi="SimHei" w:eastAsia="黑体" w:cs="SimHei"/>
        </w:rPr>
        <w:t>～</w:t>
      </w:r>
      <w:r>
        <w:rPr>
          <w:rFonts w:ascii="SimHei" w:hAnsi="SimHei" w:eastAsia="黑体" w:cs="SimHei"/>
        </w:rPr>
        <w:t>5</w:t>
      </w:r>
      <w:r>
        <w:rPr>
          <w:rFonts w:ascii="SimHei" w:hAnsi="SimHei" w:eastAsia="黑体" w:cs="SimHei"/>
        </w:rPr>
        <w:t>年的战略目标及未来</w:t>
      </w:r>
      <w:r>
        <w:rPr>
          <w:rFonts w:ascii="SimHei" w:hAnsi="SimHei" w:eastAsia="黑体" w:cs="SimHei"/>
        </w:rPr>
        <w:t>10</w:t>
      </w:r>
      <w:r>
        <w:rPr>
          <w:rFonts w:ascii="SimHei" w:hAnsi="SimHei" w:eastAsia="黑体" w:cs="SimHei"/>
        </w:rPr>
        <w:t>年的远景规划；可以说，对于我们每一个人来讲，人生短短几十年，能够处在</w:t>
      </w:r>
      <w:r>
        <w:rPr>
          <w:rFonts w:ascii="SimHei" w:hAnsi="SimHei" w:eastAsia="黑体" w:cs="SimHei"/>
        </w:rPr>
        <w:t>××××</w:t>
      </w:r>
      <w:r>
        <w:rPr>
          <w:rFonts w:ascii="SimHei" w:hAnsi="SimHei" w:eastAsia="黑体" w:cs="SimHei"/>
        </w:rPr>
        <w:t>发展的关键历史时期，能够用自己的才智帮助集团和自己实现梦想，将会是一件无比荣幸和自豪的事情。</w:t>
      </w:r>
    </w:p>
    <w:p>
      <w:pPr>
        <w:pStyle w:val="Normal"/>
        <w:spacing w:lineRule="exact" w:line="440"/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记得一位管理学家曾经说过：“战略制定者要在所取信息的广度和深度之间做出某种权衡。他就像一只在捉兔子的鹰，鹰必须飞得足够高，才能以广阔的视野发现猎物，同时它又必须飞得足够低，以便看清细节，瞄准目标和进行攻击。不断地进行这种权衡正是战略制定者的任务，一种不可由他人代理的任务”。因此，“战略管理不是一个魔术盒，也不只是一套技术。战略管理是分析式思维，是对资源的有效配置……战略管理中最为重要的问题是不能够被量化的</w:t>
      </w:r>
      <w:r>
        <w:rPr>
          <w:rFonts w:ascii="SimHei" w:hAnsi="SimHei" w:eastAsia="黑体" w:cs="SimHei"/>
          <w:sz w:val="18"/>
          <w:szCs w:val="18"/>
        </w:rPr>
        <w:t>【现代管理学之父，彼得</w:t>
      </w:r>
      <w:r>
        <w:rPr>
          <w:rFonts w:ascii="SimHei" w:hAnsi="SimHei" w:eastAsia="黑体" w:cs="SimHei"/>
          <w:sz w:val="18"/>
          <w:szCs w:val="18"/>
        </w:rPr>
        <w:t>·</w:t>
      </w:r>
      <w:r>
        <w:rPr>
          <w:rFonts w:ascii="SimHei" w:hAnsi="SimHei" w:eastAsia="黑体" w:cs="SimHei"/>
          <w:sz w:val="18"/>
          <w:szCs w:val="18"/>
        </w:rPr>
        <w:t>德鲁克</w:t>
      </w:r>
      <w:r>
        <w:rPr>
          <w:rFonts w:ascii="SimHei" w:hAnsi="SimHei" w:eastAsia="黑体" w:cs="SimHei"/>
          <w:sz w:val="18"/>
          <w:szCs w:val="18"/>
        </w:rPr>
        <w:t>（维也纳）</w:t>
      </w:r>
      <w:r>
        <w:rPr>
          <w:rFonts w:ascii="SimHei" w:hAnsi="SimHei" w:eastAsia="黑体" w:cs="SimHei"/>
          <w:sz w:val="18"/>
          <w:szCs w:val="18"/>
        </w:rPr>
        <w:t>】</w:t>
      </w:r>
      <w:r>
        <w:rPr>
          <w:rFonts w:ascii="SimHei" w:hAnsi="SimHei" w:eastAsia="黑体" w:cs="SimHei"/>
        </w:rPr>
        <w:t>”。所以我觉得，集团的战略和规划可以分解为五个方面来推进、实现，即：①</w:t>
      </w:r>
      <w:r>
        <w:rPr>
          <w:rFonts w:ascii="SimHei" w:hAnsi="SimHei" w:eastAsia="黑体" w:cs="SimHei"/>
          <w:b/>
        </w:rPr>
        <w:t>人才战略</w:t>
      </w:r>
      <w:r>
        <w:rPr>
          <w:rFonts w:ascii="SimHei" w:hAnsi="SimHei" w:eastAsia="黑体" w:cs="SimHei"/>
        </w:rPr>
        <w:t>，关注人才的引进和培养；②</w:t>
      </w:r>
      <w:r>
        <w:rPr>
          <w:rFonts w:ascii="SimHei" w:hAnsi="SimHei" w:eastAsia="黑体" w:cs="SimHei"/>
          <w:b/>
        </w:rPr>
        <w:t>财务战略</w:t>
      </w:r>
      <w:r>
        <w:rPr>
          <w:rFonts w:ascii="SimHei" w:hAnsi="SimHei" w:eastAsia="黑体" w:cs="SimHei"/>
        </w:rPr>
        <w:t>，关注资金的使用和流向；③</w:t>
      </w:r>
      <w:r>
        <w:rPr>
          <w:rFonts w:ascii="SimHei" w:hAnsi="SimHei" w:eastAsia="黑体" w:cs="SimHei"/>
          <w:b/>
        </w:rPr>
        <w:t>文化战略</w:t>
      </w:r>
      <w:r>
        <w:rPr>
          <w:rFonts w:ascii="SimHei" w:hAnsi="SimHei" w:eastAsia="黑体" w:cs="SimHei"/>
        </w:rPr>
        <w:t>，关注个体的激励和促进；④</w:t>
      </w:r>
      <w:r>
        <w:rPr>
          <w:rFonts w:ascii="SimHei" w:hAnsi="SimHei" w:eastAsia="黑体" w:cs="SimHei"/>
          <w:b/>
        </w:rPr>
        <w:t>经营战略</w:t>
      </w:r>
      <w:r>
        <w:rPr>
          <w:rFonts w:ascii="SimHei" w:hAnsi="SimHei" w:eastAsia="黑体" w:cs="SimHei"/>
        </w:rPr>
        <w:t>，关注合适的经营模式；⑤</w:t>
      </w:r>
      <w:r>
        <w:rPr>
          <w:rFonts w:ascii="SimHei" w:hAnsi="SimHei" w:eastAsia="黑体" w:cs="SimHei"/>
          <w:b/>
        </w:rPr>
        <w:t>品牌战略</w:t>
      </w:r>
      <w:r>
        <w:rPr>
          <w:rFonts w:ascii="SimHei" w:hAnsi="SimHei" w:eastAsia="黑体" w:cs="SimHei"/>
        </w:rPr>
        <w:t>，关注精确的市场定位</w:t>
      </w:r>
      <w:r>
        <w:rPr>
          <w:rFonts w:ascii="SimHei" w:hAnsi="SimHei" w:eastAsia="黑体" w:cs="SimHei"/>
        </w:rPr>
        <w:t xml:space="preserve"> </w:t>
      </w:r>
      <w:r>
        <w:rPr>
          <w:rFonts w:ascii="SimHei" w:hAnsi="SimHei" w:eastAsia="黑体" w:cs="SimHei"/>
        </w:rPr>
        <w:t>——</w:t>
      </w:r>
      <w:r>
        <w:rPr>
          <w:rFonts w:ascii="SimHei" w:hAnsi="SimHei" w:eastAsia="黑体" w:cs="SimHei"/>
        </w:rPr>
        <w:t xml:space="preserve"> </w:t>
      </w:r>
      <w:r>
        <w:rPr>
          <w:rFonts w:ascii="SimHei" w:hAnsi="SimHei" w:eastAsia="黑体" w:cs="SimHei"/>
        </w:rPr>
        <w:t>五方面战略的共同推进，会创造更大的成功和奇迹！</w:t>
      </w:r>
    </w:p>
    <w:p>
      <w:pPr>
        <w:pStyle w:val="Normal"/>
        <w:spacing w:lineRule="exact" w:line="440" w:before="163" w:after="0"/>
        <w:ind w:firstLine="482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以上是我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年的工作总结和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年的工作计划，我相信自己会在</w:t>
      </w:r>
      <w:r>
        <w:rPr>
          <w:rFonts w:ascii="SimHei" w:hAnsi="SimHei" w:eastAsia="黑体" w:cs="SimHei"/>
        </w:rPr>
        <w:t>20xx</w:t>
      </w:r>
      <w:r>
        <w:rPr>
          <w:rFonts w:ascii="SimHei" w:hAnsi="SimHei" w:eastAsia="黑体" w:cs="SimHei"/>
        </w:rPr>
        <w:t>年的工作中，在集团领导和同事的帮助下，力争将自己的工作能力提高到一个新的层次，迎接新的机遇和挑战。</w:t>
      </w:r>
    </w:p>
    <w:p>
      <w:pPr>
        <w:pStyle w:val="Normal"/>
        <w:spacing w:lineRule="exact" w:line="500" w:before="2608" w:after="0"/>
        <w:jc w:val="right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××××</w:t>
      </w:r>
      <w:r>
        <w:rPr>
          <w:rFonts w:ascii="SimHei" w:hAnsi="SimHei" w:eastAsia="黑体" w:cs="SimHei"/>
          <w:sz w:val="28"/>
          <w:szCs w:val="28"/>
        </w:rPr>
        <w:t>人力资源部</w:t>
      </w:r>
    </w:p>
    <w:p>
      <w:pPr>
        <w:pStyle w:val="Normal"/>
        <w:spacing w:lineRule="exact" w:line="500"/>
        <w:ind w:firstLine="8280"/>
        <w:rPr>
          <w:rFonts w:ascii="SimHei" w:hAnsi="SimHei" w:eastAsia="黑体" w:cs="SimHei"/>
          <w:sz w:val="32"/>
          <w:szCs w:val="32"/>
        </w:rPr>
      </w:pPr>
      <w:r>
        <w:rPr>
          <w:rFonts w:ascii="SimHei" w:hAnsi="SimHei" w:eastAsia="黑体" w:cs="SimHei"/>
        </w:rPr>
        <w:t>×××</w:t>
      </w:r>
    </w:p>
    <w:p>
      <w:pPr>
        <w:pStyle w:val="Normal"/>
        <w:spacing w:lineRule="exact" w:line="500"/>
        <w:ind w:firstLine="7420"/>
        <w:rPr/>
      </w:pPr>
      <w:r>
        <w:rPr>
          <w:rFonts w:ascii="SimHei" w:hAnsi="SimHei" w:eastAsia="黑体" w:cs="SimHei"/>
          <w:sz w:val="28"/>
          <w:szCs w:val="28"/>
        </w:rPr>
        <w:t>20xx</w:t>
      </w:r>
      <w:r>
        <w:rPr>
          <w:rFonts w:ascii="SimHei" w:hAnsi="SimHei" w:eastAsia="黑体" w:cs="SimHei"/>
          <w:sz w:val="28"/>
          <w:szCs w:val="28"/>
        </w:rPr>
        <w:t>年</w:t>
      </w:r>
      <w:r>
        <w:rPr>
          <w:rFonts w:ascii="SimHei" w:hAnsi="SimHei" w:eastAsia="黑体" w:cs="SimHei"/>
          <w:sz w:val="28"/>
          <w:szCs w:val="28"/>
        </w:rPr>
        <w:t>11</w:t>
      </w:r>
      <w:r>
        <w:rPr>
          <w:rFonts w:ascii="SimHei" w:hAnsi="SimHei" w:eastAsia="黑体" w:cs="SimHei"/>
          <w:sz w:val="28"/>
          <w:szCs w:val="28"/>
        </w:rPr>
        <w:t>月</w:t>
      </w:r>
      <w:r>
        <w:rPr>
          <w:rFonts w:ascii="SimHei" w:hAnsi="SimHei" w:eastAsia="黑体" w:cs="SimHei"/>
          <w:sz w:val="28"/>
          <w:szCs w:val="28"/>
        </w:rPr>
        <w:t>23</w:t>
      </w:r>
      <w:r>
        <w:rPr>
          <w:rFonts w:ascii="SimHei" w:hAnsi="SimHei" w:eastAsia="黑体" w:cs="SimHei"/>
          <w:sz w:val="28"/>
          <w:szCs w:val="28"/>
        </w:rPr>
        <w:t>日</w:t>
      </w:r>
    </w:p>
    <w:sectPr>
      <w:footerReference w:type="default" r:id="rId7"/>
      <w:type w:val="nextPage"/>
      <w:pgSz w:w="11906" w:h="16838"/>
      <w:pgMar w:left="1021" w:right="1021" w:header="0" w:top="851" w:footer="567" w:bottom="851" w:gutter="0"/>
      <w:pgNumType w:fmt="decimal"/>
      <w:formProt w:val="false"/>
      <w:textDirection w:val="lrTb"/>
      <w:docGrid w:type="lines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宋体">
    <w:altName w:val="SimSun"/>
    <w:charset w:val="86"/>
    <w:family w:val="auto"/>
    <w:pitch w:val="variable"/>
  </w:font>
  <w:font w:name="Liberation Sans">
    <w:altName w:val="Arial"/>
    <w:charset w:val="01"/>
    <w:family w:val="swiss"/>
    <w:pitch w:val="variable"/>
  </w:font>
  <w:font w:name="Times New Roman">
    <w:charset w:val="00"/>
    <w:family w:val="roman"/>
    <w:pitch w:val="variable"/>
  </w:font>
  <w:font w:name="黑体">
    <w:altName w:val="SimHei"/>
    <w:charset w:val="86"/>
    <w:family w:val="moder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>
        <w:rFonts w:ascii="SimHei" w:hAnsi="SimHei" w:eastAsia="黑体" w:cs="SimHei"/>
        <w:lang w:val="zh-CN"/>
      </w:rPr>
      <w:t xml:space="preserve"> </w:t>
    </w:r>
    <w:r>
      <w:rPr>
        <w:rFonts w:ascii="SimHei" w:hAnsi="SimHei" w:eastAsia="黑体" w:cs="SimHei"/>
        <w:b/>
        <w:sz w:val="24"/>
        <w:szCs w:val="24"/>
      </w:rPr>
      <w:fldChar w:fldCharType="begin"/>
    </w:r>
    <w:r>
      <w:rPr>
        <w:sz w:val="24"/>
        <w:b/>
        <w:szCs w:val="24"/>
        <w:rFonts w:ascii="SimHei" w:hAnsi="SimHei" w:eastAsia="黑体" w:cs="SimHei"/>
      </w:rPr>
      <w:instrText> PAGE </w:instrText>
    </w:r>
    <w:r>
      <w:rPr>
        <w:sz w:val="24"/>
        <w:b/>
        <w:szCs w:val="24"/>
        <w:rFonts w:ascii="SimHei" w:hAnsi="SimHei" w:eastAsia="黑体" w:cs="SimHei"/>
      </w:rPr>
      <w:fldChar w:fldCharType="separate"/>
    </w:r>
    <w:r>
      <w:rPr>
        <w:sz w:val="24"/>
        <w:b/>
        <w:szCs w:val="24"/>
        <w:rFonts w:ascii="SimHei" w:hAnsi="SimHei" w:eastAsia="黑体" w:cs="SimHei"/>
      </w:rPr>
      <w:t>9</w:t>
    </w:r>
    <w:r>
      <w:rPr>
        <w:sz w:val="24"/>
        <w:b/>
        <w:szCs w:val="24"/>
        <w:rFonts w:ascii="SimHei" w:hAnsi="SimHei" w:eastAsia="黑体" w:cs="SimHei"/>
      </w:rPr>
      <w:fldChar w:fldCharType="end"/>
    </w:r>
    <w:r>
      <w:rPr>
        <w:rFonts w:ascii="SimHei" w:hAnsi="SimHei" w:eastAsia="黑体" w:cs="SimHei"/>
        <w:lang w:val="zh-CN"/>
      </w:rPr>
      <w:t xml:space="preserve"> </w:t>
    </w:r>
    <w:r>
      <w:rPr>
        <w:rFonts w:ascii="SimHei" w:hAnsi="SimHei" w:eastAsia="黑体" w:cs="SimHei"/>
        <w:lang w:val="zh-CN"/>
      </w:rPr>
      <w:t xml:space="preserve">/ </w:t>
    </w:r>
    <w:r>
      <w:rPr>
        <w:rFonts w:ascii="SimHei" w:hAnsi="SimHei" w:eastAsia="黑体" w:cs="SimHei"/>
        <w:b/>
        <w:sz w:val="24"/>
        <w:szCs w:val="24"/>
      </w:rPr>
      <w:fldChar w:fldCharType="begin"/>
    </w:r>
    <w:r>
      <w:rPr>
        <w:sz w:val="24"/>
        <w:b/>
        <w:szCs w:val="24"/>
        <w:rFonts w:ascii="SimHei" w:hAnsi="SimHei" w:eastAsia="黑体" w:cs="SimHei"/>
      </w:rPr>
      <w:instrText> NUMPAGES \* ARABIC </w:instrText>
    </w:r>
    <w:r>
      <w:rPr>
        <w:sz w:val="24"/>
        <w:b/>
        <w:szCs w:val="24"/>
        <w:rFonts w:ascii="SimHei" w:hAnsi="SimHei" w:eastAsia="黑体" w:cs="SimHei"/>
      </w:rPr>
      <w:fldChar w:fldCharType="separate"/>
    </w:r>
    <w:r>
      <w:rPr>
        <w:sz w:val="24"/>
        <w:b/>
        <w:szCs w:val="24"/>
        <w:rFonts w:ascii="SimHei" w:hAnsi="SimHei" w:eastAsia="黑体" w:cs="SimHei"/>
      </w:rPr>
      <w:t>9</w:t>
    </w:r>
    <w:r>
      <w:rPr>
        <w:sz w:val="24"/>
        <w:b/>
        <w:szCs w:val="24"/>
        <w:rFonts w:ascii="SimHei" w:hAnsi="SimHei" w:eastAsia="黑体" w:cs="SimHei"/>
      </w:rPr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sz w:val="24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Char">
    <w:name w:val="页眉 Char"/>
    <w:qFormat/>
    <w:rPr>
      <w:sz w:val="18"/>
      <w:szCs w:val="18"/>
    </w:rPr>
  </w:style>
  <w:style w:type="character" w:styleId="Char1">
    <w:name w:val="页脚 Char"/>
    <w:qFormat/>
    <w:rPr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jpeg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1836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2013-11-19T13:31:00Z</dcterms:created>
  <dc:creator>米修米修</dc:creator>
  <dc:description/>
  <cp:keywords> </cp:keywords>
  <dc:language>en-US</dc:language>
  <cp:lastModifiedBy>Client</cp:lastModifiedBy>
  <cp:lastPrinted>2013-11-23T13:58:00Z</cp:lastPrinted>
  <dcterms:modified xsi:type="dcterms:W3CDTF">2017-05-15T18:45:00Z</dcterms:modified>
  <cp:revision>280</cp:revision>
  <dc:subject/>
  <dc:title/>
</cp:coreProperties>
</file>