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tabs>
          <w:tab w:val="left" w:pos="420"/>
        </w:tabs>
        <w:spacing w:line="400" w:lineRule="exact"/>
        <w:ind w:leftChars="0"/>
        <w:jc w:val="center"/>
        <w:rPr>
          <w:rFonts w:ascii="SimHei" w:hAnsi="SimHei" w:eastAsia="黑体" w:cs="SimHei"/>
          <w:b/>
          <w:bCs/>
          <w:sz w:val="40"/>
          <w:szCs w:val="28"/>
          <w:lang w:val="en-US" w:eastAsia="zh-CN"/>
        </w:rPr>
      </w:pPr>
      <w:r>
        <w:rPr>
          <w:rFonts w:ascii="SimHei" w:hAnsi="SimHei" w:eastAsia="黑体" w:cs="SimHei"/>
          <w:b/>
          <w:bCs/>
          <w:sz w:val="40"/>
          <w:szCs w:val="28"/>
          <w:lang w:val="en-US" w:eastAsia="zh-CN"/>
        </w:rPr>
        <w:t>年度</w:t>
      </w:r>
      <w:r>
        <w:rPr>
          <w:b/>
          <w:bCs/>
          <w:sz w:val="40"/>
          <w:szCs w:val="28"/>
        </w:rPr>
        <w:t>培训计划制定</w:t>
      </w:r>
      <w:r>
        <w:rPr>
          <w:rFonts w:ascii="SimHei" w:hAnsi="SimHei" w:eastAsia="黑体" w:cs="SimHei"/>
          <w:b/>
          <w:bCs/>
          <w:sz w:val="40"/>
          <w:szCs w:val="28"/>
          <w:lang w:val="en-US" w:eastAsia="zh-CN"/>
        </w:rPr>
        <w:t>方案</w:t>
      </w:r>
    </w:p>
    <w:p>
      <w:pPr>
        <w:numPr>
          <w:ilvl w:val="0"/>
          <w:numId w:val="0"/>
        </w:numPr>
        <w:tabs>
          <w:tab w:val="left" w:pos="420"/>
        </w:tabs>
        <w:spacing w:line="400" w:lineRule="exact"/>
        <w:ind w:leftChars="0"/>
        <w:jc w:val="center"/>
        <w:rPr>
          <w:rFonts w:ascii="SimHei" w:hAnsi="SimHei" w:eastAsia="黑体" w:cs="SimHei"/>
          <w:b/>
          <w:bCs/>
          <w:sz w:val="40"/>
          <w:szCs w:val="28"/>
          <w:lang w:val="en-US" w:eastAsia="zh-CN"/>
        </w:rPr>
      </w:pPr>
    </w:p>
    <w:p>
      <w:pPr>
        <w:spacing w:line="400" w:lineRule="exact"/>
        <w:rPr>
          <w:b/>
          <w:bCs/>
          <w:sz w:val="24"/>
        </w:rPr>
      </w:pPr>
      <w:r>
        <w:rPr>
          <w:rFonts w:ascii="SimHei" w:hAnsi="SimHei" w:eastAsia="黑体" w:cs="SimHei"/>
          <w:b/>
          <w:bCs/>
          <w:sz w:val="24"/>
          <w:lang w:val="en-US" w:eastAsia="zh-CN"/>
        </w:rPr>
        <w:t>一：</w:t>
      </w:r>
      <w:r>
        <w:rPr>
          <w:b/>
          <w:bCs/>
          <w:sz w:val="24"/>
        </w:rPr>
        <w:t>年度培训计划</w:t>
      </w:r>
    </w:p>
    <w:p>
      <w:pPr>
        <w:numPr>
          <w:ilvl w:val="4"/>
          <w:numId w:val="1"/>
        </w:numPr>
        <w:tabs>
          <w:tab w:val="left" w:pos="735"/>
        </w:tabs>
        <w:spacing w:line="400" w:lineRule="exact"/>
        <w:rPr>
          <w:sz w:val="24"/>
        </w:rPr>
      </w:pPr>
      <w:r>
        <w:rPr>
          <w:sz w:val="24"/>
        </w:rPr>
        <w:t>每年12月份，各部门根据本部门在岗人员素质，结合企业发展需要，制定“部门年度培训需求</w:t>
      </w:r>
      <w:r>
        <w:rPr>
          <w:rFonts w:ascii="SimHei" w:hAnsi="SimHei" w:eastAsia="黑体" w:cs="SimHei"/>
          <w:sz w:val="24"/>
        </w:rPr>
        <w:t>表</w:t>
      </w:r>
      <w:r>
        <w:rPr>
          <w:sz w:val="24"/>
        </w:rPr>
        <w:t>”，集团母公司各部门报集团培训部，分子公司各部门报相应的人力行政部；</w:t>
      </w:r>
    </w:p>
    <w:p>
      <w:pPr>
        <w:numPr>
          <w:ilvl w:val="4"/>
          <w:numId w:val="1"/>
        </w:numPr>
        <w:tabs>
          <w:tab w:val="left" w:pos="735"/>
        </w:tabs>
        <w:spacing w:line="400" w:lineRule="exact"/>
        <w:rPr>
          <w:sz w:val="24"/>
        </w:rPr>
      </w:pPr>
      <w:r>
        <w:rPr>
          <w:sz w:val="24"/>
        </w:rPr>
        <w:t>集团培训部每年12月份负责集团母公司下年度员工培训计划的制定，报总监审核，总裁批准；</w:t>
      </w:r>
    </w:p>
    <w:p>
      <w:pPr>
        <w:numPr>
          <w:ilvl w:val="4"/>
          <w:numId w:val="1"/>
        </w:numPr>
        <w:tabs>
          <w:tab w:val="left" w:pos="735"/>
        </w:tabs>
        <w:spacing w:line="400" w:lineRule="exact"/>
        <w:rPr>
          <w:sz w:val="24"/>
        </w:rPr>
      </w:pPr>
      <w:r>
        <w:rPr>
          <w:sz w:val="24"/>
        </w:rPr>
        <w:t>分子公司人力行政部每年12月份负责本公司下年度员工培训计划的制定，报总经理批准，集团培训部备案。</w:t>
      </w:r>
    </w:p>
    <w:p>
      <w:pPr>
        <w:numPr>
          <w:ilvl w:val="4"/>
          <w:numId w:val="1"/>
        </w:numPr>
        <w:tabs>
          <w:tab w:val="left" w:pos="735"/>
        </w:tabs>
        <w:spacing w:line="400" w:lineRule="exact"/>
        <w:rPr>
          <w:sz w:val="24"/>
        </w:rPr>
      </w:pPr>
      <w:r>
        <w:rPr>
          <w:sz w:val="24"/>
        </w:rPr>
        <w:t>集团母公司年度培训计划的调整由人力行政中心总监审核，总裁审批；分子公司年度培训计划的调整由本单位总经理审批。</w:t>
      </w:r>
    </w:p>
    <w:p>
      <w:pPr>
        <w:numPr>
          <w:numId w:val="0"/>
        </w:numPr>
        <w:tabs>
          <w:tab w:val="left" w:pos="735"/>
        </w:tabs>
        <w:spacing w:line="400" w:lineRule="exact"/>
        <w:ind w:leftChars="0"/>
        <w:rPr>
          <w:sz w:val="24"/>
        </w:rPr>
      </w:pPr>
    </w:p>
    <w:p>
      <w:pPr>
        <w:spacing w:line="400" w:lineRule="exact"/>
        <w:rPr>
          <w:b/>
          <w:bCs/>
          <w:sz w:val="24"/>
        </w:rPr>
      </w:pPr>
      <w:r>
        <w:rPr>
          <w:rFonts w:ascii="SimHei" w:hAnsi="SimHei" w:eastAsia="黑体" w:cs="SimHei"/>
          <w:b/>
          <w:bCs/>
          <w:sz w:val="24"/>
          <w:lang w:val="en-US" w:eastAsia="zh-CN"/>
        </w:rPr>
        <w:t>二：</w:t>
      </w:r>
      <w:r>
        <w:rPr>
          <w:b/>
          <w:bCs/>
          <w:sz w:val="24"/>
        </w:rPr>
        <w:t>月度培训计划</w:t>
      </w:r>
    </w:p>
    <w:p>
      <w:pPr>
        <w:numPr>
          <w:ilvl w:val="0"/>
          <w:numId w:val="2"/>
        </w:numPr>
        <w:spacing w:line="400" w:lineRule="exact"/>
        <w:rPr>
          <w:sz w:val="24"/>
        </w:rPr>
      </w:pPr>
      <w:r>
        <w:rPr>
          <w:sz w:val="24"/>
        </w:rPr>
        <w:t>每月底集团培训部负责汇总和总结上一月度集团母公司培训计划的执行情况，填写“月度培训计划</w:t>
      </w:r>
      <w:r>
        <w:rPr>
          <w:rFonts w:ascii="SimHei" w:hAnsi="SimHei" w:eastAsia="黑体" w:cs="SimHei"/>
          <w:sz w:val="24"/>
        </w:rPr>
        <w:t>\实施记录表</w:t>
      </w:r>
      <w:r>
        <w:rPr>
          <w:sz w:val="24"/>
        </w:rPr>
        <w:t>”，同时组织制定下一月份集团母公司培训计划，通知各中心/部门经理。</w:t>
      </w:r>
    </w:p>
    <w:p>
      <w:pPr>
        <w:numPr>
          <w:ilvl w:val="0"/>
          <w:numId w:val="2"/>
        </w:numPr>
        <w:spacing w:line="400" w:lineRule="exact"/>
        <w:rPr>
          <w:sz w:val="24"/>
        </w:rPr>
      </w:pPr>
      <w:r>
        <w:rPr>
          <w:sz w:val="24"/>
        </w:rPr>
        <w:t>每月底分子公司人力行政部负责汇总和总结上一月度本单位培训计划执行情况，填写“月度培训计划</w:t>
      </w:r>
      <w:r>
        <w:rPr>
          <w:rFonts w:ascii="SimHei" w:hAnsi="SimHei" w:eastAsia="黑体" w:cs="SimHei"/>
          <w:sz w:val="24"/>
        </w:rPr>
        <w:t>\实施记录表</w:t>
      </w:r>
      <w:r>
        <w:rPr>
          <w:sz w:val="24"/>
        </w:rPr>
        <w:t>”，报集团培训部备案。同时组织制定下一月份的“月度培训计划</w:t>
      </w:r>
      <w:r>
        <w:rPr>
          <w:rFonts w:ascii="SimHei" w:hAnsi="SimHei" w:eastAsia="黑体" w:cs="SimHei"/>
          <w:sz w:val="24"/>
        </w:rPr>
        <w:t>\实施记录表</w:t>
      </w:r>
      <w:r>
        <w:rPr>
          <w:sz w:val="24"/>
        </w:rPr>
        <w:t>”，通知各部门经理。</w:t>
      </w:r>
    </w:p>
    <w:p>
      <w:pPr>
        <w:numPr>
          <w:numId w:val="0"/>
        </w:numPr>
        <w:spacing w:line="400" w:lineRule="exact"/>
        <w:ind w:leftChars="0"/>
        <w:rPr>
          <w:sz w:val="24"/>
        </w:rPr>
      </w:pPr>
    </w:p>
    <w:p>
      <w:pPr>
        <w:numPr>
          <w:ilvl w:val="0"/>
          <w:numId w:val="0"/>
        </w:numPr>
        <w:spacing w:line="400" w:lineRule="exact"/>
        <w:ind w:leftChars="0"/>
        <w:rPr>
          <w:b/>
          <w:bCs/>
          <w:sz w:val="24"/>
        </w:rPr>
      </w:pPr>
      <w:r>
        <w:rPr>
          <w:rFonts w:ascii="SimHei" w:hAnsi="SimHei" w:eastAsia="黑体" w:cs="SimHei"/>
          <w:b/>
          <w:bCs/>
          <w:sz w:val="24"/>
          <w:lang w:val="en-US" w:eastAsia="zh-CN"/>
        </w:rPr>
        <w:t>三：</w:t>
      </w:r>
      <w:r>
        <w:rPr>
          <w:b/>
          <w:bCs/>
          <w:sz w:val="24"/>
        </w:rPr>
        <w:t>培训实施</w:t>
      </w:r>
    </w:p>
    <w:p>
      <w:pPr>
        <w:spacing w:line="400" w:lineRule="exact"/>
        <w:rPr>
          <w:sz w:val="24"/>
        </w:rPr>
      </w:pPr>
      <w:r>
        <w:rPr>
          <w:rFonts w:ascii="SimHei" w:hAnsi="SimHei" w:eastAsia="黑体" w:cs="SimHei"/>
          <w:sz w:val="24"/>
          <w:lang w:val="en-US" w:eastAsia="zh-CN"/>
        </w:rPr>
        <w:t>1.</w:t>
      </w:r>
      <w:r>
        <w:rPr>
          <w:sz w:val="24"/>
        </w:rPr>
        <w:t>各部门根据下发的“月度培训计划</w:t>
      </w:r>
      <w:r>
        <w:rPr>
          <w:rFonts w:ascii="SimHei" w:hAnsi="SimHei" w:eastAsia="黑体" w:cs="SimHei"/>
          <w:sz w:val="24"/>
        </w:rPr>
        <w:t>\实施记录表</w:t>
      </w:r>
      <w:r>
        <w:rPr>
          <w:sz w:val="24"/>
        </w:rPr>
        <w:t>”，负责其业务范围内具体培训项目的实施，培训部/人力行政部进行监控并协助做好培训项目的实施。</w:t>
      </w:r>
    </w:p>
    <w:p>
      <w:pPr>
        <w:spacing w:line="400" w:lineRule="exact"/>
        <w:rPr>
          <w:sz w:val="24"/>
        </w:rPr>
      </w:pPr>
      <w:r>
        <w:rPr>
          <w:rFonts w:ascii="SimHei" w:hAnsi="SimHei" w:eastAsia="黑体" w:cs="SimHei"/>
          <w:sz w:val="24"/>
          <w:lang w:val="en-US" w:eastAsia="zh-CN"/>
        </w:rPr>
        <w:t>2.</w:t>
      </w:r>
      <w:r>
        <w:rPr>
          <w:sz w:val="24"/>
        </w:rPr>
        <w:t>通用性的培训项目由培训部/人力行政部统筹安排集中培训；</w:t>
      </w:r>
    </w:p>
    <w:p>
      <w:pPr>
        <w:spacing w:line="400" w:lineRule="exact"/>
        <w:rPr>
          <w:sz w:val="24"/>
        </w:rPr>
      </w:pPr>
      <w:r>
        <w:rPr>
          <w:rFonts w:ascii="SimHei" w:hAnsi="SimHei" w:eastAsia="黑体" w:cs="SimHei"/>
          <w:sz w:val="24"/>
          <w:lang w:val="en-US" w:eastAsia="zh-CN"/>
        </w:rPr>
        <w:t>3.</w:t>
      </w:r>
      <w:r>
        <w:rPr>
          <w:sz w:val="24"/>
        </w:rPr>
        <w:t>培训所需要的教材及讲师，可由各部门自行安排或委托培训部/人力行政部统筹安排；</w:t>
      </w:r>
    </w:p>
    <w:p>
      <w:pPr>
        <w:spacing w:line="400" w:lineRule="exact"/>
        <w:rPr>
          <w:sz w:val="24"/>
        </w:rPr>
      </w:pPr>
      <w:r>
        <w:rPr>
          <w:rFonts w:ascii="SimHei" w:hAnsi="SimHei" w:eastAsia="黑体" w:cs="SimHei"/>
          <w:sz w:val="24"/>
          <w:lang w:val="en-US" w:eastAsia="zh-CN"/>
        </w:rPr>
        <w:t>4.</w:t>
      </w:r>
      <w:r>
        <w:rPr>
          <w:sz w:val="24"/>
        </w:rPr>
        <w:t>如需外派培训，可由培训/人力行政部根据课程的重要性，要求员工签署《外部培训协议》备案。</w:t>
      </w:r>
    </w:p>
    <w:p>
      <w:pPr>
        <w:spacing w:line="400" w:lineRule="exact"/>
        <w:rPr>
          <w:b/>
          <w:bCs/>
          <w:sz w:val="24"/>
        </w:rPr>
      </w:pPr>
    </w:p>
    <w:p>
      <w:pPr>
        <w:numPr>
          <w:ilvl w:val="0"/>
          <w:numId w:val="0"/>
        </w:numPr>
        <w:tabs>
          <w:tab w:val="left" w:pos="420"/>
        </w:tabs>
        <w:spacing w:line="400" w:lineRule="exact"/>
        <w:ind w:leftChars="0"/>
        <w:rPr>
          <w:b/>
          <w:bCs/>
          <w:sz w:val="24"/>
        </w:rPr>
      </w:pPr>
      <w:r>
        <w:rPr>
          <w:rFonts w:ascii="SimHei" w:hAnsi="SimHei" w:eastAsia="黑体" w:cs="SimHei"/>
          <w:b/>
          <w:bCs/>
          <w:sz w:val="24"/>
          <w:lang w:val="en-US" w:eastAsia="zh-CN"/>
        </w:rPr>
        <w:t>四：</w:t>
      </w:r>
      <w:r>
        <w:rPr>
          <w:b/>
          <w:bCs/>
          <w:sz w:val="24"/>
        </w:rPr>
        <w:t>培训评估</w:t>
      </w:r>
    </w:p>
    <w:p>
      <w:pPr>
        <w:spacing w:line="400" w:lineRule="exact"/>
        <w:rPr>
          <w:sz w:val="24"/>
        </w:rPr>
      </w:pPr>
      <w:r>
        <w:rPr>
          <w:rFonts w:ascii="SimHei" w:hAnsi="SimHei" w:eastAsia="黑体" w:cs="SimHei"/>
          <w:sz w:val="24"/>
          <w:lang w:val="en-US" w:eastAsia="zh-CN"/>
        </w:rPr>
        <w:t>1.</w:t>
      </w:r>
      <w:r>
        <w:rPr>
          <w:sz w:val="24"/>
        </w:rPr>
        <w:t>员工参加培训应在“培训签到表”上签到，必要时应由培训组织部门派人抽点；</w:t>
      </w:r>
    </w:p>
    <w:p>
      <w:pPr>
        <w:spacing w:line="400" w:lineRule="exact"/>
        <w:rPr>
          <w:sz w:val="24"/>
        </w:rPr>
      </w:pPr>
      <w:r>
        <w:rPr>
          <w:rFonts w:ascii="SimHei" w:hAnsi="SimHei" w:eastAsia="黑体" w:cs="SimHei"/>
          <w:sz w:val="24"/>
          <w:lang w:val="en-US" w:eastAsia="zh-CN"/>
        </w:rPr>
        <w:t>2.</w:t>
      </w:r>
      <w:r>
        <w:rPr>
          <w:sz w:val="24"/>
        </w:rPr>
        <w:t>培训实施后，应由培训组织部门进行培训效果的考核和评估，评估培训效果的方式因培训项目而异，可采用以下三级评估方式：</w:t>
      </w:r>
    </w:p>
    <w:p>
      <w:pPr>
        <w:numPr>
          <w:ilvl w:val="0"/>
          <w:numId w:val="3"/>
        </w:numPr>
        <w:spacing w:line="400" w:lineRule="exact"/>
        <w:rPr>
          <w:sz w:val="24"/>
        </w:rPr>
      </w:pPr>
      <w:r>
        <w:rPr>
          <w:sz w:val="24"/>
        </w:rPr>
        <w:t>一级评估：针对员工对课程及学习过程的满意度进行评估，可采用发放“培训满意度调查表”的方式进行统计评估。</w:t>
      </w:r>
    </w:p>
    <w:p>
      <w:pPr>
        <w:numPr>
          <w:ilvl w:val="0"/>
          <w:numId w:val="3"/>
        </w:numPr>
        <w:spacing w:line="400" w:lineRule="exact"/>
        <w:rPr>
          <w:sz w:val="24"/>
        </w:rPr>
      </w:pPr>
      <w:r>
        <w:rPr>
          <w:sz w:val="24"/>
        </w:rPr>
        <w:t>二级评估：针对员工完成课程后的学习成效通过组织考试、实地操作、现场学习抽查、学后提问或考试抽查、知识竞赛等方式进行评估。</w:t>
      </w:r>
    </w:p>
    <w:p>
      <w:pPr>
        <w:numPr>
          <w:ilvl w:val="0"/>
          <w:numId w:val="3"/>
        </w:numPr>
        <w:spacing w:line="400" w:lineRule="exact"/>
        <w:rPr>
          <w:sz w:val="24"/>
        </w:rPr>
      </w:pPr>
      <w:r>
        <w:rPr>
          <w:sz w:val="24"/>
        </w:rPr>
        <w:t>三级评估：针对员工回到工作岗位后，其行为或工作绩效是否因培训而有预期中的改变进行评估。员工在培训结束后制定具体的行动计划和绩效改善计划（“行为改善方案”）送直接领导备忘并报本单位培训负责人备案，3个月后员工的直接领导负责作相关的绩效评价和指导意见。</w:t>
      </w:r>
    </w:p>
    <w:p>
      <w:pPr>
        <w:spacing w:line="400" w:lineRule="exact"/>
        <w:rPr>
          <w:sz w:val="24"/>
        </w:rPr>
      </w:pPr>
      <w:r>
        <w:rPr>
          <w:rFonts w:ascii="SimHei" w:hAnsi="SimHei" w:eastAsia="黑体" w:cs="SimHei"/>
          <w:sz w:val="24"/>
          <w:lang w:val="en-US" w:eastAsia="zh-CN"/>
        </w:rPr>
        <w:t>3.</w:t>
      </w:r>
      <w:r>
        <w:rPr>
          <w:sz w:val="24"/>
        </w:rPr>
        <w:t>员工送外培训，须提交培训“合格证书”或“结业证书”或交“</w:t>
      </w:r>
      <w:r>
        <w:rPr>
          <w:rFonts w:ascii="SimHei" w:hAnsi="SimHei" w:eastAsia="黑体" w:cs="SimHei"/>
          <w:sz w:val="24"/>
        </w:rPr>
        <w:t>外训总结</w:t>
      </w:r>
      <w:r>
        <w:rPr>
          <w:sz w:val="24"/>
        </w:rPr>
        <w:t>报告”至培训部/人力行政部，由培训部/人力行政部保留正本，影印本交还本人，正本在劳动合同期满不再续约后可交还本人；</w:t>
      </w:r>
    </w:p>
    <w:p>
      <w:pPr>
        <w:spacing w:line="400" w:lineRule="exact"/>
        <w:rPr>
          <w:sz w:val="24"/>
        </w:rPr>
      </w:pPr>
      <w:r>
        <w:rPr>
          <w:rFonts w:ascii="SimHei" w:hAnsi="SimHei" w:eastAsia="黑体" w:cs="SimHei"/>
          <w:sz w:val="24"/>
          <w:lang w:val="en-US" w:eastAsia="zh-CN"/>
        </w:rPr>
        <w:t>4.</w:t>
      </w:r>
      <w:r>
        <w:rPr>
          <w:sz w:val="24"/>
        </w:rPr>
        <w:t>凡参加公费、带薪外培或已取得本公司资助金的员工，培训结束后，应按规定年限继续为本公司服务，否则本公司有权追讨公司为其培训所付出的费用；</w:t>
      </w:r>
    </w:p>
    <w:p>
      <w:pPr>
        <w:spacing w:line="400" w:lineRule="exact"/>
        <w:rPr>
          <w:sz w:val="24"/>
        </w:rPr>
      </w:pPr>
    </w:p>
    <w:p>
      <w:pPr>
        <w:spacing w:line="400" w:lineRule="exact"/>
        <w:rPr>
          <w:b/>
          <w:bCs/>
          <w:sz w:val="24"/>
        </w:rPr>
      </w:pPr>
      <w:r>
        <w:rPr>
          <w:rFonts w:ascii="SimHei" w:hAnsi="SimHei" w:eastAsia="黑体" w:cs="SimHei"/>
          <w:b/>
          <w:bCs/>
          <w:sz w:val="24"/>
          <w:lang w:val="en-US" w:eastAsia="zh-CN"/>
        </w:rPr>
        <w:t>五：</w:t>
      </w:r>
      <w:r>
        <w:rPr>
          <w:b/>
          <w:bCs/>
          <w:sz w:val="24"/>
        </w:rPr>
        <w:t>培训档案</w:t>
      </w:r>
    </w:p>
    <w:p>
      <w:pPr>
        <w:spacing w:line="400" w:lineRule="exact"/>
        <w:ind w:firstLine="480" w:firstLineChars="200"/>
        <w:rPr>
          <w:sz w:val="24"/>
        </w:rPr>
      </w:pPr>
      <w:r>
        <w:rPr>
          <w:sz w:val="24"/>
        </w:rPr>
        <w:t>集团人力资源部负责建立部门经理级人员培训档案，其余人员培训档案由所在单位负责建立，并定期汇总呈报集团人力资源部。</w:t>
      </w:r>
    </w:p>
    <w:p>
      <w:pPr>
        <w:spacing w:line="400" w:lineRule="exact"/>
        <w:ind w:firstLine="480" w:firstLineChars="200"/>
        <w:rPr>
          <w:sz w:val="24"/>
        </w:rPr>
      </w:pPr>
    </w:p>
    <w:p>
      <w:pPr>
        <w:spacing w:line="400" w:lineRule="exact"/>
        <w:rPr>
          <w:b/>
          <w:bCs/>
          <w:sz w:val="24"/>
        </w:rPr>
      </w:pPr>
      <w:r>
        <w:rPr>
          <w:rFonts w:ascii="SimHei" w:hAnsi="SimHei" w:eastAsia="黑体" w:cs="SimHei"/>
          <w:b/>
          <w:bCs/>
          <w:sz w:val="24"/>
          <w:lang w:val="en-US" w:eastAsia="zh-CN"/>
        </w:rPr>
        <w:t>六：</w:t>
      </w:r>
      <w:r>
        <w:rPr>
          <w:b/>
          <w:bCs/>
          <w:sz w:val="24"/>
        </w:rPr>
        <w:t>费用管理</w:t>
      </w:r>
    </w:p>
    <w:p>
      <w:pPr>
        <w:spacing w:line="400" w:lineRule="exact"/>
        <w:rPr>
          <w:sz w:val="24"/>
        </w:rPr>
      </w:pPr>
      <w:r>
        <w:rPr>
          <w:rFonts w:ascii="SimHei" w:hAnsi="SimHei" w:eastAsia="黑体" w:cs="SimHei"/>
          <w:sz w:val="24"/>
          <w:lang w:val="en-US" w:eastAsia="zh-CN"/>
        </w:rPr>
        <w:t>1.</w:t>
      </w:r>
      <w:r>
        <w:rPr>
          <w:sz w:val="24"/>
        </w:rPr>
        <w:t>由培训部/人力行政部依据本单位培训计划对培训经费做统一预算，报总裁（总经理、厂长）审批。各单位中途可根据实际情况在预算内适当调整，超过预算必须报总裁（总经理、厂长）批准。</w:t>
      </w:r>
    </w:p>
    <w:p>
      <w:pPr>
        <w:spacing w:line="400" w:lineRule="exact"/>
        <w:rPr>
          <w:sz w:val="24"/>
        </w:rPr>
      </w:pPr>
      <w:r>
        <w:rPr>
          <w:rFonts w:ascii="SimHei" w:hAnsi="SimHei" w:eastAsia="黑体" w:cs="SimHei"/>
          <w:sz w:val="24"/>
          <w:lang w:val="en-US" w:eastAsia="zh-CN"/>
        </w:rPr>
        <w:t>2.</w:t>
      </w:r>
      <w:r>
        <w:rPr>
          <w:sz w:val="24"/>
        </w:rPr>
        <w:t>培训费用由培训部/人力行政部统一管理。审核每次培训的预算和实际发生费用，严格控制培训费用。</w:t>
      </w:r>
    </w:p>
    <w:p>
      <w:pPr>
        <w:spacing w:line="400" w:lineRule="exact"/>
        <w:rPr>
          <w:sz w:val="24"/>
        </w:rPr>
      </w:pPr>
      <w:r>
        <w:rPr>
          <w:rFonts w:ascii="SimHei" w:hAnsi="SimHei" w:eastAsia="黑体" w:cs="SimHei"/>
          <w:sz w:val="24"/>
          <w:lang w:val="en-US" w:eastAsia="zh-CN"/>
        </w:rPr>
        <w:t>3.</w:t>
      </w:r>
      <w:r>
        <w:rPr>
          <w:sz w:val="24"/>
        </w:rPr>
        <w:t>所有培训费用的报销均需提供完整的“人员培训审批表”，作为报销凭证的附件。</w:t>
      </w:r>
    </w:p>
    <w:p>
      <w:pPr>
        <w:spacing w:line="400" w:lineRule="exact"/>
        <w:rPr>
          <w:sz w:val="24"/>
        </w:rPr>
      </w:pPr>
      <w:r>
        <w:rPr>
          <w:rFonts w:ascii="SimHei" w:hAnsi="SimHei" w:eastAsia="黑体" w:cs="SimHei"/>
          <w:sz w:val="24"/>
          <w:lang w:val="en-US" w:eastAsia="zh-CN"/>
        </w:rPr>
        <w:t>4.</w:t>
      </w:r>
      <w:r>
        <w:rPr>
          <w:sz w:val="24"/>
        </w:rPr>
        <w:t>外部培训的费用管理：</w:t>
      </w:r>
    </w:p>
    <w:p>
      <w:pPr>
        <w:numPr>
          <w:ilvl w:val="2"/>
          <w:numId w:val="4"/>
        </w:numPr>
        <w:spacing w:line="400" w:lineRule="exact"/>
        <w:ind w:left="840" w:hanging="840"/>
        <w:rPr>
          <w:sz w:val="24"/>
        </w:rPr>
      </w:pPr>
      <w:r>
        <w:rPr>
          <w:sz w:val="24"/>
        </w:rPr>
        <w:t>计划内的一切必要培训费用由单位按协议支付。</w:t>
      </w:r>
    </w:p>
    <w:p>
      <w:pPr>
        <w:numPr>
          <w:ilvl w:val="2"/>
          <w:numId w:val="4"/>
        </w:numPr>
        <w:spacing w:line="400" w:lineRule="exact"/>
        <w:ind w:left="840" w:hanging="840"/>
        <w:rPr>
          <w:sz w:val="24"/>
        </w:rPr>
      </w:pPr>
      <w:r>
        <w:rPr>
          <w:sz w:val="24"/>
        </w:rPr>
        <w:t>计划外的须先与单位签订外送培训协议，明确单位、个人双方的权利和义务。</w:t>
      </w:r>
    </w:p>
    <w:p>
      <w:pPr>
        <w:numPr>
          <w:ilvl w:val="2"/>
          <w:numId w:val="4"/>
        </w:numPr>
        <w:spacing w:line="400" w:lineRule="exact"/>
        <w:ind w:left="840" w:hanging="840"/>
        <w:rPr>
          <w:sz w:val="24"/>
        </w:rPr>
      </w:pPr>
      <w:r>
        <w:rPr>
          <w:sz w:val="24"/>
        </w:rPr>
        <w:t>计划外送培人员一切培训费用报销比例依申请人在集团工作的实际年数规定如下：</w:t>
      </w:r>
    </w:p>
    <w:p>
      <w:pPr>
        <w:numPr>
          <w:ilvl w:val="3"/>
          <w:numId w:val="4"/>
        </w:numPr>
        <w:tabs>
          <w:tab w:val="left" w:pos="945"/>
        </w:tabs>
        <w:spacing w:line="400" w:lineRule="exact"/>
        <w:ind w:hanging="317"/>
        <w:rPr>
          <w:sz w:val="24"/>
        </w:rPr>
      </w:pPr>
      <w:r>
        <w:rPr>
          <w:sz w:val="24"/>
        </w:rPr>
        <w:t>工作四年以上者，个人承担40%，公司承担60%；</w:t>
      </w:r>
    </w:p>
    <w:p>
      <w:pPr>
        <w:numPr>
          <w:ilvl w:val="3"/>
          <w:numId w:val="4"/>
        </w:numPr>
        <w:tabs>
          <w:tab w:val="left" w:pos="420"/>
          <w:tab w:val="left" w:pos="945"/>
        </w:tabs>
        <w:spacing w:line="400" w:lineRule="exact"/>
        <w:ind w:hanging="317"/>
        <w:rPr>
          <w:sz w:val="24"/>
        </w:rPr>
      </w:pPr>
      <w:r>
        <w:rPr>
          <w:sz w:val="24"/>
        </w:rPr>
        <w:t>工作三年以上、四年以下者，个人承担50%，公司承担50%；</w:t>
      </w:r>
    </w:p>
    <w:p>
      <w:pPr>
        <w:numPr>
          <w:ilvl w:val="3"/>
          <w:numId w:val="4"/>
        </w:numPr>
        <w:tabs>
          <w:tab w:val="left" w:pos="420"/>
          <w:tab w:val="left" w:pos="945"/>
        </w:tabs>
        <w:spacing w:line="400" w:lineRule="exact"/>
        <w:ind w:hanging="317"/>
        <w:rPr>
          <w:sz w:val="24"/>
        </w:rPr>
      </w:pPr>
      <w:r>
        <w:rPr>
          <w:sz w:val="24"/>
        </w:rPr>
        <w:t>工作二年以上、三年以下者，个人承担60%，公司承担40%；</w:t>
      </w:r>
    </w:p>
    <w:p>
      <w:pPr>
        <w:numPr>
          <w:ilvl w:val="3"/>
          <w:numId w:val="4"/>
        </w:numPr>
        <w:tabs>
          <w:tab w:val="left" w:pos="420"/>
          <w:tab w:val="left" w:pos="945"/>
        </w:tabs>
        <w:spacing w:line="400" w:lineRule="exact"/>
        <w:ind w:hanging="317"/>
        <w:rPr>
          <w:sz w:val="24"/>
        </w:rPr>
      </w:pPr>
      <w:r>
        <w:rPr>
          <w:sz w:val="24"/>
        </w:rPr>
        <w:t>工作一年以上、二年以下者，个人承担70%，公司承担30%。</w:t>
      </w:r>
    </w:p>
    <w:p>
      <w:pPr>
        <w:numPr>
          <w:ilvl w:val="2"/>
          <w:numId w:val="4"/>
        </w:numPr>
        <w:spacing w:line="400" w:lineRule="exact"/>
        <w:ind w:left="840" w:hanging="840"/>
        <w:rPr>
          <w:sz w:val="24"/>
        </w:rPr>
      </w:pPr>
      <w:r>
        <w:rPr>
          <w:sz w:val="24"/>
        </w:rPr>
        <w:t>计划外培训人员由个人承担的费用，如该员工培训结束继续在集团工作满五年，单位可报销由其个人承担的培训费用。</w:t>
      </w:r>
    </w:p>
    <w:p>
      <w:pPr>
        <w:spacing w:line="400" w:lineRule="exact"/>
        <w:rPr>
          <w:sz w:val="24"/>
        </w:rPr>
      </w:pPr>
      <w:r>
        <w:rPr>
          <w:rFonts w:ascii="SimHei" w:hAnsi="SimHei" w:eastAsia="黑体" w:cs="SimHei"/>
          <w:sz w:val="24"/>
          <w:lang w:val="en-US" w:eastAsia="zh-CN"/>
        </w:rPr>
        <w:t>5.</w:t>
      </w:r>
      <w:r>
        <w:rPr>
          <w:sz w:val="24"/>
        </w:rPr>
        <w:t>外送培训人员在学习结束后须严格按《外送培训协议》执行。</w:t>
      </w:r>
    </w:p>
    <w:p>
      <w:pPr>
        <w:spacing w:line="400" w:lineRule="exact"/>
        <w:rPr>
          <w:sz w:val="24"/>
        </w:rPr>
      </w:pPr>
      <w:r>
        <w:rPr>
          <w:rFonts w:ascii="SimHei" w:hAnsi="SimHei" w:eastAsia="黑体" w:cs="SimHei"/>
          <w:sz w:val="24"/>
          <w:lang w:val="en-US" w:eastAsia="zh-CN"/>
        </w:rPr>
        <w:t>6.</w:t>
      </w:r>
      <w:r>
        <w:rPr>
          <w:sz w:val="24"/>
        </w:rPr>
        <w:t>人力资源部门应每年度做一次培训投资分析报告呈总裁（总经理、厂长）及相关人员。</w:t>
      </w:r>
    </w:p>
    <w:p>
      <w:pPr>
        <w:spacing w:line="400" w:lineRule="exact"/>
        <w:rPr>
          <w:b/>
          <w:bCs/>
          <w:sz w:val="24"/>
        </w:rPr>
      </w:pPr>
      <w:bookmarkStart w:id="0" w:name="_GoBack"/>
    </w:p>
    <w:p>
      <w:pPr>
        <w:spacing w:line="400" w:lineRule="exact"/>
        <w:rPr>
          <w:b/>
          <w:bCs/>
          <w:sz w:val="24"/>
        </w:rPr>
      </w:pPr>
      <w:r>
        <w:rPr>
          <w:rFonts w:ascii="SimHei" w:hAnsi="SimHei" w:eastAsia="黑体" w:cs="SimHei"/>
          <w:b/>
          <w:bCs/>
          <w:sz w:val="24"/>
          <w:lang w:val="en-US" w:eastAsia="zh-CN"/>
        </w:rPr>
        <w:t>七：</w:t>
      </w:r>
      <w:r>
        <w:rPr>
          <w:b/>
          <w:bCs/>
          <w:sz w:val="24"/>
        </w:rPr>
        <w:t>出勤管理</w:t>
      </w:r>
    </w:p>
    <w:bookmarkEnd w:id="0"/>
    <w:p>
      <w:pPr>
        <w:spacing w:line="400" w:lineRule="exact"/>
        <w:rPr>
          <w:sz w:val="24"/>
        </w:rPr>
      </w:pPr>
      <w:r>
        <w:rPr>
          <w:rFonts w:ascii="SimHei" w:hAnsi="SimHei" w:eastAsia="黑体" w:cs="SimHei"/>
          <w:sz w:val="24"/>
          <w:lang w:val="en-US" w:eastAsia="zh-CN"/>
        </w:rPr>
        <w:t>1.</w:t>
      </w:r>
      <w:r>
        <w:rPr>
          <w:sz w:val="24"/>
        </w:rPr>
        <w:t>所有培训一经报名确认，受训人员须提前做好安排，除特殊原因外，应准时参加。</w:t>
      </w:r>
    </w:p>
    <w:p>
      <w:pPr>
        <w:spacing w:line="400" w:lineRule="exact"/>
        <w:rPr>
          <w:sz w:val="24"/>
        </w:rPr>
      </w:pPr>
      <w:r>
        <w:rPr>
          <w:rFonts w:ascii="SimHei" w:hAnsi="SimHei" w:eastAsia="黑体" w:cs="SimHei"/>
          <w:sz w:val="24"/>
          <w:lang w:val="en-US" w:eastAsia="zh-CN"/>
        </w:rPr>
        <w:t>2.</w:t>
      </w:r>
      <w:r>
        <w:rPr>
          <w:sz w:val="24"/>
        </w:rPr>
        <w:t>在岗培训，参加人员必须严格遵守培训纪律，课前签到；组织者必须指定专人负责记录，填写“培训签到表”；考勤记录作为培训考核的一个主要内容。</w:t>
      </w:r>
    </w:p>
    <w:p>
      <w:pPr>
        <w:spacing w:line="400" w:lineRule="exact"/>
        <w:rPr>
          <w:sz w:val="24"/>
        </w:rPr>
      </w:pPr>
      <w:r>
        <w:rPr>
          <w:rFonts w:ascii="SimHei" w:hAnsi="SimHei" w:eastAsia="黑体" w:cs="SimHei"/>
          <w:sz w:val="24"/>
          <w:lang w:val="en-US" w:eastAsia="zh-CN"/>
        </w:rPr>
        <w:t>3.</w:t>
      </w:r>
      <w:r>
        <w:rPr>
          <w:sz w:val="24"/>
        </w:rPr>
        <w:t>业余时间参加培训，不以加班论。</w:t>
      </w:r>
    </w:p>
    <w:p>
      <w:pPr>
        <w:numPr>
          <w:ilvl w:val="0"/>
          <w:numId w:val="0"/>
        </w:numPr>
        <w:tabs>
          <w:tab w:val="left" w:pos="420"/>
        </w:tabs>
        <w:spacing w:line="400" w:lineRule="exact"/>
        <w:ind w:leftChars="0"/>
        <w:rPr>
          <w:sz w:val="24"/>
        </w:rPr>
      </w:pPr>
      <w:r>
        <w:rPr>
          <w:rFonts w:ascii="SimHei" w:hAnsi="SimHei" w:eastAsia="黑体" w:cs="SimHei"/>
          <w:sz w:val="24"/>
          <w:lang w:val="en-US" w:eastAsia="zh-CN"/>
        </w:rPr>
        <w:t>八：</w:t>
      </w:r>
      <w:r>
        <w:rPr>
          <w:sz w:val="24"/>
        </w:rPr>
        <w:t>外部培训管理</w:t>
      </w:r>
    </w:p>
    <w:p>
      <w:pPr>
        <w:spacing w:line="400" w:lineRule="exact"/>
        <w:rPr>
          <w:sz w:val="24"/>
        </w:rPr>
      </w:pPr>
      <w:r>
        <w:rPr>
          <w:rFonts w:ascii="SimHei" w:hAnsi="SimHei" w:eastAsia="黑体" w:cs="SimHei"/>
          <w:sz w:val="24"/>
          <w:lang w:val="en-US" w:eastAsia="zh-CN"/>
        </w:rPr>
        <w:t>1.</w:t>
      </w:r>
      <w:r>
        <w:rPr>
          <w:sz w:val="24"/>
        </w:rPr>
        <w:t>培训课程的选择应结合公司的内部需求和外部资源，并严格审批权限。</w:t>
      </w:r>
    </w:p>
    <w:p>
      <w:pPr>
        <w:spacing w:line="400" w:lineRule="exact"/>
        <w:rPr>
          <w:rFonts w:ascii="SimHei" w:hAnsi="SimHei" w:eastAsia="黑体" w:cs="SimHei"/>
          <w:sz w:val="24"/>
        </w:rPr>
      </w:pPr>
      <w:r>
        <w:rPr>
          <w:rFonts w:ascii="SimHei" w:hAnsi="SimHei" w:eastAsia="黑体" w:cs="SimHei"/>
          <w:sz w:val="24"/>
          <w:lang w:val="en-US" w:eastAsia="zh-CN"/>
        </w:rPr>
        <w:t>2.</w:t>
      </w:r>
      <w:r>
        <w:rPr>
          <w:sz w:val="24"/>
        </w:rPr>
        <w:t>外部培训分计划内和计划外两种：</w:t>
      </w:r>
    </w:p>
    <w:p>
      <w:pPr>
        <w:spacing w:line="400" w:lineRule="exact"/>
        <w:rPr>
          <w:sz w:val="24"/>
        </w:rPr>
      </w:pPr>
      <w:r>
        <w:rPr>
          <w:rFonts w:ascii="SimHei" w:hAnsi="SimHei" w:eastAsia="黑体" w:cs="SimHei"/>
          <w:sz w:val="24"/>
        </w:rPr>
        <w:t>（1）</w:t>
      </w:r>
      <w:r>
        <w:rPr>
          <w:sz w:val="24"/>
        </w:rPr>
        <w:t>计划内培训：指由各单位列入年度培训计划并经总裁（总经理、厂长）核准的培训项目，人员由单位确定。</w:t>
      </w:r>
    </w:p>
    <w:p>
      <w:pPr>
        <w:spacing w:line="400" w:lineRule="exact"/>
        <w:rPr>
          <w:sz w:val="24"/>
        </w:rPr>
      </w:pPr>
      <w:r>
        <w:rPr>
          <w:rFonts w:ascii="SimHei" w:hAnsi="SimHei" w:eastAsia="黑体" w:cs="SimHei"/>
          <w:sz w:val="24"/>
        </w:rPr>
        <w:t>（2）</w:t>
      </w:r>
      <w:r>
        <w:rPr>
          <w:sz w:val="24"/>
        </w:rPr>
        <w:t>计划外培训：指没有列入单位年度培训计划之内，由单位临时指派或个人申请（与申请人工作密切相关），培训时间不超过半个月，经总裁（总经理、厂长）批准的外部培训项目。</w:t>
      </w:r>
    </w:p>
    <w:p>
      <w:pPr>
        <w:spacing w:line="400" w:lineRule="exact"/>
        <w:rPr>
          <w:sz w:val="24"/>
        </w:rPr>
      </w:pPr>
      <w:r>
        <w:rPr>
          <w:rFonts w:ascii="SimHei" w:hAnsi="SimHei" w:eastAsia="黑体" w:cs="SimHei"/>
          <w:sz w:val="24"/>
          <w:lang w:val="en-US" w:eastAsia="zh-CN"/>
        </w:rPr>
        <w:t>3.</w:t>
      </w:r>
      <w:r>
        <w:rPr>
          <w:sz w:val="24"/>
        </w:rPr>
        <w:t>所有参加外部培训人员必须与公司签订《外送培训协议》。培训费用在10万元以上者需签订10年服务期的培训协议；培训费用在5-10万元之间需签订5年服务期的培训协议；培训费用在1万元-5万元之间需签订3年服务期的培训协议。</w:t>
      </w:r>
    </w:p>
    <w:p>
      <w:pPr>
        <w:spacing w:line="400" w:lineRule="exact"/>
        <w:rPr>
          <w:sz w:val="24"/>
        </w:rPr>
      </w:pPr>
      <w:r>
        <w:rPr>
          <w:rFonts w:ascii="SimHei" w:hAnsi="SimHei" w:eastAsia="黑体" w:cs="SimHei"/>
          <w:sz w:val="24"/>
          <w:lang w:val="en-US" w:eastAsia="zh-CN"/>
        </w:rPr>
        <w:t>4.</w:t>
      </w:r>
      <w:r>
        <w:rPr>
          <w:sz w:val="24"/>
        </w:rPr>
        <w:t>培训资料（包括教材、讲义（PPT）、证书等）必须在人力资源部门备份存档。并按人力资源部门的要求在单位内进行宣讲。</w:t>
      </w:r>
    </w:p>
    <w:p>
      <w:pPr>
        <w:spacing w:line="400" w:lineRule="exact"/>
        <w:rPr>
          <w:sz w:val="24"/>
        </w:rPr>
      </w:pPr>
      <w:r>
        <w:rPr>
          <w:rFonts w:ascii="SimHei" w:hAnsi="SimHei" w:eastAsia="黑体" w:cs="SimHei"/>
          <w:sz w:val="24"/>
          <w:lang w:val="en-US" w:eastAsia="zh-CN"/>
        </w:rPr>
        <w:t>5.</w:t>
      </w:r>
      <w:r>
        <w:rPr>
          <w:sz w:val="24"/>
        </w:rPr>
        <w:t>受训员工须按要求提交培训总结，并在人力资源部门存档。</w:t>
      </w:r>
    </w:p>
    <w:p>
      <w:pPr>
        <w:spacing w:line="400" w:lineRule="exact"/>
        <w:rPr>
          <w:sz w:val="24"/>
        </w:rPr>
      </w:pPr>
      <w:r>
        <w:rPr>
          <w:rFonts w:ascii="SimHei" w:hAnsi="SimHei" w:eastAsia="黑体" w:cs="SimHei"/>
          <w:sz w:val="24"/>
          <w:lang w:val="en-US" w:eastAsia="zh-CN"/>
        </w:rPr>
        <w:t>6.</w:t>
      </w:r>
      <w:r>
        <w:rPr>
          <w:sz w:val="24"/>
        </w:rPr>
        <w:t>外出受训员工在培训结束一个星期内必须以书面方式提出培训效果的反馈意见，包括对培训课程、讲师、及培训机构的整体水平的评价等，交人力资源部门存档；</w:t>
      </w:r>
    </w:p>
    <w:p>
      <w:pPr>
        <w:spacing w:line="400" w:lineRule="exact"/>
        <w:rPr>
          <w:sz w:val="24"/>
        </w:rPr>
      </w:pPr>
      <w:r>
        <w:rPr>
          <w:rFonts w:ascii="SimHei" w:hAnsi="SimHei" w:eastAsia="黑体" w:cs="SimHei"/>
          <w:sz w:val="24"/>
          <w:lang w:val="en-US" w:eastAsia="zh-CN"/>
        </w:rPr>
        <w:t>7.</w:t>
      </w:r>
      <w:r>
        <w:rPr>
          <w:sz w:val="24"/>
        </w:rPr>
        <w:t>员工所在部门负责人应评估员工接受培训的效果（评估时间根据培训内容确定，必要时可做长期追踪），人力资源部门负责督促、跟进和记录的工作。</w:t>
      </w:r>
    </w:p>
    <w:p>
      <w:pPr>
        <w:spacing w:line="400" w:lineRule="exact"/>
        <w:rPr>
          <w:rFonts w:ascii="SimHei" w:hAnsi="SimHei" w:eastAsia="黑体" w:cs="SimHei"/>
          <w:sz w:val="24"/>
        </w:rPr>
      </w:pPr>
      <w:r>
        <w:rPr>
          <w:rFonts w:ascii="SimHei" w:hAnsi="SimHei" w:eastAsia="黑体" w:cs="SimHei"/>
          <w:sz w:val="24"/>
          <w:lang w:val="en-US" w:eastAsia="zh-CN"/>
        </w:rPr>
        <w:t>8.</w:t>
      </w:r>
      <w:r>
        <w:rPr>
          <w:sz w:val="24"/>
        </w:rPr>
        <w:t>在工作时间不经批准自行参加计划外培训，视同旷工。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923A2"/>
    <w:multiLevelType w:val="multilevel"/>
    <w:tmpl w:val="0F4923A2"/>
    <w:lvl w:ilvl="0" w:tentative="0">
      <w:start w:val="1"/>
      <w:numFmt w:val="decimal"/>
      <w:lvlText w:val="（%1）"/>
      <w:lvlJc w:val="left"/>
      <w:pPr>
        <w:tabs>
          <w:tab w:val="left" w:pos="0"/>
        </w:tabs>
        <w:ind w:left="737" w:hanging="737"/>
      </w:pPr>
      <w:rPr>
        <w:rFonts w:ascii="SimHei" w:hAnsi="SimHei" w:eastAsia="黑体" w:cs="SimHei"/>
        <w:b w:val="0"/>
      </w:rPr>
    </w:lvl>
    <w:lvl w:ilvl="1" w:tentative="0">
      <w:start w:val="1"/>
      <w:numFmt w:val="decimal"/>
      <w:lvlText w:val="4.5.%2"/>
      <w:lvlJc w:val="left"/>
      <w:pPr>
        <w:tabs>
          <w:tab w:val="left" w:pos="0"/>
        </w:tabs>
        <w:ind w:left="737" w:hanging="737"/>
      </w:pPr>
      <w:rPr>
        <w:rFonts w:ascii="SimHei" w:hAnsi="SimHei" w:eastAsia="黑体" w:cs="SimHei"/>
        <w:b w:val="0"/>
      </w:rPr>
    </w:lvl>
    <w:lvl w:ilvl="2" w:tentative="0">
      <w:start w:val="1"/>
      <w:numFmt w:val="decimal"/>
      <w:lvlText w:val="（%3）"/>
      <w:lvlJc w:val="left"/>
      <w:pPr>
        <w:tabs>
          <w:tab w:val="left" w:pos="1560"/>
        </w:tabs>
        <w:ind w:left="1560" w:hanging="720"/>
      </w:pPr>
      <w:rPr>
        <w:rFonts w:ascii="SimHei" w:hAnsi="SimHei" w:eastAsia="黑体" w:cs="SimHei"/>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2EEA78CC"/>
    <w:multiLevelType w:val="multilevel"/>
    <w:tmpl w:val="2EEA78CC"/>
    <w:lvl w:ilvl="0" w:tentative="0">
      <w:start w:val="1"/>
      <w:numFmt w:val="decimal"/>
      <w:lvlText w:val="4.4.%1"/>
      <w:lvlJc w:val="left"/>
      <w:pPr>
        <w:tabs>
          <w:tab w:val="left" w:pos="0"/>
        </w:tabs>
        <w:ind w:left="737" w:hanging="737"/>
      </w:pPr>
      <w:rPr>
        <w:rFonts w:ascii="SimHei" w:hAnsi="SimHei" w:eastAsia="黑体" w:cs="SimHei"/>
      </w:rPr>
    </w:lvl>
    <w:lvl w:ilvl="1" w:tentative="0">
      <w:start w:val="1"/>
      <w:numFmt w:val="decimal"/>
      <w:lvlText w:val="4.8.%2"/>
      <w:lvlJc w:val="left"/>
      <w:pPr>
        <w:tabs>
          <w:tab w:val="left" w:pos="0"/>
        </w:tabs>
        <w:ind w:left="737" w:hanging="737"/>
      </w:pPr>
      <w:rPr>
        <w:rFonts w:ascii="SimHei" w:hAnsi="SimHei" w:eastAsia="黑体" w:cs="SimHei"/>
      </w:rPr>
    </w:lvl>
    <w:lvl w:ilvl="2" w:tentative="0">
      <w:start w:val="1"/>
      <w:numFmt w:val="decimal"/>
      <w:lvlText w:val="（%3）"/>
      <w:lvlJc w:val="left"/>
      <w:pPr>
        <w:tabs>
          <w:tab w:val="left" w:pos="840"/>
        </w:tabs>
        <w:ind w:left="1577" w:hanging="737"/>
      </w:pPr>
      <w:rPr>
        <w:rFonts w:ascii="SimHei" w:hAnsi="SimHei" w:eastAsia="黑体" w:cs="SimHei"/>
        <w:b w:val="0"/>
        <w:lang w:val="en-US"/>
      </w:rPr>
    </w:lvl>
    <w:lvl w:ilvl="3" w:tentative="0">
      <w:start w:val="1"/>
      <w:numFmt w:val="lowerLetter"/>
      <w:lvlText w:val="%4）"/>
      <w:lvlJc w:val="left"/>
      <w:pPr>
        <w:tabs>
          <w:tab w:val="left" w:pos="0"/>
        </w:tabs>
        <w:ind w:left="737" w:hanging="737"/>
      </w:pPr>
      <w:rPr>
        <w:rFonts w:ascii="SimHei" w:hAnsi="SimHei" w:eastAsia="黑体" w:cs="SimHei"/>
        <w:b w:val="0"/>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5552BE9"/>
    <w:multiLevelType w:val="multilevel"/>
    <w:tmpl w:val="35552BE9"/>
    <w:lvl w:ilvl="0" w:tentative="0">
      <w:start w:val="1"/>
      <w:numFmt w:val="decimal"/>
      <w:lvlText w:val="（%1）"/>
      <w:lvlJc w:val="left"/>
      <w:pPr>
        <w:tabs>
          <w:tab w:val="left" w:pos="0"/>
        </w:tabs>
        <w:ind w:left="737" w:hanging="737"/>
      </w:pPr>
      <w:rPr>
        <w:rFonts w:ascii="SimHei" w:hAnsi="SimHei" w:eastAsia="黑体" w:cs="SimHei"/>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721555E8"/>
    <w:multiLevelType w:val="multilevel"/>
    <w:tmpl w:val="721555E8"/>
    <w:lvl w:ilvl="0" w:tentative="0">
      <w:start w:val="1"/>
      <w:numFmt w:val="decimal"/>
      <w:lvlText w:val="%1."/>
      <w:lvlJc w:val="left"/>
      <w:pPr>
        <w:ind w:left="420" w:hanging="420"/>
      </w:pPr>
      <w:rPr>
        <w:b/>
      </w:rPr>
    </w:lvl>
    <w:lvl w:ilvl="1" w:tentative="0">
      <w:start w:val="1"/>
      <w:numFmt w:val="decimal"/>
      <w:lvlText w:val="4.%2"/>
      <w:lvlJc w:val="left"/>
      <w:pPr>
        <w:tabs>
          <w:tab w:val="left" w:pos="0"/>
        </w:tabs>
        <w:ind w:left="1157" w:hanging="1157"/>
      </w:pPr>
      <w:rPr>
        <w:rFonts w:ascii="SimHei" w:hAnsi="SimHei" w:eastAsia="黑体" w:cs="SimHei"/>
        <w:b w:val="0"/>
      </w:rPr>
    </w:lvl>
    <w:lvl w:ilvl="2" w:tentative="0">
      <w:start w:val="4"/>
      <w:numFmt w:val="decimal"/>
      <w:lvlText w:val="%3．"/>
      <w:lvlJc w:val="left"/>
      <w:pPr>
        <w:tabs>
          <w:tab w:val="left" w:pos="1200"/>
        </w:tabs>
        <w:ind w:left="1200" w:hanging="360"/>
      </w:pPr>
      <w:rPr>
        <w:rFonts w:ascii="SimHei" w:hAnsi="SimHei" w:eastAsia="黑体" w:cs="SimHei"/>
      </w:rPr>
    </w:lvl>
    <w:lvl w:ilvl="3" w:tentative="0">
      <w:start w:val="7"/>
      <w:numFmt w:val="decimal"/>
      <w:lvlText w:val="（%4）"/>
      <w:lvlJc w:val="left"/>
      <w:pPr>
        <w:tabs>
          <w:tab w:val="left" w:pos="1980"/>
        </w:tabs>
        <w:ind w:left="1980" w:hanging="720"/>
      </w:pPr>
      <w:rPr>
        <w:rFonts w:ascii="SimHei" w:hAnsi="SimHei" w:eastAsia="黑体" w:cs="SimHei"/>
      </w:rPr>
    </w:lvl>
    <w:lvl w:ilvl="4" w:tentative="0">
      <w:start w:val="1"/>
      <w:numFmt w:val="decimal"/>
      <w:lvlText w:val="（%5）"/>
      <w:lvlJc w:val="left"/>
      <w:pPr>
        <w:tabs>
          <w:tab w:val="left" w:pos="0"/>
        </w:tabs>
        <w:ind w:left="737" w:hanging="737"/>
      </w:pPr>
      <w:rPr>
        <w:rFonts w:ascii="SimHei" w:hAnsi="SimHei" w:eastAsia="黑体" w:cs="SimHei"/>
        <w:b w:val="0"/>
      </w:r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4062D"/>
    <w:rsid w:val="602D4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SimHei" w:hAnsi="SimHei" w:eastAsia="黑体" w:cs="SimHei"/>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刘丹</dc:creator>
  <cp:lastModifiedBy>一叶知秋</cp:lastModifiedBy>
  <dcterms:modified xsi:type="dcterms:W3CDTF">2019-10-14T06:19:30Z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y fmtid="{D5CDD505-2E9C-101B-9397-08002B2CF9AE}" pid="3" name="KSOTemplateUUID">
    <vt:lpwstr>v1.0_mb_T248Z37qKfZ87j/wnIf1kA==</vt:lpwstr>
  </property>
</Properties>
</file>