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SimHei" w:hAnsi="SimHei" w:eastAsia="黑体" w:cs="SimHei"/>
          <w:b/>
          <w:sz w:val="28"/>
          <w:szCs w:val="28"/>
        </w:rPr>
      </w:pPr>
      <w:bookmarkStart w:id="0" w:name="_GoBack"/>
      <w:bookmarkEnd w:id="0"/>
      <w:r>
        <w:rPr>
          <w:rFonts w:ascii="SimHei" w:hAnsi="SimHei" w:eastAsia="黑体" w:cs="SimHei"/>
          <w:b/>
          <w:sz w:val="28"/>
          <w:szCs w:val="28"/>
        </w:rPr>
        <w:t>培训评估管理办法</w:t>
      </w:r>
    </w:p>
    <w:p>
      <w:pPr>
        <w:jc w:val="center"/>
        <w:rPr>
          <w:rFonts w:ascii="SimHei" w:hAnsi="SimHei" w:eastAsia="黑体" w:cs="SimHei"/>
          <w:b/>
          <w:sz w:val="28"/>
          <w:szCs w:val="28"/>
        </w:rPr>
      </w:pPr>
      <w:r>
        <w:rPr>
          <w:rFonts w:ascii="SimHei" w:hAnsi="SimHei" w:eastAsia="黑体" w:cs="SimHei"/>
          <w:b/>
          <w:sz w:val="28"/>
          <w:szCs w:val="28"/>
        </w:rPr>
        <w:t>(草案)</w:t>
      </w:r>
    </w:p>
    <w:p>
      <w:pPr>
        <w:spacing w:line="400" w:lineRule="exact"/>
        <w:rPr>
          <w:rFonts w:ascii="SimHei" w:hAnsi="SimHei" w:eastAsia="黑体" w:cs="SimHei"/>
          <w:b/>
          <w:szCs w:val="21"/>
        </w:rPr>
      </w:pPr>
      <w:r>
        <w:rPr>
          <w:rFonts w:ascii="SimHei" w:hAnsi="SimHei" w:eastAsia="黑体" w:cs="SimHei"/>
          <w:b/>
          <w:szCs w:val="21"/>
        </w:rPr>
        <w:t>1目的</w:t>
      </w:r>
    </w:p>
    <w:p>
      <w:pPr>
        <w:rPr>
          <w:rFonts w:ascii="SimHei" w:hAnsi="SimHei" w:eastAsia="黑体" w:cs="SimHei"/>
          <w:kern w:val="0"/>
          <w:szCs w:val="21"/>
        </w:rPr>
      </w:pPr>
      <w:r>
        <w:rPr>
          <w:rFonts w:ascii="SimHei" w:hAnsi="SimHei" w:eastAsia="黑体" w:cs="SimHei"/>
          <w:kern w:val="0"/>
          <w:szCs w:val="21"/>
        </w:rPr>
        <w:t>验证培训项目的作用与效果；利用评估所得数据以改进培训质量；对培训项目进程实现有效控制；帮助受训人员提高知识应用能力。</w:t>
      </w:r>
    </w:p>
    <w:p>
      <w:pPr>
        <w:spacing w:line="400" w:lineRule="exact"/>
        <w:rPr>
          <w:rFonts w:ascii="SimHei" w:hAnsi="SimHei" w:eastAsia="黑体" w:cs="SimHei"/>
          <w:b/>
          <w:szCs w:val="21"/>
        </w:rPr>
      </w:pPr>
      <w:r>
        <w:rPr>
          <w:rFonts w:ascii="SimHei" w:hAnsi="SimHei" w:eastAsia="黑体" w:cs="SimHei"/>
          <w:b/>
          <w:szCs w:val="21"/>
        </w:rPr>
        <w:t>2适用范围</w:t>
      </w:r>
    </w:p>
    <w:p>
      <w:pPr>
        <w:spacing w:line="400" w:lineRule="exact"/>
        <w:rPr>
          <w:rFonts w:ascii="SimHei" w:hAnsi="SimHei" w:eastAsia="黑体" w:cs="SimHei"/>
          <w:szCs w:val="21"/>
        </w:rPr>
      </w:pPr>
      <w:r>
        <w:rPr>
          <w:rFonts w:ascii="SimHei" w:hAnsi="SimHei" w:eastAsia="黑体" w:cs="SimHei"/>
          <w:szCs w:val="21"/>
        </w:rPr>
        <w:t>使用于公司范围内的所有培训活动</w:t>
      </w:r>
    </w:p>
    <w:p>
      <w:pPr>
        <w:spacing w:line="400" w:lineRule="exact"/>
        <w:rPr>
          <w:rFonts w:ascii="SimHei" w:hAnsi="SimHei" w:eastAsia="黑体" w:cs="SimHei"/>
          <w:b/>
          <w:szCs w:val="21"/>
        </w:rPr>
      </w:pPr>
      <w:r>
        <w:rPr>
          <w:rFonts w:ascii="SimHei" w:hAnsi="SimHei" w:eastAsia="黑体" w:cs="SimHei"/>
          <w:b/>
          <w:szCs w:val="21"/>
        </w:rPr>
        <w:t>3职责</w:t>
      </w:r>
    </w:p>
    <w:p>
      <w:pPr>
        <w:spacing w:line="400" w:lineRule="exact"/>
        <w:rPr>
          <w:rFonts w:ascii="SimHei" w:hAnsi="SimHei" w:eastAsia="黑体" w:cs="SimHei"/>
          <w:szCs w:val="21"/>
        </w:rPr>
      </w:pPr>
      <w:r>
        <w:rPr>
          <w:rFonts w:ascii="SimHei" w:hAnsi="SimHei" w:eastAsia="黑体" w:cs="SimHei"/>
          <w:szCs w:val="21"/>
        </w:rPr>
        <w:t>3.1分管人事副总</w:t>
      </w:r>
    </w:p>
    <w:p>
      <w:pPr>
        <w:spacing w:line="400" w:lineRule="exact"/>
        <w:rPr>
          <w:rFonts w:ascii="SimHei" w:hAnsi="SimHei" w:eastAsia="黑体" w:cs="SimHei"/>
          <w:szCs w:val="21"/>
        </w:rPr>
      </w:pPr>
      <w:r>
        <w:rPr>
          <w:rFonts w:ascii="SimHei" w:hAnsi="SimHei" w:eastAsia="黑体" w:cs="SimHei"/>
          <w:szCs w:val="21"/>
        </w:rPr>
        <w:t>全面负责公司培训效果的评估工作</w:t>
      </w:r>
    </w:p>
    <w:p>
      <w:pPr>
        <w:spacing w:line="400" w:lineRule="exact"/>
        <w:rPr>
          <w:rFonts w:ascii="SimHei" w:hAnsi="SimHei" w:eastAsia="黑体" w:cs="SimHei"/>
          <w:szCs w:val="21"/>
        </w:rPr>
      </w:pPr>
      <w:r>
        <w:rPr>
          <w:rFonts w:ascii="SimHei" w:hAnsi="SimHei" w:eastAsia="黑体" w:cs="SimHei"/>
          <w:szCs w:val="21"/>
        </w:rPr>
        <w:t>3.2行政人事经理</w:t>
      </w:r>
    </w:p>
    <w:p>
      <w:pPr>
        <w:spacing w:line="400" w:lineRule="exact"/>
        <w:rPr>
          <w:rFonts w:ascii="SimHei" w:hAnsi="SimHei" w:eastAsia="黑体" w:cs="SimHei"/>
          <w:szCs w:val="21"/>
        </w:rPr>
      </w:pPr>
      <w:r>
        <w:rPr>
          <w:rFonts w:ascii="SimHei" w:hAnsi="SimHei" w:eastAsia="黑体" w:cs="SimHei"/>
          <w:szCs w:val="21"/>
        </w:rPr>
        <w:t>负责公司培训效果评估工作的组织与审核</w:t>
      </w:r>
    </w:p>
    <w:p>
      <w:pPr>
        <w:spacing w:line="400" w:lineRule="exact"/>
        <w:rPr>
          <w:rFonts w:ascii="SimHei" w:hAnsi="SimHei" w:eastAsia="黑体" w:cs="SimHei"/>
          <w:szCs w:val="21"/>
        </w:rPr>
      </w:pPr>
      <w:r>
        <w:rPr>
          <w:rFonts w:ascii="SimHei" w:hAnsi="SimHei" w:eastAsia="黑体" w:cs="SimHei"/>
          <w:szCs w:val="21"/>
        </w:rPr>
        <w:t>3.3人力资源主管</w:t>
      </w:r>
    </w:p>
    <w:p>
      <w:pPr>
        <w:spacing w:line="400" w:lineRule="exact"/>
        <w:rPr>
          <w:rFonts w:ascii="SimHei" w:hAnsi="SimHei" w:eastAsia="黑体" w:cs="SimHei"/>
          <w:szCs w:val="21"/>
        </w:rPr>
      </w:pPr>
      <w:r>
        <w:rPr>
          <w:rFonts w:ascii="SimHei" w:hAnsi="SimHei" w:eastAsia="黑体" w:cs="SimHei"/>
          <w:szCs w:val="21"/>
        </w:rPr>
        <w:t>负责培训效果评估工作的具体实施</w:t>
      </w:r>
    </w:p>
    <w:p>
      <w:pPr>
        <w:spacing w:line="400" w:lineRule="exact"/>
        <w:rPr>
          <w:rFonts w:ascii="SimHei" w:hAnsi="SimHei" w:eastAsia="黑体" w:cs="SimHei"/>
          <w:szCs w:val="21"/>
        </w:rPr>
      </w:pPr>
      <w:r>
        <w:rPr>
          <w:rFonts w:ascii="SimHei" w:hAnsi="SimHei" w:eastAsia="黑体" w:cs="SimHei"/>
          <w:szCs w:val="21"/>
        </w:rPr>
        <w:t>3.4各级管理人员</w:t>
      </w:r>
    </w:p>
    <w:p>
      <w:pPr>
        <w:spacing w:line="400" w:lineRule="exact"/>
        <w:rPr>
          <w:rFonts w:ascii="SimHei" w:hAnsi="SimHei" w:eastAsia="黑体" w:cs="SimHei"/>
          <w:szCs w:val="21"/>
        </w:rPr>
      </w:pPr>
      <w:r>
        <w:rPr>
          <w:rFonts w:ascii="SimHei" w:hAnsi="SimHei" w:eastAsia="黑体" w:cs="SimHei"/>
          <w:szCs w:val="21"/>
        </w:rPr>
        <w:t>负责本部门开展的各项培训活动的效果评估</w:t>
      </w:r>
    </w:p>
    <w:p>
      <w:pPr>
        <w:spacing w:line="400" w:lineRule="exact"/>
        <w:rPr>
          <w:rFonts w:ascii="SimHei" w:hAnsi="SimHei" w:eastAsia="黑体" w:cs="SimHei"/>
          <w:b/>
          <w:szCs w:val="21"/>
        </w:rPr>
      </w:pPr>
      <w:r>
        <w:rPr>
          <w:rFonts w:ascii="SimHei" w:hAnsi="SimHei" w:eastAsia="黑体" w:cs="SimHei"/>
          <w:b/>
          <w:szCs w:val="21"/>
        </w:rPr>
        <w:t>4培训评估类型</w:t>
      </w:r>
    </w:p>
    <w:p>
      <w:pPr>
        <w:spacing w:line="400" w:lineRule="exact"/>
        <w:rPr>
          <w:rFonts w:ascii="SimHei" w:hAnsi="SimHei" w:eastAsia="黑体" w:cs="SimHei"/>
          <w:szCs w:val="21"/>
        </w:rPr>
      </w:pPr>
      <w:r>
        <w:rPr>
          <w:rFonts w:ascii="SimHei" w:hAnsi="SimHei" w:eastAsia="黑体" w:cs="SimHei"/>
          <w:szCs w:val="21"/>
        </w:rPr>
        <w:t>4.1反应层评估（一级评估）</w:t>
      </w:r>
    </w:p>
    <w:p>
      <w:pPr>
        <w:spacing w:line="400" w:lineRule="exact"/>
        <w:rPr>
          <w:rFonts w:ascii="SimHei" w:hAnsi="SimHei" w:eastAsia="黑体" w:cs="SimHei"/>
          <w:szCs w:val="21"/>
          <w:shd w:val="pct10" w:color="auto" w:fill="FFFFFF"/>
        </w:rPr>
      </w:pPr>
      <w:r>
        <w:rPr>
          <w:rFonts w:ascii="SimHei" w:hAnsi="SimHei" w:eastAsia="黑体" w:cs="SimHei"/>
          <w:szCs w:val="21"/>
        </w:rPr>
        <w:t>课程结束后通过调查问卷等方式对受训人员对培训项目的看法，包括对材料、老师、设施、方法和内容等等的看法</w:t>
      </w:r>
    </w:p>
    <w:p>
      <w:pPr>
        <w:spacing w:line="400" w:lineRule="exact"/>
        <w:rPr>
          <w:rFonts w:ascii="SimHei" w:hAnsi="SimHei" w:eastAsia="黑体" w:cs="SimHei"/>
          <w:szCs w:val="21"/>
        </w:rPr>
      </w:pPr>
      <w:r>
        <w:rPr>
          <w:rFonts w:ascii="SimHei" w:hAnsi="SimHei" w:eastAsia="黑体" w:cs="SimHei"/>
          <w:szCs w:val="21"/>
        </w:rPr>
        <w:t>4.2学习层评估（二级评估）</w:t>
      </w:r>
    </w:p>
    <w:p>
      <w:pPr>
        <w:spacing w:line="400" w:lineRule="exact"/>
        <w:rPr>
          <w:rFonts w:ascii="SimHei" w:hAnsi="SimHei" w:eastAsia="黑体" w:cs="SimHei"/>
          <w:szCs w:val="21"/>
        </w:rPr>
      </w:pPr>
      <w:r>
        <w:rPr>
          <w:rFonts w:ascii="SimHei" w:hAnsi="SimHei" w:eastAsia="黑体" w:cs="SimHei"/>
          <w:szCs w:val="21"/>
        </w:rPr>
        <w:t>培训结束后通过笔试、技能操作、工作模拟的方式对受训人员知识掌握的程度进行评估。是测量受训人员对原理、事实、技术和技能的掌握程度</w:t>
      </w:r>
    </w:p>
    <w:p>
      <w:pPr>
        <w:spacing w:line="400" w:lineRule="exact"/>
        <w:rPr>
          <w:rFonts w:ascii="SimHei" w:hAnsi="SimHei" w:eastAsia="黑体" w:cs="SimHei"/>
          <w:szCs w:val="21"/>
        </w:rPr>
      </w:pPr>
      <w:r>
        <w:rPr>
          <w:rFonts w:ascii="SimHei" w:hAnsi="SimHei" w:eastAsia="黑体" w:cs="SimHei"/>
          <w:szCs w:val="21"/>
        </w:rPr>
        <w:t>4.3行为评估（三级评估）</w:t>
      </w:r>
    </w:p>
    <w:p>
      <w:pPr>
        <w:spacing w:line="400" w:lineRule="exact"/>
        <w:rPr>
          <w:rFonts w:ascii="SimHei" w:hAnsi="SimHei" w:eastAsia="黑体" w:cs="SimHei"/>
          <w:szCs w:val="21"/>
        </w:rPr>
      </w:pPr>
      <w:r>
        <w:rPr>
          <w:rFonts w:ascii="SimHei" w:hAnsi="SimHei" w:eastAsia="黑体" w:cs="SimHei"/>
          <w:szCs w:val="21"/>
        </w:rPr>
        <w:t>培训结束后一段时间，由上级、同事或者客户观察受训人员是否在工作中运用培训中学习到的知识（行为在培训前后是否有差别）</w:t>
      </w:r>
    </w:p>
    <w:p>
      <w:pPr>
        <w:spacing w:line="400" w:lineRule="exact"/>
        <w:rPr>
          <w:rFonts w:ascii="SimHei" w:hAnsi="SimHei" w:eastAsia="黑体" w:cs="SimHei"/>
          <w:szCs w:val="21"/>
        </w:rPr>
      </w:pPr>
      <w:r>
        <w:rPr>
          <w:rFonts w:ascii="SimHei" w:hAnsi="SimHei" w:eastAsia="黑体" w:cs="SimHei"/>
          <w:szCs w:val="21"/>
        </w:rPr>
        <w:t>4.4结果层评估（四级评估）</w:t>
      </w:r>
    </w:p>
    <w:p>
      <w:pPr>
        <w:spacing w:line="400" w:lineRule="exact"/>
        <w:rPr>
          <w:rFonts w:ascii="SimHei" w:hAnsi="SimHei" w:eastAsia="黑体" w:cs="SimHei"/>
          <w:szCs w:val="21"/>
        </w:rPr>
      </w:pPr>
      <w:r>
        <w:rPr>
          <w:rFonts w:ascii="SimHei" w:hAnsi="SimHei" w:eastAsia="黑体" w:cs="SimHei"/>
          <w:szCs w:val="21"/>
        </w:rPr>
        <w:t>培训活动结束后通过对员工流失率、销售业绩、员工士气、客户满意度等进行有效的评价，确定培训活动对组织的影响是否积极的，组织是否因为培训而经营的更加的顺畅更好或取得更好的业绩。</w:t>
      </w:r>
    </w:p>
    <w:p>
      <w:pPr>
        <w:spacing w:line="400" w:lineRule="exact"/>
        <w:rPr>
          <w:rFonts w:ascii="SimHei" w:hAnsi="SimHei" w:eastAsia="黑体" w:cs="SimHei"/>
          <w:kern w:val="0"/>
          <w:szCs w:val="21"/>
        </w:rPr>
      </w:pPr>
      <w:r>
        <w:rPr>
          <w:rFonts w:ascii="SimHei" w:hAnsi="SimHei" w:eastAsia="黑体" w:cs="SimHei"/>
          <w:szCs w:val="21"/>
        </w:rPr>
        <w:t>4.5</w:t>
      </w:r>
      <w:r>
        <w:rPr>
          <w:rFonts w:ascii="SimHei" w:hAnsi="SimHei" w:eastAsia="黑体" w:cs="SimHei"/>
          <w:kern w:val="0"/>
          <w:szCs w:val="21"/>
        </w:rPr>
        <w:t>不同培训评估级别的主要目的、涉及的主要问题和采用的衡量方法如下表所示</w:t>
      </w:r>
    </w:p>
    <w:tbl>
      <w:tblPr>
        <w:tblStyle w:val="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8"/>
        <w:gridCol w:w="1780"/>
        <w:gridCol w:w="3240"/>
        <w:gridCol w:w="21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jc w:val="center"/>
        </w:trPr>
        <w:tc>
          <w:tcPr>
            <w:tcW w:w="1388" w:type="dxa"/>
            <w:noWrap w:val="0"/>
            <w:vAlign w:val="top"/>
          </w:tcPr>
          <w:p>
            <w:pPr>
              <w:widowControl/>
              <w:spacing w:line="360" w:lineRule="auto"/>
              <w:jc w:val="center"/>
              <w:rPr>
                <w:rFonts w:ascii="SimHei" w:hAnsi="SimHei" w:eastAsia="黑体" w:cs="SimHei"/>
                <w:b/>
                <w:kern w:val="0"/>
                <w:szCs w:val="21"/>
              </w:rPr>
            </w:pPr>
            <w:r>
              <w:rPr>
                <w:rFonts w:ascii="SimHei" w:hAnsi="SimHei" w:eastAsia="黑体" w:cs="SimHei"/>
                <w:b/>
                <w:kern w:val="0"/>
                <w:szCs w:val="21"/>
              </w:rPr>
              <w:t>评估级别</w:t>
            </w:r>
          </w:p>
        </w:tc>
        <w:tc>
          <w:tcPr>
            <w:tcW w:w="1780" w:type="dxa"/>
            <w:noWrap w:val="0"/>
            <w:vAlign w:val="top"/>
          </w:tcPr>
          <w:p>
            <w:pPr>
              <w:widowControl/>
              <w:spacing w:line="360" w:lineRule="auto"/>
              <w:jc w:val="center"/>
              <w:rPr>
                <w:rFonts w:ascii="SimHei" w:hAnsi="SimHei" w:eastAsia="黑体" w:cs="SimHei"/>
                <w:b/>
                <w:kern w:val="0"/>
                <w:szCs w:val="21"/>
              </w:rPr>
            </w:pPr>
            <w:r>
              <w:rPr>
                <w:rFonts w:ascii="SimHei" w:hAnsi="SimHei" w:eastAsia="黑体" w:cs="SimHei"/>
                <w:b/>
                <w:kern w:val="0"/>
                <w:szCs w:val="21"/>
              </w:rPr>
              <w:t>主要目的</w:t>
            </w:r>
          </w:p>
        </w:tc>
        <w:tc>
          <w:tcPr>
            <w:tcW w:w="3240" w:type="dxa"/>
            <w:noWrap w:val="0"/>
            <w:vAlign w:val="top"/>
          </w:tcPr>
          <w:p>
            <w:pPr>
              <w:widowControl/>
              <w:spacing w:line="360" w:lineRule="auto"/>
              <w:jc w:val="center"/>
              <w:rPr>
                <w:rFonts w:ascii="SimHei" w:hAnsi="SimHei" w:eastAsia="黑体" w:cs="SimHei"/>
                <w:b/>
                <w:kern w:val="0"/>
                <w:szCs w:val="21"/>
              </w:rPr>
            </w:pPr>
            <w:r>
              <w:rPr>
                <w:rFonts w:ascii="SimHei" w:hAnsi="SimHei" w:eastAsia="黑体" w:cs="SimHei"/>
                <w:b/>
                <w:kern w:val="0"/>
                <w:szCs w:val="21"/>
              </w:rPr>
              <w:t>涉及的主要问题</w:t>
            </w:r>
          </w:p>
        </w:tc>
        <w:tc>
          <w:tcPr>
            <w:tcW w:w="2114" w:type="dxa"/>
            <w:noWrap w:val="0"/>
            <w:vAlign w:val="top"/>
          </w:tcPr>
          <w:p>
            <w:pPr>
              <w:widowControl/>
              <w:spacing w:line="360" w:lineRule="auto"/>
              <w:jc w:val="center"/>
              <w:rPr>
                <w:rFonts w:ascii="SimHei" w:hAnsi="SimHei" w:eastAsia="黑体" w:cs="SimHei"/>
                <w:b/>
                <w:kern w:val="0"/>
                <w:szCs w:val="21"/>
              </w:rPr>
            </w:pPr>
            <w:r>
              <w:rPr>
                <w:rFonts w:ascii="SimHei" w:hAnsi="SimHei" w:eastAsia="黑体" w:cs="SimHei"/>
                <w:b/>
                <w:kern w:val="0"/>
                <w:szCs w:val="21"/>
              </w:rPr>
              <w:t>衡量方法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jc w:val="center"/>
        </w:trPr>
        <w:tc>
          <w:tcPr>
            <w:tcW w:w="1388" w:type="dxa"/>
            <w:noWrap w:val="0"/>
            <w:vAlign w:val="center"/>
          </w:tcPr>
          <w:p>
            <w:pPr>
              <w:widowControl/>
              <w:spacing w:line="360" w:lineRule="auto"/>
              <w:rPr>
                <w:rFonts w:ascii="SimHei" w:hAnsi="SimHei" w:eastAsia="黑体" w:cs="SimHei"/>
                <w:kern w:val="0"/>
                <w:szCs w:val="21"/>
              </w:rPr>
            </w:pPr>
            <w:r>
              <w:rPr>
                <w:rFonts w:ascii="SimHei" w:hAnsi="SimHei" w:eastAsia="黑体" w:cs="SimHei"/>
                <w:kern w:val="0"/>
                <w:szCs w:val="21"/>
              </w:rPr>
              <w:t>一级评估：反应层评估</w:t>
            </w:r>
          </w:p>
        </w:tc>
        <w:tc>
          <w:tcPr>
            <w:tcW w:w="1780" w:type="dxa"/>
            <w:noWrap w:val="0"/>
            <w:vAlign w:val="center"/>
          </w:tcPr>
          <w:p>
            <w:pPr>
              <w:widowControl/>
              <w:spacing w:line="360" w:lineRule="auto"/>
              <w:rPr>
                <w:rFonts w:ascii="SimHei" w:hAnsi="SimHei" w:eastAsia="黑体" w:cs="SimHei"/>
                <w:kern w:val="0"/>
                <w:szCs w:val="21"/>
              </w:rPr>
            </w:pPr>
            <w:r>
              <w:rPr>
                <w:rFonts w:ascii="SimHei" w:hAnsi="SimHei" w:eastAsia="黑体" w:cs="SimHei"/>
                <w:kern w:val="0"/>
                <w:szCs w:val="21"/>
              </w:rPr>
              <w:t>衡量受训者对培训项目的评价。</w:t>
            </w:r>
          </w:p>
        </w:tc>
        <w:tc>
          <w:tcPr>
            <w:tcW w:w="3240" w:type="dxa"/>
            <w:noWrap w:val="0"/>
            <w:vAlign w:val="top"/>
          </w:tcPr>
          <w:p>
            <w:pPr>
              <w:widowControl/>
              <w:spacing w:line="360" w:lineRule="auto"/>
              <w:rPr>
                <w:rFonts w:ascii="SimHei" w:hAnsi="SimHei" w:eastAsia="黑体" w:cs="SimHei"/>
                <w:kern w:val="0"/>
                <w:szCs w:val="21"/>
              </w:rPr>
            </w:pPr>
            <w:r>
              <w:rPr>
                <w:rFonts w:ascii="SimHei" w:hAnsi="SimHei" w:eastAsia="黑体" w:cs="SimHei"/>
                <w:kern w:val="0"/>
                <w:szCs w:val="21"/>
              </w:rPr>
              <w:t>受训者对该培训课程的认可?</w:t>
            </w:r>
          </w:p>
          <w:p>
            <w:pPr>
              <w:widowControl/>
              <w:spacing w:line="360" w:lineRule="auto"/>
              <w:rPr>
                <w:rFonts w:ascii="SimHei" w:hAnsi="SimHei" w:eastAsia="黑体" w:cs="SimHei"/>
                <w:kern w:val="0"/>
                <w:szCs w:val="21"/>
              </w:rPr>
            </w:pPr>
            <w:r>
              <w:rPr>
                <w:rFonts w:ascii="SimHei" w:hAnsi="SimHei" w:eastAsia="黑体" w:cs="SimHei"/>
                <w:kern w:val="0"/>
                <w:szCs w:val="21"/>
              </w:rPr>
              <w:t>课程对学员自身有用否？</w:t>
            </w:r>
          </w:p>
          <w:p>
            <w:pPr>
              <w:widowControl/>
              <w:spacing w:line="360" w:lineRule="auto"/>
              <w:rPr>
                <w:rFonts w:ascii="SimHei" w:hAnsi="SimHei" w:eastAsia="黑体" w:cs="SimHei"/>
                <w:kern w:val="0"/>
                <w:szCs w:val="21"/>
              </w:rPr>
            </w:pPr>
            <w:r>
              <w:rPr>
                <w:rFonts w:ascii="SimHei" w:hAnsi="SimHei" w:eastAsia="黑体" w:cs="SimHei"/>
                <w:kern w:val="0"/>
                <w:szCs w:val="21"/>
              </w:rPr>
              <w:t>学员对培训讲师及培训设施等有何意见？</w:t>
            </w:r>
          </w:p>
        </w:tc>
        <w:tc>
          <w:tcPr>
            <w:tcW w:w="2114" w:type="dxa"/>
            <w:noWrap w:val="0"/>
            <w:vAlign w:val="top"/>
          </w:tcPr>
          <w:p>
            <w:pPr>
              <w:widowControl/>
              <w:spacing w:line="360" w:lineRule="auto"/>
              <w:rPr>
                <w:rFonts w:ascii="SimHei" w:hAnsi="SimHei" w:eastAsia="黑体" w:cs="SimHei"/>
                <w:kern w:val="0"/>
                <w:szCs w:val="21"/>
              </w:rPr>
            </w:pPr>
            <w:r>
              <w:rPr>
                <w:rFonts w:ascii="SimHei" w:hAnsi="SimHei" w:eastAsia="黑体" w:cs="SimHei"/>
                <w:kern w:val="0"/>
                <w:szCs w:val="21"/>
              </w:rPr>
              <w:t>培训签到表、培训效果评估表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jc w:val="center"/>
        </w:trPr>
        <w:tc>
          <w:tcPr>
            <w:tcW w:w="1388" w:type="dxa"/>
            <w:noWrap w:val="0"/>
            <w:vAlign w:val="center"/>
          </w:tcPr>
          <w:p>
            <w:pPr>
              <w:widowControl/>
              <w:spacing w:line="360" w:lineRule="auto"/>
              <w:rPr>
                <w:rFonts w:ascii="SimHei" w:hAnsi="SimHei" w:eastAsia="黑体" w:cs="SimHei"/>
                <w:kern w:val="0"/>
                <w:szCs w:val="21"/>
              </w:rPr>
            </w:pPr>
            <w:r>
              <w:rPr>
                <w:rFonts w:ascii="SimHei" w:hAnsi="SimHei" w:eastAsia="黑体" w:cs="SimHei"/>
                <w:kern w:val="0"/>
                <w:szCs w:val="21"/>
              </w:rPr>
              <w:t>二级评估：学习层评估</w:t>
            </w:r>
          </w:p>
        </w:tc>
        <w:tc>
          <w:tcPr>
            <w:tcW w:w="1780" w:type="dxa"/>
            <w:noWrap w:val="0"/>
            <w:vAlign w:val="center"/>
          </w:tcPr>
          <w:p>
            <w:pPr>
              <w:widowControl/>
              <w:spacing w:line="360" w:lineRule="auto"/>
              <w:rPr>
                <w:rFonts w:ascii="SimHei" w:hAnsi="SimHei" w:eastAsia="黑体" w:cs="SimHei"/>
                <w:kern w:val="0"/>
                <w:szCs w:val="21"/>
              </w:rPr>
            </w:pPr>
            <w:r>
              <w:rPr>
                <w:rFonts w:ascii="SimHei" w:hAnsi="SimHei" w:eastAsia="黑体" w:cs="SimHei"/>
                <w:kern w:val="0"/>
                <w:szCs w:val="21"/>
              </w:rPr>
              <w:t>衡量受训者对原理、事实、技术和技能的获取程度。</w:t>
            </w:r>
          </w:p>
        </w:tc>
        <w:tc>
          <w:tcPr>
            <w:tcW w:w="3240" w:type="dxa"/>
            <w:noWrap w:val="0"/>
            <w:vAlign w:val="top"/>
          </w:tcPr>
          <w:p>
            <w:pPr>
              <w:widowControl/>
              <w:spacing w:line="360" w:lineRule="auto"/>
              <w:rPr>
                <w:rFonts w:ascii="SimHei" w:hAnsi="SimHei" w:eastAsia="黑体" w:cs="SimHei"/>
                <w:kern w:val="0"/>
                <w:szCs w:val="21"/>
              </w:rPr>
            </w:pPr>
            <w:r>
              <w:rPr>
                <w:rFonts w:ascii="SimHei" w:hAnsi="SimHei" w:eastAsia="黑体" w:cs="SimHei"/>
                <w:kern w:val="0"/>
                <w:szCs w:val="21"/>
              </w:rPr>
              <w:t>检查学员的学习结果受训者在培训项目中学到了什么?</w:t>
            </w:r>
          </w:p>
          <w:p>
            <w:pPr>
              <w:widowControl/>
              <w:spacing w:line="360" w:lineRule="auto"/>
              <w:rPr>
                <w:rFonts w:ascii="SimHei" w:hAnsi="SimHei" w:eastAsia="黑体" w:cs="SimHei"/>
                <w:kern w:val="0"/>
                <w:szCs w:val="21"/>
              </w:rPr>
            </w:pPr>
            <w:r>
              <w:rPr>
                <w:rFonts w:ascii="SimHei" w:hAnsi="SimHei" w:eastAsia="黑体" w:cs="SimHei"/>
                <w:kern w:val="0"/>
                <w:szCs w:val="21"/>
              </w:rPr>
              <w:t>培训前后，受训者知识及技能方面有多大程度的提高？</w:t>
            </w:r>
          </w:p>
        </w:tc>
        <w:tc>
          <w:tcPr>
            <w:tcW w:w="2114" w:type="dxa"/>
            <w:noWrap w:val="0"/>
            <w:vAlign w:val="top"/>
          </w:tcPr>
          <w:p>
            <w:pPr>
              <w:widowControl/>
              <w:spacing w:line="360" w:lineRule="auto"/>
              <w:rPr>
                <w:rFonts w:ascii="SimHei" w:hAnsi="SimHei" w:eastAsia="黑体" w:cs="SimHei"/>
                <w:kern w:val="0"/>
                <w:szCs w:val="21"/>
              </w:rPr>
            </w:pPr>
            <w:r>
              <w:rPr>
                <w:rFonts w:ascii="SimHei" w:hAnsi="SimHei" w:eastAsia="黑体" w:cs="SimHei"/>
                <w:kern w:val="0"/>
                <w:szCs w:val="21"/>
              </w:rPr>
              <w:t>课程相关试题、心得报告、案例研究、技能操练、工作模拟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jc w:val="center"/>
        </w:trPr>
        <w:tc>
          <w:tcPr>
            <w:tcW w:w="1388" w:type="dxa"/>
            <w:noWrap w:val="0"/>
            <w:vAlign w:val="center"/>
          </w:tcPr>
          <w:p>
            <w:pPr>
              <w:widowControl/>
              <w:spacing w:line="360" w:lineRule="auto"/>
              <w:rPr>
                <w:rFonts w:ascii="SimHei" w:hAnsi="SimHei" w:eastAsia="黑体" w:cs="SimHei"/>
                <w:kern w:val="0"/>
                <w:szCs w:val="21"/>
              </w:rPr>
            </w:pPr>
            <w:r>
              <w:rPr>
                <w:rFonts w:ascii="SimHei" w:hAnsi="SimHei" w:eastAsia="黑体" w:cs="SimHei"/>
                <w:kern w:val="0"/>
                <w:szCs w:val="21"/>
              </w:rPr>
              <w:t>三级评估：行为层评估</w:t>
            </w:r>
          </w:p>
        </w:tc>
        <w:tc>
          <w:tcPr>
            <w:tcW w:w="1780" w:type="dxa"/>
            <w:noWrap w:val="0"/>
            <w:vAlign w:val="center"/>
          </w:tcPr>
          <w:p>
            <w:pPr>
              <w:widowControl/>
              <w:spacing w:line="360" w:lineRule="auto"/>
              <w:rPr>
                <w:rFonts w:ascii="SimHei" w:hAnsi="SimHei" w:eastAsia="黑体" w:cs="SimHei"/>
                <w:kern w:val="0"/>
                <w:szCs w:val="21"/>
              </w:rPr>
            </w:pPr>
            <w:r>
              <w:rPr>
                <w:rFonts w:ascii="SimHei" w:hAnsi="SimHei" w:eastAsia="黑体" w:cs="SimHei"/>
                <w:kern w:val="0"/>
                <w:szCs w:val="21"/>
              </w:rPr>
              <w:t>衡量受训者在培训项目中所学习的技能和知识的转化程度。</w:t>
            </w:r>
          </w:p>
        </w:tc>
        <w:tc>
          <w:tcPr>
            <w:tcW w:w="3240" w:type="dxa"/>
            <w:noWrap w:val="0"/>
            <w:vAlign w:val="top"/>
          </w:tcPr>
          <w:p>
            <w:pPr>
              <w:widowControl/>
              <w:spacing w:line="360" w:lineRule="auto"/>
              <w:rPr>
                <w:rFonts w:ascii="SimHei" w:hAnsi="SimHei" w:eastAsia="黑体" w:cs="SimHei"/>
                <w:kern w:val="0"/>
                <w:szCs w:val="21"/>
              </w:rPr>
            </w:pPr>
            <w:r>
              <w:rPr>
                <w:rFonts w:ascii="SimHei" w:hAnsi="SimHei" w:eastAsia="黑体" w:cs="SimHei"/>
                <w:kern w:val="0"/>
                <w:szCs w:val="21"/>
              </w:rPr>
              <w:t>衡量培训前后的工作表现受训者在学习的基础上有没有行为改变?</w:t>
            </w:r>
          </w:p>
          <w:p>
            <w:pPr>
              <w:widowControl/>
              <w:spacing w:line="360" w:lineRule="auto"/>
              <w:rPr>
                <w:rFonts w:ascii="SimHei" w:hAnsi="SimHei" w:eastAsia="黑体" w:cs="SimHei"/>
                <w:kern w:val="0"/>
                <w:szCs w:val="21"/>
              </w:rPr>
            </w:pPr>
            <w:r>
              <w:rPr>
                <w:rFonts w:ascii="SimHei" w:hAnsi="SimHei" w:eastAsia="黑体" w:cs="SimHei"/>
                <w:kern w:val="0"/>
                <w:szCs w:val="21"/>
              </w:rPr>
              <w:t>受训者在工作中是否用到培训所学到的知识？</w:t>
            </w:r>
          </w:p>
        </w:tc>
        <w:tc>
          <w:tcPr>
            <w:tcW w:w="2114" w:type="dxa"/>
            <w:noWrap w:val="0"/>
            <w:vAlign w:val="top"/>
          </w:tcPr>
          <w:p>
            <w:pPr>
              <w:widowControl/>
              <w:spacing w:line="360" w:lineRule="auto"/>
              <w:rPr>
                <w:rFonts w:ascii="SimHei" w:hAnsi="SimHei" w:eastAsia="黑体" w:cs="SimHei"/>
                <w:kern w:val="0"/>
                <w:szCs w:val="21"/>
              </w:rPr>
            </w:pPr>
            <w:r>
              <w:rPr>
                <w:rFonts w:ascii="SimHei" w:hAnsi="SimHei" w:eastAsia="黑体" w:cs="SimHei"/>
                <w:kern w:val="0"/>
                <w:szCs w:val="21"/>
              </w:rPr>
              <w:t>《培训改善行动计划表》（由上级、同事、客户、下属进行绩效考核、测试、观察和绩效记录）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jc w:val="center"/>
        </w:trPr>
        <w:tc>
          <w:tcPr>
            <w:tcW w:w="1388" w:type="dxa"/>
            <w:noWrap w:val="0"/>
            <w:vAlign w:val="center"/>
          </w:tcPr>
          <w:p>
            <w:pPr>
              <w:widowControl/>
              <w:spacing w:line="360" w:lineRule="auto"/>
              <w:rPr>
                <w:rFonts w:ascii="SimHei" w:hAnsi="SimHei" w:eastAsia="黑体" w:cs="SimHei"/>
                <w:kern w:val="0"/>
                <w:szCs w:val="21"/>
              </w:rPr>
            </w:pPr>
            <w:r>
              <w:rPr>
                <w:rFonts w:ascii="SimHei" w:hAnsi="SimHei" w:eastAsia="黑体" w:cs="SimHei"/>
                <w:kern w:val="0"/>
                <w:szCs w:val="21"/>
              </w:rPr>
              <w:t>四级评估：结果层评估</w:t>
            </w:r>
          </w:p>
        </w:tc>
        <w:tc>
          <w:tcPr>
            <w:tcW w:w="1780" w:type="dxa"/>
            <w:noWrap w:val="0"/>
            <w:vAlign w:val="center"/>
          </w:tcPr>
          <w:p>
            <w:pPr>
              <w:widowControl/>
              <w:spacing w:line="360" w:lineRule="auto"/>
              <w:rPr>
                <w:rFonts w:ascii="SimHei" w:hAnsi="SimHei" w:eastAsia="黑体" w:cs="SimHei"/>
                <w:kern w:val="0"/>
                <w:szCs w:val="21"/>
              </w:rPr>
            </w:pPr>
            <w:r>
              <w:rPr>
                <w:rFonts w:ascii="SimHei" w:hAnsi="SimHei" w:eastAsia="黑体" w:cs="SimHei"/>
                <w:kern w:val="0"/>
                <w:szCs w:val="21"/>
              </w:rPr>
              <w:t>衡量公司经营业绩的变化。</w:t>
            </w:r>
          </w:p>
        </w:tc>
        <w:tc>
          <w:tcPr>
            <w:tcW w:w="3240" w:type="dxa"/>
            <w:noWrap w:val="0"/>
            <w:vAlign w:val="top"/>
          </w:tcPr>
          <w:p>
            <w:pPr>
              <w:widowControl/>
              <w:spacing w:line="360" w:lineRule="auto"/>
              <w:rPr>
                <w:rFonts w:ascii="SimHei" w:hAnsi="SimHei" w:eastAsia="黑体" w:cs="SimHei"/>
                <w:kern w:val="0"/>
                <w:szCs w:val="21"/>
              </w:rPr>
            </w:pPr>
            <w:r>
              <w:rPr>
                <w:rFonts w:ascii="SimHei" w:hAnsi="SimHei" w:eastAsia="黑体" w:cs="SimHei"/>
                <w:kern w:val="0"/>
                <w:szCs w:val="21"/>
              </w:rPr>
              <w:t>行为的改变对组织的影响是不是积极的?</w:t>
            </w:r>
          </w:p>
          <w:p>
            <w:pPr>
              <w:widowControl/>
              <w:spacing w:line="360" w:lineRule="auto"/>
              <w:rPr>
                <w:rFonts w:ascii="SimHei" w:hAnsi="SimHei" w:eastAsia="黑体" w:cs="SimHei"/>
                <w:kern w:val="0"/>
                <w:szCs w:val="21"/>
              </w:rPr>
            </w:pPr>
            <w:r>
              <w:rPr>
                <w:rFonts w:ascii="SimHei" w:hAnsi="SimHei" w:eastAsia="黑体" w:cs="SimHei"/>
                <w:kern w:val="0"/>
                <w:szCs w:val="21"/>
              </w:rPr>
              <w:t>组织是否因为培训而经营的更顺心更好？</w:t>
            </w:r>
          </w:p>
          <w:p>
            <w:pPr>
              <w:widowControl/>
              <w:spacing w:line="360" w:lineRule="auto"/>
              <w:rPr>
                <w:rFonts w:ascii="SimHei" w:hAnsi="SimHei" w:eastAsia="黑体" w:cs="SimHei"/>
                <w:kern w:val="0"/>
                <w:szCs w:val="21"/>
              </w:rPr>
            </w:pPr>
            <w:r>
              <w:rPr>
                <w:rFonts w:ascii="SimHei" w:hAnsi="SimHei" w:eastAsia="黑体" w:cs="SimHei"/>
                <w:kern w:val="0"/>
                <w:szCs w:val="21"/>
              </w:rPr>
              <w:t>员工流动率、销售业绩、员工士气、客户满意度等指标的变化</w:t>
            </w:r>
          </w:p>
        </w:tc>
        <w:tc>
          <w:tcPr>
            <w:tcW w:w="2114" w:type="dxa"/>
            <w:noWrap w:val="0"/>
            <w:vAlign w:val="top"/>
          </w:tcPr>
          <w:p>
            <w:pPr>
              <w:widowControl/>
              <w:spacing w:line="360" w:lineRule="auto"/>
              <w:rPr>
                <w:rFonts w:ascii="SimHei" w:hAnsi="SimHei" w:eastAsia="黑体" w:cs="SimHei"/>
                <w:kern w:val="0"/>
                <w:szCs w:val="21"/>
              </w:rPr>
            </w:pPr>
            <w:r>
              <w:rPr>
                <w:rFonts w:ascii="SimHei" w:hAnsi="SimHei" w:eastAsia="黑体" w:cs="SimHei"/>
                <w:kern w:val="0"/>
                <w:szCs w:val="21"/>
              </w:rPr>
              <w:t>考虑到公司培训工作现状，暂不推行</w:t>
            </w:r>
          </w:p>
        </w:tc>
      </w:tr>
    </w:tbl>
    <w:p>
      <w:pPr>
        <w:spacing w:line="400" w:lineRule="exact"/>
        <w:rPr>
          <w:rFonts w:ascii="SimHei" w:hAnsi="SimHei" w:eastAsia="黑体" w:cs="SimHei"/>
          <w:b/>
        </w:rPr>
      </w:pPr>
      <w:r>
        <w:rPr>
          <w:rFonts w:ascii="SimHei" w:hAnsi="SimHei" w:eastAsia="黑体" w:cs="SimHei"/>
          <w:b/>
        </w:rPr>
        <w:t>4.6培训活动所对应评估类型</w:t>
      </w:r>
    </w:p>
    <w:p>
      <w:pPr>
        <w:widowControl/>
        <w:spacing w:line="360" w:lineRule="auto"/>
        <w:rPr>
          <w:rFonts w:ascii="SimHei" w:hAnsi="SimHei" w:eastAsia="黑体" w:cs="SimHei"/>
          <w:kern w:val="0"/>
          <w:szCs w:val="21"/>
        </w:rPr>
      </w:pPr>
      <w:r>
        <w:rPr>
          <w:rFonts w:ascii="SimHei" w:hAnsi="SimHei" w:eastAsia="黑体" w:cs="SimHei"/>
          <w:kern w:val="0"/>
          <w:szCs w:val="21"/>
        </w:rPr>
        <w:t>根据公司实际状况，综合考虑各种因素，对于不同的培训类型采用不同的评估级别与方式</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9"/>
        <w:gridCol w:w="1205"/>
        <w:gridCol w:w="1063"/>
        <w:gridCol w:w="1239"/>
        <w:gridCol w:w="2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jc w:val="center"/>
        </w:trPr>
        <w:tc>
          <w:tcPr>
            <w:tcW w:w="2384" w:type="dxa"/>
            <w:noWrap w:val="0"/>
            <w:vAlign w:val="center"/>
          </w:tcPr>
          <w:p>
            <w:pPr>
              <w:widowControl/>
              <w:spacing w:line="360" w:lineRule="auto"/>
              <w:jc w:val="center"/>
              <w:rPr>
                <w:rFonts w:ascii="SimHei" w:hAnsi="SimHei" w:eastAsia="黑体" w:cs="SimHei"/>
                <w:b/>
                <w:kern w:val="0"/>
                <w:szCs w:val="21"/>
              </w:rPr>
            </w:pPr>
            <w:r>
              <w:rPr>
                <w:rFonts w:ascii="SimHei" w:hAnsi="SimHei" w:eastAsia="黑体" w:cs="SimHei"/>
                <w:b/>
                <w:kern w:val="0"/>
                <w:szCs w:val="21"/>
              </w:rPr>
              <w:t>培训类型</w:t>
            </w:r>
          </w:p>
        </w:tc>
        <w:tc>
          <w:tcPr>
            <w:tcW w:w="1225" w:type="dxa"/>
            <w:noWrap w:val="0"/>
            <w:vAlign w:val="center"/>
          </w:tcPr>
          <w:p>
            <w:pPr>
              <w:widowControl/>
              <w:spacing w:line="360" w:lineRule="auto"/>
              <w:jc w:val="center"/>
              <w:rPr>
                <w:rFonts w:ascii="SimHei" w:hAnsi="SimHei" w:eastAsia="黑体" w:cs="SimHei"/>
                <w:b/>
                <w:kern w:val="0"/>
                <w:szCs w:val="21"/>
              </w:rPr>
            </w:pPr>
            <w:r>
              <w:rPr>
                <w:rFonts w:ascii="SimHei" w:hAnsi="SimHei" w:eastAsia="黑体" w:cs="SimHei"/>
                <w:b/>
                <w:kern w:val="0"/>
                <w:szCs w:val="21"/>
              </w:rPr>
              <w:t>一级评估</w:t>
            </w:r>
          </w:p>
        </w:tc>
        <w:tc>
          <w:tcPr>
            <w:tcW w:w="1080" w:type="dxa"/>
            <w:noWrap w:val="0"/>
            <w:vAlign w:val="center"/>
          </w:tcPr>
          <w:p>
            <w:pPr>
              <w:widowControl/>
              <w:spacing w:line="360" w:lineRule="auto"/>
              <w:jc w:val="center"/>
              <w:rPr>
                <w:rFonts w:ascii="SimHei" w:hAnsi="SimHei" w:eastAsia="黑体" w:cs="SimHei"/>
                <w:b/>
                <w:kern w:val="0"/>
                <w:szCs w:val="21"/>
              </w:rPr>
            </w:pPr>
            <w:r>
              <w:rPr>
                <w:rFonts w:ascii="SimHei" w:hAnsi="SimHei" w:eastAsia="黑体" w:cs="SimHei"/>
                <w:b/>
                <w:kern w:val="0"/>
                <w:szCs w:val="21"/>
              </w:rPr>
              <w:t>二级评估</w:t>
            </w:r>
          </w:p>
        </w:tc>
        <w:tc>
          <w:tcPr>
            <w:tcW w:w="1260" w:type="dxa"/>
            <w:noWrap w:val="0"/>
            <w:vAlign w:val="center"/>
          </w:tcPr>
          <w:p>
            <w:pPr>
              <w:widowControl/>
              <w:spacing w:line="360" w:lineRule="auto"/>
              <w:jc w:val="center"/>
              <w:rPr>
                <w:rFonts w:ascii="SimHei" w:hAnsi="SimHei" w:eastAsia="黑体" w:cs="SimHei"/>
                <w:b/>
                <w:kern w:val="0"/>
                <w:szCs w:val="21"/>
              </w:rPr>
            </w:pPr>
            <w:r>
              <w:rPr>
                <w:rFonts w:ascii="SimHei" w:hAnsi="SimHei" w:eastAsia="黑体" w:cs="SimHei"/>
                <w:b/>
                <w:kern w:val="0"/>
                <w:szCs w:val="21"/>
              </w:rPr>
              <w:t>三级评估</w:t>
            </w:r>
          </w:p>
        </w:tc>
        <w:tc>
          <w:tcPr>
            <w:tcW w:w="2735" w:type="dxa"/>
            <w:noWrap w:val="0"/>
            <w:vAlign w:val="center"/>
          </w:tcPr>
          <w:p>
            <w:pPr>
              <w:widowControl/>
              <w:spacing w:line="360" w:lineRule="auto"/>
              <w:jc w:val="center"/>
              <w:rPr>
                <w:rFonts w:ascii="SimHei" w:hAnsi="SimHei" w:eastAsia="黑体" w:cs="SimHei"/>
                <w:b/>
                <w:kern w:val="0"/>
                <w:szCs w:val="21"/>
              </w:rPr>
            </w:pPr>
            <w:r>
              <w:rPr>
                <w:rFonts w:ascii="SimHei" w:hAnsi="SimHei" w:eastAsia="黑体" w:cs="SimHei"/>
                <w:b/>
                <w:kern w:val="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jc w:val="center"/>
        </w:trPr>
        <w:tc>
          <w:tcPr>
            <w:tcW w:w="2384" w:type="dxa"/>
            <w:noWrap w:val="0"/>
            <w:vAlign w:val="center"/>
          </w:tcPr>
          <w:p>
            <w:pPr>
              <w:widowControl/>
              <w:spacing w:line="360" w:lineRule="auto"/>
              <w:jc w:val="center"/>
              <w:rPr>
                <w:rFonts w:ascii="SimHei" w:hAnsi="SimHei" w:eastAsia="黑体" w:cs="SimHei"/>
                <w:kern w:val="0"/>
                <w:szCs w:val="21"/>
              </w:rPr>
            </w:pPr>
            <w:r>
              <w:rPr>
                <w:rFonts w:ascii="SimHei" w:hAnsi="SimHei" w:eastAsia="黑体" w:cs="SimHei"/>
                <w:kern w:val="0"/>
                <w:szCs w:val="21"/>
              </w:rPr>
              <w:t>新员工入职培训</w:t>
            </w:r>
          </w:p>
        </w:tc>
        <w:tc>
          <w:tcPr>
            <w:tcW w:w="1225" w:type="dxa"/>
            <w:noWrap w:val="0"/>
            <w:vAlign w:val="center"/>
          </w:tcPr>
          <w:p>
            <w:pPr>
              <w:widowControl/>
              <w:spacing w:line="360" w:lineRule="auto"/>
              <w:jc w:val="center"/>
              <w:rPr>
                <w:rFonts w:ascii="SimHei" w:hAnsi="SimHei" w:eastAsia="黑体" w:cs="SimHei"/>
                <w:kern w:val="0"/>
                <w:szCs w:val="21"/>
              </w:rPr>
            </w:pPr>
          </w:p>
        </w:tc>
        <w:tc>
          <w:tcPr>
            <w:tcW w:w="1080" w:type="dxa"/>
            <w:noWrap w:val="0"/>
            <w:vAlign w:val="center"/>
          </w:tcPr>
          <w:p>
            <w:pPr>
              <w:widowControl/>
              <w:spacing w:line="360" w:lineRule="auto"/>
              <w:jc w:val="center"/>
              <w:rPr>
                <w:rFonts w:ascii="SimHei" w:hAnsi="SimHei" w:eastAsia="黑体" w:cs="SimHei"/>
                <w:kern w:val="0"/>
                <w:szCs w:val="21"/>
              </w:rPr>
            </w:pPr>
            <w:r>
              <w:rPr>
                <w:rFonts w:ascii="SimHei" w:hAnsi="SimHei" w:eastAsia="黑体" w:cs="SimHei"/>
                <w:kern w:val="0"/>
                <w:szCs w:val="21"/>
              </w:rPr>
              <w:t>√</w:t>
            </w:r>
          </w:p>
        </w:tc>
        <w:tc>
          <w:tcPr>
            <w:tcW w:w="1260" w:type="dxa"/>
            <w:noWrap w:val="0"/>
            <w:vAlign w:val="center"/>
          </w:tcPr>
          <w:p>
            <w:pPr>
              <w:widowControl/>
              <w:spacing w:line="360" w:lineRule="auto"/>
              <w:jc w:val="center"/>
              <w:rPr>
                <w:rFonts w:ascii="SimHei" w:hAnsi="SimHei" w:eastAsia="黑体" w:cs="SimHei"/>
                <w:kern w:val="0"/>
                <w:szCs w:val="21"/>
              </w:rPr>
            </w:pPr>
          </w:p>
        </w:tc>
        <w:tc>
          <w:tcPr>
            <w:tcW w:w="2735" w:type="dxa"/>
            <w:noWrap w:val="0"/>
            <w:vAlign w:val="center"/>
          </w:tcPr>
          <w:p>
            <w:pPr>
              <w:widowControl/>
              <w:spacing w:line="360" w:lineRule="auto"/>
              <w:jc w:val="center"/>
              <w:rPr>
                <w:rFonts w:ascii="SimHei" w:hAnsi="SimHei" w:eastAsia="黑体" w:cs="SimHei"/>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10" w:hRule="atLeast"/>
          <w:jc w:val="center"/>
        </w:trPr>
        <w:tc>
          <w:tcPr>
            <w:tcW w:w="2384" w:type="dxa"/>
            <w:noWrap w:val="0"/>
            <w:vAlign w:val="center"/>
          </w:tcPr>
          <w:p>
            <w:pPr>
              <w:widowControl/>
              <w:spacing w:line="360" w:lineRule="auto"/>
              <w:jc w:val="center"/>
              <w:rPr>
                <w:rFonts w:ascii="SimHei" w:hAnsi="SimHei" w:eastAsia="黑体" w:cs="SimHei"/>
                <w:kern w:val="0"/>
                <w:szCs w:val="21"/>
              </w:rPr>
            </w:pPr>
            <w:r>
              <w:rPr>
                <w:rFonts w:ascii="SimHei" w:hAnsi="SimHei" w:eastAsia="黑体" w:cs="SimHei"/>
                <w:kern w:val="0"/>
                <w:szCs w:val="21"/>
              </w:rPr>
              <w:t>部门级内训</w:t>
            </w:r>
          </w:p>
          <w:p>
            <w:pPr>
              <w:widowControl/>
              <w:spacing w:line="360" w:lineRule="auto"/>
              <w:jc w:val="center"/>
              <w:rPr>
                <w:rFonts w:ascii="SimHei" w:hAnsi="SimHei" w:eastAsia="黑体" w:cs="SimHei"/>
                <w:kern w:val="0"/>
                <w:szCs w:val="21"/>
              </w:rPr>
            </w:pPr>
            <w:r>
              <w:rPr>
                <w:rFonts w:ascii="SimHei" w:hAnsi="SimHei" w:eastAsia="黑体" w:cs="SimHei"/>
                <w:kern w:val="0"/>
                <w:szCs w:val="21"/>
              </w:rPr>
              <w:t>（各部门、管理处培）</w:t>
            </w:r>
          </w:p>
        </w:tc>
        <w:tc>
          <w:tcPr>
            <w:tcW w:w="1225" w:type="dxa"/>
            <w:noWrap w:val="0"/>
            <w:vAlign w:val="center"/>
          </w:tcPr>
          <w:p>
            <w:pPr>
              <w:widowControl/>
              <w:spacing w:line="360" w:lineRule="auto"/>
              <w:jc w:val="center"/>
              <w:rPr>
                <w:rFonts w:ascii="SimHei" w:hAnsi="SimHei" w:eastAsia="黑体" w:cs="SimHei"/>
                <w:kern w:val="0"/>
                <w:szCs w:val="21"/>
              </w:rPr>
            </w:pPr>
          </w:p>
        </w:tc>
        <w:tc>
          <w:tcPr>
            <w:tcW w:w="1080" w:type="dxa"/>
            <w:noWrap w:val="0"/>
            <w:vAlign w:val="center"/>
          </w:tcPr>
          <w:p>
            <w:pPr>
              <w:widowControl/>
              <w:spacing w:line="360" w:lineRule="auto"/>
              <w:jc w:val="center"/>
              <w:rPr>
                <w:rFonts w:ascii="SimHei" w:hAnsi="SimHei" w:eastAsia="黑体" w:cs="SimHei"/>
                <w:kern w:val="0"/>
                <w:szCs w:val="21"/>
              </w:rPr>
            </w:pPr>
            <w:r>
              <w:rPr>
                <w:rFonts w:ascii="SimHei" w:hAnsi="SimHei" w:eastAsia="黑体" w:cs="SimHei"/>
                <w:kern w:val="0"/>
                <w:szCs w:val="21"/>
              </w:rPr>
              <w:t>√</w:t>
            </w:r>
          </w:p>
        </w:tc>
        <w:tc>
          <w:tcPr>
            <w:tcW w:w="1260" w:type="dxa"/>
            <w:noWrap w:val="0"/>
            <w:vAlign w:val="center"/>
          </w:tcPr>
          <w:p>
            <w:pPr>
              <w:widowControl/>
              <w:spacing w:line="360" w:lineRule="auto"/>
              <w:jc w:val="center"/>
              <w:rPr>
                <w:rFonts w:ascii="SimHei" w:hAnsi="SimHei" w:eastAsia="黑体" w:cs="SimHei"/>
                <w:kern w:val="0"/>
                <w:szCs w:val="21"/>
              </w:rPr>
            </w:pPr>
          </w:p>
        </w:tc>
        <w:tc>
          <w:tcPr>
            <w:tcW w:w="2735" w:type="dxa"/>
            <w:noWrap w:val="0"/>
            <w:vAlign w:val="center"/>
          </w:tcPr>
          <w:p>
            <w:pPr>
              <w:widowControl/>
              <w:spacing w:line="360" w:lineRule="auto"/>
              <w:jc w:val="center"/>
              <w:rPr>
                <w:rFonts w:ascii="SimHei" w:hAnsi="SimHei" w:eastAsia="黑体" w:cs="SimHei"/>
                <w:kern w:val="0"/>
                <w:szCs w:val="21"/>
              </w:rPr>
            </w:pPr>
            <w:r>
              <w:rPr>
                <w:rFonts w:ascii="SimHei" w:hAnsi="SimHei" w:eastAsia="黑体" w:cs="SimHei"/>
                <w:kern w:val="0"/>
                <w:szCs w:val="21"/>
              </w:rPr>
              <w:t>客服类必须进行，其他员工管理处可根据需要安排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894" w:hRule="atLeast"/>
          <w:jc w:val="center"/>
        </w:trPr>
        <w:tc>
          <w:tcPr>
            <w:tcW w:w="2384" w:type="dxa"/>
            <w:noWrap w:val="0"/>
            <w:vAlign w:val="center"/>
          </w:tcPr>
          <w:p>
            <w:pPr>
              <w:widowControl/>
              <w:spacing w:line="360" w:lineRule="auto"/>
              <w:jc w:val="center"/>
              <w:rPr>
                <w:rFonts w:ascii="SimHei" w:hAnsi="SimHei" w:eastAsia="黑体" w:cs="SimHei"/>
                <w:kern w:val="0"/>
                <w:szCs w:val="21"/>
              </w:rPr>
            </w:pPr>
            <w:r>
              <w:rPr>
                <w:rFonts w:ascii="SimHei" w:hAnsi="SimHei" w:eastAsia="黑体" w:cs="SimHei"/>
                <w:kern w:val="0"/>
                <w:szCs w:val="21"/>
              </w:rPr>
              <w:t>公司级内训</w:t>
            </w:r>
          </w:p>
          <w:p>
            <w:pPr>
              <w:widowControl/>
              <w:spacing w:line="360" w:lineRule="auto"/>
              <w:jc w:val="center"/>
              <w:rPr>
                <w:rFonts w:ascii="SimHei" w:hAnsi="SimHei" w:eastAsia="黑体" w:cs="SimHei"/>
                <w:kern w:val="0"/>
                <w:szCs w:val="21"/>
              </w:rPr>
            </w:pPr>
            <w:r>
              <w:rPr>
                <w:rFonts w:ascii="SimHei" w:hAnsi="SimHei" w:eastAsia="黑体" w:cs="SimHei"/>
                <w:kern w:val="0"/>
                <w:szCs w:val="21"/>
              </w:rPr>
              <w:t>（品质与行政）</w:t>
            </w:r>
          </w:p>
        </w:tc>
        <w:tc>
          <w:tcPr>
            <w:tcW w:w="1225" w:type="dxa"/>
            <w:noWrap w:val="0"/>
            <w:vAlign w:val="center"/>
          </w:tcPr>
          <w:p>
            <w:pPr>
              <w:widowControl/>
              <w:spacing w:line="360" w:lineRule="auto"/>
              <w:jc w:val="center"/>
              <w:rPr>
                <w:rFonts w:ascii="SimHei" w:hAnsi="SimHei" w:eastAsia="黑体" w:cs="SimHei"/>
                <w:kern w:val="0"/>
                <w:szCs w:val="21"/>
              </w:rPr>
            </w:pPr>
          </w:p>
        </w:tc>
        <w:tc>
          <w:tcPr>
            <w:tcW w:w="1080" w:type="dxa"/>
            <w:noWrap w:val="0"/>
            <w:vAlign w:val="center"/>
          </w:tcPr>
          <w:p>
            <w:pPr>
              <w:widowControl/>
              <w:spacing w:line="360" w:lineRule="auto"/>
              <w:jc w:val="center"/>
              <w:rPr>
                <w:rFonts w:ascii="SimHei" w:hAnsi="SimHei" w:eastAsia="黑体" w:cs="SimHei"/>
                <w:kern w:val="0"/>
                <w:szCs w:val="21"/>
              </w:rPr>
            </w:pPr>
            <w:r>
              <w:rPr>
                <w:rFonts w:ascii="SimHei" w:hAnsi="SimHei" w:eastAsia="黑体" w:cs="SimHei"/>
                <w:kern w:val="0"/>
                <w:szCs w:val="21"/>
              </w:rPr>
              <w:t>√</w:t>
            </w:r>
          </w:p>
        </w:tc>
        <w:tc>
          <w:tcPr>
            <w:tcW w:w="1260" w:type="dxa"/>
            <w:noWrap w:val="0"/>
            <w:vAlign w:val="center"/>
          </w:tcPr>
          <w:p>
            <w:pPr>
              <w:widowControl/>
              <w:spacing w:line="360" w:lineRule="auto"/>
              <w:jc w:val="center"/>
              <w:rPr>
                <w:rFonts w:ascii="SimHei" w:hAnsi="SimHei" w:eastAsia="黑体" w:cs="SimHei"/>
                <w:kern w:val="0"/>
                <w:szCs w:val="21"/>
              </w:rPr>
            </w:pPr>
            <w:r>
              <w:rPr>
                <w:rFonts w:ascii="SimHei" w:hAnsi="SimHei" w:eastAsia="黑体" w:cs="SimHei"/>
                <w:kern w:val="0"/>
                <w:szCs w:val="21"/>
              </w:rPr>
              <w:t>√</w:t>
            </w:r>
          </w:p>
        </w:tc>
        <w:tc>
          <w:tcPr>
            <w:tcW w:w="2735" w:type="dxa"/>
            <w:noWrap w:val="0"/>
            <w:vAlign w:val="center"/>
          </w:tcPr>
          <w:p>
            <w:pPr>
              <w:widowControl/>
              <w:spacing w:line="360" w:lineRule="auto"/>
              <w:jc w:val="center"/>
              <w:rPr>
                <w:rFonts w:ascii="SimHei" w:hAnsi="SimHei" w:eastAsia="黑体" w:cs="SimHei"/>
                <w:kern w:val="0"/>
                <w:szCs w:val="21"/>
              </w:rPr>
            </w:pPr>
            <w:r>
              <w:rPr>
                <w:rFonts w:ascii="SimHei" w:hAnsi="SimHei" w:eastAsia="黑体" w:cs="SimHei"/>
                <w:kern w:val="0"/>
                <w:szCs w:val="21"/>
              </w:rPr>
              <w:t>三级评估由行政人事部根据需要确定是否进行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894" w:hRule="atLeast"/>
          <w:jc w:val="center"/>
        </w:trPr>
        <w:tc>
          <w:tcPr>
            <w:tcW w:w="2384" w:type="dxa"/>
            <w:noWrap w:val="0"/>
            <w:vAlign w:val="center"/>
          </w:tcPr>
          <w:p>
            <w:pPr>
              <w:widowControl/>
              <w:spacing w:line="360" w:lineRule="auto"/>
              <w:jc w:val="center"/>
              <w:rPr>
                <w:rFonts w:ascii="SimHei" w:hAnsi="SimHei" w:eastAsia="黑体" w:cs="SimHei"/>
                <w:kern w:val="0"/>
                <w:szCs w:val="21"/>
              </w:rPr>
            </w:pPr>
            <w:r>
              <w:rPr>
                <w:rFonts w:ascii="SimHei" w:hAnsi="SimHei" w:eastAsia="黑体" w:cs="SimHei"/>
                <w:kern w:val="0"/>
                <w:szCs w:val="21"/>
              </w:rPr>
              <w:t>内部讲师培训</w:t>
            </w:r>
          </w:p>
        </w:tc>
        <w:tc>
          <w:tcPr>
            <w:tcW w:w="1225" w:type="dxa"/>
            <w:noWrap w:val="0"/>
            <w:vAlign w:val="center"/>
          </w:tcPr>
          <w:p>
            <w:pPr>
              <w:widowControl/>
              <w:spacing w:line="360" w:lineRule="auto"/>
              <w:jc w:val="center"/>
              <w:rPr>
                <w:rFonts w:ascii="SimHei" w:hAnsi="SimHei" w:eastAsia="黑体" w:cs="SimHei"/>
                <w:kern w:val="0"/>
                <w:szCs w:val="21"/>
              </w:rPr>
            </w:pPr>
            <w:r>
              <w:rPr>
                <w:rFonts w:ascii="SimHei" w:hAnsi="SimHei" w:eastAsia="黑体" w:cs="SimHei"/>
                <w:kern w:val="0"/>
                <w:szCs w:val="21"/>
              </w:rPr>
              <w:t>√</w:t>
            </w:r>
          </w:p>
        </w:tc>
        <w:tc>
          <w:tcPr>
            <w:tcW w:w="1080" w:type="dxa"/>
            <w:noWrap w:val="0"/>
            <w:vAlign w:val="center"/>
          </w:tcPr>
          <w:p>
            <w:pPr>
              <w:widowControl/>
              <w:spacing w:line="360" w:lineRule="auto"/>
              <w:jc w:val="center"/>
              <w:rPr>
                <w:rFonts w:ascii="SimHei" w:hAnsi="SimHei" w:eastAsia="黑体" w:cs="SimHei"/>
                <w:kern w:val="0"/>
                <w:szCs w:val="21"/>
              </w:rPr>
            </w:pPr>
            <w:r>
              <w:rPr>
                <w:rFonts w:ascii="SimHei" w:hAnsi="SimHei" w:eastAsia="黑体" w:cs="SimHei"/>
                <w:kern w:val="0"/>
                <w:szCs w:val="21"/>
              </w:rPr>
              <w:t>√</w:t>
            </w:r>
          </w:p>
        </w:tc>
        <w:tc>
          <w:tcPr>
            <w:tcW w:w="1260" w:type="dxa"/>
            <w:noWrap w:val="0"/>
            <w:vAlign w:val="center"/>
          </w:tcPr>
          <w:p>
            <w:pPr>
              <w:widowControl/>
              <w:spacing w:line="360" w:lineRule="auto"/>
              <w:jc w:val="center"/>
              <w:rPr>
                <w:rFonts w:ascii="SimHei" w:hAnsi="SimHei" w:eastAsia="黑体" w:cs="SimHei"/>
                <w:kern w:val="0"/>
                <w:szCs w:val="21"/>
              </w:rPr>
            </w:pPr>
            <w:r>
              <w:rPr>
                <w:rFonts w:ascii="SimHei" w:hAnsi="SimHei" w:eastAsia="黑体" w:cs="SimHei"/>
                <w:kern w:val="0"/>
                <w:szCs w:val="21"/>
              </w:rPr>
              <w:t>√</w:t>
            </w:r>
          </w:p>
        </w:tc>
        <w:tc>
          <w:tcPr>
            <w:tcW w:w="2735" w:type="dxa"/>
            <w:noWrap w:val="0"/>
            <w:vAlign w:val="center"/>
          </w:tcPr>
          <w:p>
            <w:pPr>
              <w:widowControl/>
              <w:spacing w:line="360" w:lineRule="auto"/>
              <w:jc w:val="center"/>
              <w:rPr>
                <w:rFonts w:ascii="SimHei" w:hAnsi="SimHei" w:eastAsia="黑体" w:cs="SimHei"/>
                <w:kern w:val="0"/>
                <w:szCs w:val="21"/>
              </w:rPr>
            </w:pPr>
            <w:r>
              <w:rPr>
                <w:rFonts w:ascii="SimHei" w:hAnsi="SimHei" w:eastAsia="黑体" w:cs="SimHei"/>
                <w:kern w:val="0"/>
                <w:szCs w:val="21"/>
              </w:rPr>
              <w:t>三级评估由行政人事部根据需要确定是否进行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jc w:val="center"/>
        </w:trPr>
        <w:tc>
          <w:tcPr>
            <w:tcW w:w="2384" w:type="dxa"/>
            <w:noWrap w:val="0"/>
            <w:vAlign w:val="center"/>
          </w:tcPr>
          <w:p>
            <w:pPr>
              <w:widowControl/>
              <w:spacing w:line="360" w:lineRule="auto"/>
              <w:jc w:val="center"/>
              <w:rPr>
                <w:rFonts w:ascii="SimHei" w:hAnsi="SimHei" w:eastAsia="黑体" w:cs="SimHei"/>
                <w:kern w:val="0"/>
                <w:szCs w:val="21"/>
              </w:rPr>
            </w:pPr>
            <w:r>
              <w:rPr>
                <w:rFonts w:ascii="SimHei" w:hAnsi="SimHei" w:eastAsia="黑体" w:cs="SimHei"/>
                <w:kern w:val="0"/>
                <w:szCs w:val="21"/>
              </w:rPr>
              <w:t>外聘讲师培训</w:t>
            </w:r>
          </w:p>
        </w:tc>
        <w:tc>
          <w:tcPr>
            <w:tcW w:w="1225" w:type="dxa"/>
            <w:noWrap w:val="0"/>
            <w:vAlign w:val="center"/>
          </w:tcPr>
          <w:p>
            <w:pPr>
              <w:widowControl/>
              <w:spacing w:line="360" w:lineRule="auto"/>
              <w:jc w:val="center"/>
              <w:rPr>
                <w:rFonts w:ascii="SimHei" w:hAnsi="SimHei" w:eastAsia="黑体" w:cs="SimHei"/>
                <w:kern w:val="0"/>
                <w:szCs w:val="21"/>
              </w:rPr>
            </w:pPr>
            <w:r>
              <w:rPr>
                <w:rFonts w:ascii="SimHei" w:hAnsi="SimHei" w:eastAsia="黑体" w:cs="SimHei"/>
                <w:kern w:val="0"/>
                <w:szCs w:val="21"/>
              </w:rPr>
              <w:t>√</w:t>
            </w:r>
          </w:p>
        </w:tc>
        <w:tc>
          <w:tcPr>
            <w:tcW w:w="1080" w:type="dxa"/>
            <w:noWrap w:val="0"/>
            <w:vAlign w:val="center"/>
          </w:tcPr>
          <w:p>
            <w:pPr>
              <w:widowControl/>
              <w:spacing w:line="360" w:lineRule="auto"/>
              <w:jc w:val="center"/>
              <w:rPr>
                <w:rFonts w:ascii="SimHei" w:hAnsi="SimHei" w:eastAsia="黑体" w:cs="SimHei"/>
                <w:kern w:val="0"/>
                <w:szCs w:val="21"/>
              </w:rPr>
            </w:pPr>
            <w:r>
              <w:rPr>
                <w:rFonts w:ascii="SimHei" w:hAnsi="SimHei" w:eastAsia="黑体" w:cs="SimHei"/>
                <w:kern w:val="0"/>
                <w:szCs w:val="21"/>
              </w:rPr>
              <w:t>√</w:t>
            </w:r>
          </w:p>
        </w:tc>
        <w:tc>
          <w:tcPr>
            <w:tcW w:w="1260" w:type="dxa"/>
            <w:noWrap w:val="0"/>
            <w:vAlign w:val="center"/>
          </w:tcPr>
          <w:p>
            <w:pPr>
              <w:widowControl/>
              <w:spacing w:line="360" w:lineRule="auto"/>
              <w:jc w:val="center"/>
              <w:rPr>
                <w:rFonts w:ascii="SimHei" w:hAnsi="SimHei" w:eastAsia="黑体" w:cs="SimHei"/>
                <w:kern w:val="0"/>
                <w:szCs w:val="21"/>
              </w:rPr>
            </w:pPr>
            <w:r>
              <w:rPr>
                <w:rFonts w:ascii="SimHei" w:hAnsi="SimHei" w:eastAsia="黑体" w:cs="SimHei"/>
                <w:kern w:val="0"/>
                <w:szCs w:val="21"/>
              </w:rPr>
              <w:t>√</w:t>
            </w:r>
          </w:p>
        </w:tc>
        <w:tc>
          <w:tcPr>
            <w:tcW w:w="2735" w:type="dxa"/>
            <w:noWrap w:val="0"/>
            <w:vAlign w:val="center"/>
          </w:tcPr>
          <w:p>
            <w:pPr>
              <w:widowControl/>
              <w:spacing w:line="360" w:lineRule="auto"/>
              <w:jc w:val="center"/>
              <w:rPr>
                <w:rFonts w:ascii="SimHei" w:hAnsi="SimHei" w:eastAsia="黑体" w:cs="SimHei"/>
                <w:kern w:val="0"/>
                <w:szCs w:val="21"/>
              </w:rPr>
            </w:pPr>
            <w:r>
              <w:rPr>
                <w:rFonts w:ascii="SimHei" w:hAnsi="SimHei" w:eastAsia="黑体" w:cs="SimHei"/>
                <w:kern w:val="0"/>
                <w:szCs w:val="21"/>
              </w:rPr>
              <w:t>三级评估必须进行</w:t>
            </w:r>
          </w:p>
        </w:tc>
      </w:tr>
    </w:tbl>
    <w:p>
      <w:pPr>
        <w:spacing w:line="400" w:lineRule="exact"/>
        <w:rPr>
          <w:rFonts w:ascii="SimHei" w:hAnsi="SimHei" w:eastAsia="黑体" w:cs="SimHei"/>
        </w:rPr>
      </w:pPr>
      <w:r>
        <w:rPr>
          <w:rFonts w:ascii="SimHei" w:hAnsi="SimHei" w:eastAsia="黑体" w:cs="SimHei"/>
        </w:rPr>
        <w:t>说明：打“</w:t>
      </w:r>
      <w:r>
        <w:rPr>
          <w:rFonts w:ascii="SimHei" w:hAnsi="SimHei" w:eastAsia="黑体" w:cs="SimHei"/>
          <w:kern w:val="0"/>
          <w:szCs w:val="21"/>
        </w:rPr>
        <w:t>√</w:t>
      </w:r>
      <w:r>
        <w:rPr>
          <w:rFonts w:ascii="SimHei" w:hAnsi="SimHei" w:eastAsia="黑体" w:cs="SimHei"/>
        </w:rPr>
        <w:t>”为必须进行评估的项目，但不限于只做上述评估，部门、管理处可以根据需要进行其他类型的评估</w:t>
      </w:r>
    </w:p>
    <w:p>
      <w:pPr>
        <w:spacing w:line="400" w:lineRule="exact"/>
        <w:rPr>
          <w:rFonts w:ascii="SimHei" w:hAnsi="SimHei" w:eastAsia="黑体" w:cs="SimHei"/>
          <w:b/>
        </w:rPr>
      </w:pPr>
      <w:r>
        <w:rPr>
          <w:rFonts w:ascii="SimHei" w:hAnsi="SimHei" w:eastAsia="黑体" w:cs="SimHei"/>
          <w:b/>
        </w:rPr>
        <w:t>5.培训评估实施流程</w:t>
      </w:r>
    </w:p>
    <w:p>
      <w:pPr>
        <w:spacing w:line="400" w:lineRule="exact"/>
        <w:rPr>
          <w:rFonts w:ascii="SimHei" w:hAnsi="SimHei" w:eastAsia="黑体" w:cs="SimHei"/>
        </w:rPr>
      </w:pPr>
      <w:r>
        <w:rPr>
          <w:rFonts w:ascii="SimHei" w:hAnsi="SimHei" w:eastAsia="黑体" w:cs="SimHei"/>
        </w:rPr>
        <w:t>5.1反映评估</w:t>
      </w:r>
    </w:p>
    <w:p>
      <w:pPr>
        <w:spacing w:line="400" w:lineRule="exact"/>
        <w:rPr>
          <w:rFonts w:ascii="SimHei" w:hAnsi="SimHei" w:eastAsia="黑体" w:cs="SimHei"/>
        </w:rPr>
      </w:pPr>
      <w:r>
        <w:rPr>
          <w:rFonts w:ascii="SimHei" w:hAnsi="SimHei" w:eastAsia="黑体" w:cs="SimHei"/>
        </w:rPr>
        <w:t>5.1.1考虑倒公司部分操作层文化水平不高，行政人事部可根据实际情况确定是否需要进行反应评估。</w:t>
      </w:r>
    </w:p>
    <w:p>
      <w:pPr>
        <w:spacing w:line="400" w:lineRule="exact"/>
        <w:rPr>
          <w:rFonts w:ascii="SimHei" w:hAnsi="SimHei" w:eastAsia="黑体" w:cs="SimHei"/>
        </w:rPr>
      </w:pPr>
      <w:r>
        <w:rPr>
          <w:rFonts w:ascii="SimHei" w:hAnsi="SimHei" w:eastAsia="黑体" w:cs="SimHei"/>
        </w:rPr>
        <w:t>5.1.2对需要进行反映评估的课程，在授课结束后，由行政人事部向学员下发培训效果评估标。</w:t>
      </w:r>
    </w:p>
    <w:p>
      <w:pPr>
        <w:spacing w:line="400" w:lineRule="exact"/>
        <w:rPr>
          <w:rFonts w:ascii="SimHei" w:hAnsi="SimHei" w:eastAsia="黑体" w:cs="SimHei"/>
        </w:rPr>
      </w:pPr>
      <w:r>
        <w:rPr>
          <w:rFonts w:ascii="SimHei" w:hAnsi="SimHei" w:eastAsia="黑体" w:cs="SimHei"/>
        </w:rPr>
        <w:t>5.1.3学员根据评估表的内容，对课程内容、讲师授课技巧等进行打分（打分采用5分制）。并提出自己的改进意见与想法。</w:t>
      </w:r>
    </w:p>
    <w:p>
      <w:pPr>
        <w:spacing w:line="400" w:lineRule="exact"/>
        <w:rPr>
          <w:rFonts w:ascii="SimHei" w:hAnsi="SimHei" w:eastAsia="黑体" w:cs="SimHei"/>
        </w:rPr>
      </w:pPr>
      <w:r>
        <w:rPr>
          <w:rFonts w:ascii="SimHei" w:hAnsi="SimHei" w:eastAsia="黑体" w:cs="SimHei"/>
        </w:rPr>
        <w:t>5.1.4评估结束后行政人事部负责对学员的评估表进行统计分析。评估结果作为内部讲师授课课酬与课题修改的参考依据。</w:t>
      </w:r>
    </w:p>
    <w:p>
      <w:pPr>
        <w:spacing w:line="400" w:lineRule="exact"/>
        <w:rPr>
          <w:rFonts w:ascii="SimHei" w:hAnsi="SimHei" w:eastAsia="黑体" w:cs="SimHei"/>
        </w:rPr>
      </w:pPr>
      <w:r>
        <w:rPr>
          <w:rFonts w:ascii="SimHei" w:hAnsi="SimHei" w:eastAsia="黑体" w:cs="SimHei"/>
        </w:rPr>
        <w:t>5.2学习评估</w:t>
      </w:r>
    </w:p>
    <w:p>
      <w:pPr>
        <w:spacing w:line="400" w:lineRule="exact"/>
        <w:rPr>
          <w:rFonts w:ascii="SimHei" w:hAnsi="SimHei" w:eastAsia="黑体" w:cs="SimHei"/>
        </w:rPr>
      </w:pPr>
      <w:r>
        <w:rPr>
          <w:rFonts w:ascii="SimHei" w:hAnsi="SimHei" w:eastAsia="黑体" w:cs="SimHei"/>
        </w:rPr>
        <w:t>5.2.1对需要进行学习评估的课程，在培训前授课讲师或授课人应确定进行学习评估的方式并做好相关的准备工作。采用何种方式由授课讲师或授课人根据实际情况确定，行政人事部不做硬性要求。</w:t>
      </w:r>
    </w:p>
    <w:p>
      <w:pPr>
        <w:spacing w:line="400" w:lineRule="exact"/>
        <w:rPr>
          <w:rFonts w:ascii="SimHei" w:hAnsi="SimHei" w:eastAsia="黑体" w:cs="SimHei"/>
        </w:rPr>
      </w:pPr>
      <w:r>
        <w:rPr>
          <w:rFonts w:ascii="SimHei" w:hAnsi="SimHei" w:eastAsia="黑体" w:cs="SimHei"/>
        </w:rPr>
        <w:t>5.2.2培训结束后，授课讲师或授课人根据确定的评估方式对学员的知识掌握情况进行评估，并做好评估记录。</w:t>
      </w:r>
    </w:p>
    <w:p>
      <w:pPr>
        <w:spacing w:line="400" w:lineRule="exact"/>
        <w:rPr>
          <w:rFonts w:ascii="SimHei" w:hAnsi="SimHei" w:eastAsia="黑体" w:cs="SimHei"/>
        </w:rPr>
      </w:pPr>
      <w:r>
        <w:rPr>
          <w:rFonts w:ascii="SimHei" w:hAnsi="SimHei" w:eastAsia="黑体" w:cs="SimHei"/>
        </w:rPr>
        <w:t>5.2.3所有的评估记录必须和部门或管理处的培训记录一起进行存档。</w:t>
      </w:r>
    </w:p>
    <w:p>
      <w:pPr>
        <w:spacing w:line="400" w:lineRule="exact"/>
        <w:rPr>
          <w:rFonts w:ascii="SimHei" w:hAnsi="SimHei" w:eastAsia="黑体" w:cs="SimHei"/>
        </w:rPr>
      </w:pPr>
      <w:r>
        <w:rPr>
          <w:rFonts w:ascii="SimHei" w:hAnsi="SimHei" w:eastAsia="黑体" w:cs="SimHei"/>
        </w:rPr>
        <w:t>5.3行为评估</w:t>
      </w:r>
    </w:p>
    <w:p>
      <w:pPr>
        <w:spacing w:line="400" w:lineRule="exact"/>
        <w:rPr>
          <w:rFonts w:ascii="SimHei" w:hAnsi="SimHei" w:eastAsia="黑体" w:cs="SimHei"/>
        </w:rPr>
      </w:pPr>
      <w:r>
        <w:rPr>
          <w:rFonts w:ascii="SimHei" w:hAnsi="SimHei" w:eastAsia="黑体" w:cs="SimHei"/>
        </w:rPr>
        <w:t>5.3.1所有内部讲师授课课程，在授课前由行政人事部确定是否要进行三级评估。</w:t>
      </w:r>
    </w:p>
    <w:p>
      <w:pPr>
        <w:spacing w:line="400" w:lineRule="exact"/>
        <w:rPr>
          <w:rFonts w:ascii="SimHei" w:hAnsi="SimHei" w:eastAsia="黑体" w:cs="SimHei"/>
        </w:rPr>
      </w:pPr>
      <w:r>
        <w:rPr>
          <w:rFonts w:ascii="SimHei" w:hAnsi="SimHei" w:eastAsia="黑体" w:cs="SimHei"/>
        </w:rPr>
        <w:t>5.3.2确定要进行三级评估的课程在培训结束后由学员根据学习的内容，找出自己与课程内容中存在的差距或者对自己工作有帮助的内容，并确定在工作中的改进方法，拟定详细的改善计划。</w:t>
      </w:r>
    </w:p>
    <w:p>
      <w:pPr>
        <w:spacing w:line="400" w:lineRule="exact"/>
        <w:rPr>
          <w:rFonts w:ascii="SimHei" w:hAnsi="SimHei" w:eastAsia="黑体" w:cs="SimHei"/>
        </w:rPr>
      </w:pPr>
      <w:r>
        <w:rPr>
          <w:rFonts w:ascii="SimHei" w:hAnsi="SimHei" w:eastAsia="黑体" w:cs="SimHei"/>
        </w:rPr>
        <w:t>5.3.3行政人事部在必要的情况下会直接与讲师沟通列明需要改善的内容制定改善计划要求员工执行，特别是操作层员工。</w:t>
      </w:r>
    </w:p>
    <w:p>
      <w:pPr>
        <w:spacing w:line="400" w:lineRule="exact"/>
        <w:rPr>
          <w:rFonts w:ascii="SimHei" w:hAnsi="SimHei" w:eastAsia="黑体" w:cs="SimHei"/>
        </w:rPr>
      </w:pPr>
      <w:r>
        <w:rPr>
          <w:rFonts w:ascii="SimHei" w:hAnsi="SimHei" w:eastAsia="黑体" w:cs="SimHei"/>
        </w:rPr>
        <w:t>5.3.4在确定改善计划后，行政人事部会将改善计划下发给学员、学员主管、部门负责人，并确定在培训结束后2-4的时间予以执行。</w:t>
      </w:r>
    </w:p>
    <w:p>
      <w:pPr>
        <w:spacing w:line="400" w:lineRule="exact"/>
        <w:rPr>
          <w:rFonts w:ascii="SimHei" w:hAnsi="SimHei" w:eastAsia="黑体" w:cs="SimHei"/>
        </w:rPr>
      </w:pPr>
      <w:r>
        <w:rPr>
          <w:rFonts w:ascii="SimHei" w:hAnsi="SimHei" w:eastAsia="黑体" w:cs="SimHei"/>
        </w:rPr>
        <w:t>5.3.5在行为计划改善期间，学员主管负责对学员的执行情况进行监督与跟踪。并要求学员每周对自己的改善情况做1次自评（例举改善的行为），学员主管根据学员改善情况同样每周做1次评定（最后一周作总结性评定）。</w:t>
      </w:r>
    </w:p>
    <w:p>
      <w:pPr>
        <w:spacing w:line="400" w:lineRule="exact"/>
        <w:rPr>
          <w:rFonts w:ascii="SimHei" w:hAnsi="SimHei" w:eastAsia="黑体" w:cs="SimHei"/>
        </w:rPr>
      </w:pPr>
      <w:r>
        <w:rPr>
          <w:rFonts w:ascii="SimHei" w:hAnsi="SimHei" w:eastAsia="黑体" w:cs="SimHei"/>
        </w:rPr>
        <w:t>5.3.6改善期结束，学员主管负责将行为改善计划表递交部门负责人签字后报行政人事部。</w:t>
      </w:r>
    </w:p>
    <w:p>
      <w:pPr>
        <w:spacing w:line="400" w:lineRule="exact"/>
        <w:rPr>
          <w:rFonts w:ascii="SimHei" w:hAnsi="SimHei" w:eastAsia="黑体" w:cs="SimHei"/>
        </w:rPr>
      </w:pPr>
      <w:r>
        <w:rPr>
          <w:rFonts w:ascii="SimHei" w:hAnsi="SimHei" w:eastAsia="黑体" w:cs="SimHei"/>
        </w:rPr>
        <w:t>5.3.7操作层行为改善突出的，在月度绩效考核中可以给予1-10分的加分。管理层员工的行为改善情况作为当月的1项工作计划完成情况来进行考核，月度结束由主管根据改善情况按照5分制进行评分。</w:t>
      </w:r>
    </w:p>
    <w:p>
      <w:pPr>
        <w:widowControl/>
        <w:spacing w:line="360" w:lineRule="auto"/>
        <w:rPr>
          <w:rFonts w:ascii="SimHei" w:hAnsi="SimHei" w:eastAsia="黑体" w:cs="SimHei"/>
          <w:b/>
          <w:kern w:val="0"/>
          <w:szCs w:val="21"/>
        </w:rPr>
      </w:pPr>
      <w:r>
        <w:rPr>
          <w:rFonts w:ascii="SimHei" w:hAnsi="SimHei" w:eastAsia="黑体" w:cs="SimHei"/>
          <w:b/>
          <w:kern w:val="0"/>
          <w:szCs w:val="21"/>
        </w:rPr>
        <w:t>6.培训评估的推行</w:t>
      </w:r>
    </w:p>
    <w:p>
      <w:pPr>
        <w:spacing w:line="400" w:lineRule="exact"/>
        <w:rPr>
          <w:rFonts w:ascii="SimHei" w:hAnsi="SimHei" w:eastAsia="黑体" w:cs="SimHei"/>
        </w:rPr>
      </w:pPr>
      <w:r>
        <w:rPr>
          <w:rFonts w:ascii="SimHei" w:hAnsi="SimHei" w:eastAsia="黑体" w:cs="SimHei"/>
        </w:rPr>
        <w:t>6.1各部门、管理处应按照要求，对月度培训计划中需要进行评估的课程进行培训效果评估，并做好相关评估记录。包括考试试卷、考试成绩表、实际操作评定表等</w:t>
      </w:r>
    </w:p>
    <w:p>
      <w:pPr>
        <w:spacing w:line="400" w:lineRule="exact"/>
        <w:rPr>
          <w:rFonts w:ascii="SimHei" w:hAnsi="SimHei" w:eastAsia="黑体" w:cs="SimHei"/>
        </w:rPr>
      </w:pPr>
      <w:r>
        <w:rPr>
          <w:rFonts w:ascii="SimHei" w:hAnsi="SimHei" w:eastAsia="黑体" w:cs="SimHei"/>
        </w:rPr>
        <w:t>6.1.2需要进行行为评估的课程，各级主管、部门负责人应按照5.3条款的要求负责推进各项工作.</w:t>
      </w:r>
    </w:p>
    <w:p>
      <w:pPr>
        <w:spacing w:line="400" w:lineRule="exact"/>
        <w:rPr>
          <w:rFonts w:ascii="SimHei" w:hAnsi="SimHei" w:eastAsia="黑体" w:cs="SimHei"/>
        </w:rPr>
      </w:pPr>
      <w:r>
        <w:rPr>
          <w:rFonts w:ascii="SimHei" w:hAnsi="SimHei" w:eastAsia="黑体" w:cs="SimHei"/>
        </w:rPr>
        <w:t>6.1.3部门、管理处对培训的评估工作的执行情况，将在月度培训检查内容中进行检查评分，检查内容如下：</w:t>
      </w:r>
    </w:p>
    <w:p>
      <w:pPr>
        <w:spacing w:line="400" w:lineRule="exact"/>
        <w:rPr>
          <w:rFonts w:ascii="SimHei" w:hAnsi="SimHei" w:eastAsia="黑体" w:cs="SimHei"/>
        </w:rPr>
      </w:pPr>
      <w:r>
        <w:rPr>
          <w:rFonts w:ascii="SimHei" w:hAnsi="SimHei" w:eastAsia="黑体" w:cs="SimHei"/>
        </w:rPr>
        <w:t>A、指定要求进行评估的课程记录是否齐全。</w:t>
      </w:r>
    </w:p>
    <w:p>
      <w:pPr>
        <w:spacing w:line="400" w:lineRule="exact"/>
        <w:rPr>
          <w:rFonts w:ascii="SimHei" w:hAnsi="SimHei" w:eastAsia="黑体" w:cs="SimHei"/>
        </w:rPr>
      </w:pPr>
      <w:r>
        <w:rPr>
          <w:rFonts w:ascii="SimHei" w:hAnsi="SimHei" w:eastAsia="黑体" w:cs="SimHei"/>
        </w:rPr>
        <w:t>B、学习层面评估记录是否齐全。</w:t>
      </w:r>
    </w:p>
    <w:p>
      <w:pPr>
        <w:spacing w:line="400" w:lineRule="exact"/>
        <w:rPr>
          <w:rFonts w:ascii="SimHei" w:hAnsi="SimHei" w:eastAsia="黑体" w:cs="SimHei"/>
        </w:rPr>
      </w:pPr>
      <w:r>
        <w:rPr>
          <w:rFonts w:ascii="SimHei" w:hAnsi="SimHei" w:eastAsia="黑体" w:cs="SimHei"/>
        </w:rPr>
        <w:t>C、行为改善计划执行中的各项记录是否齐全，包括：每周自评与上级主管的评定。</w:t>
      </w:r>
    </w:p>
    <w:p>
      <w:pPr>
        <w:spacing w:line="400" w:lineRule="exact"/>
        <w:rPr>
          <w:rFonts w:ascii="SimHei" w:hAnsi="SimHei" w:eastAsia="黑体" w:cs="SimHei"/>
        </w:rPr>
      </w:pPr>
      <w:r>
        <w:rPr>
          <w:rFonts w:ascii="SimHei" w:hAnsi="SimHei" w:eastAsia="黑体" w:cs="SimHei"/>
        </w:rPr>
        <w:t>6.1.4具体的评分细则将在《培训月考核评分细则》中详细说明。</w:t>
      </w:r>
    </w:p>
    <w:p>
      <w:pPr>
        <w:spacing w:line="400" w:lineRule="exact"/>
        <w:rPr>
          <w:rFonts w:ascii="SimHei" w:hAnsi="SimHei" w:eastAsia="黑体" w:cs="SimHei"/>
        </w:rPr>
      </w:pPr>
      <w:r>
        <w:rPr>
          <w:rFonts w:ascii="SimHei" w:hAnsi="SimHei" w:eastAsia="黑体" w:cs="SimHei"/>
        </w:rPr>
        <w:t>7部门、管理处月度培训效果的检查</w:t>
      </w:r>
    </w:p>
    <w:p>
      <w:pPr>
        <w:spacing w:line="400" w:lineRule="exact"/>
        <w:rPr>
          <w:rFonts w:ascii="SimHei" w:hAnsi="SimHei" w:eastAsia="黑体" w:cs="SimHei"/>
        </w:rPr>
      </w:pPr>
      <w:r>
        <w:rPr>
          <w:rFonts w:ascii="SimHei" w:hAnsi="SimHei" w:eastAsia="黑体" w:cs="SimHei"/>
        </w:rPr>
        <w:t>为有效的对部门、管理处的培训效果进行检查，行政人事部将通过两个方面对部门、管理处的培训效果进行检查评估：</w:t>
      </w:r>
    </w:p>
    <w:p>
      <w:pPr>
        <w:spacing w:line="400" w:lineRule="exact"/>
        <w:rPr>
          <w:rFonts w:ascii="SimHei" w:hAnsi="SimHei" w:eastAsia="黑体" w:cs="SimHei"/>
        </w:rPr>
      </w:pPr>
      <w:r>
        <w:rPr>
          <w:rFonts w:ascii="SimHei" w:hAnsi="SimHei" w:eastAsia="黑体" w:cs="SimHei"/>
        </w:rPr>
        <w:t>7.1员工对知识与技能掌握的检查评估</w:t>
      </w:r>
    </w:p>
    <w:p>
      <w:pPr>
        <w:spacing w:line="400" w:lineRule="exact"/>
        <w:rPr>
          <w:rFonts w:ascii="SimHei" w:hAnsi="SimHei" w:eastAsia="黑体" w:cs="SimHei"/>
        </w:rPr>
      </w:pPr>
      <w:r>
        <w:rPr>
          <w:rFonts w:ascii="SimHei" w:hAnsi="SimHei" w:eastAsia="黑体" w:cs="SimHei"/>
        </w:rPr>
        <w:t>7.1.1每月各部门、管理处的培训课程完成后。授课人员应将授课的内容整理成Word版本，与培训记录一起进行存档（培训内容为公司现有制度、程序文件以及安全军事培训内容可不做整理）。</w:t>
      </w:r>
    </w:p>
    <w:p>
      <w:pPr>
        <w:spacing w:line="400" w:lineRule="exact"/>
        <w:rPr>
          <w:rFonts w:ascii="SimHei" w:hAnsi="SimHei" w:eastAsia="黑体" w:cs="SimHei"/>
        </w:rPr>
      </w:pPr>
      <w:r>
        <w:rPr>
          <w:rFonts w:ascii="SimHei" w:hAnsi="SimHei" w:eastAsia="黑体" w:cs="SimHei"/>
        </w:rPr>
        <w:t>7.1.2月度培训检查中行政人事部根据培训内容（或考试试卷）对学员知识掌握情况口头抽查（方法2：授课人提供该课题内容的10个知识要点提交行政人事部，抽查人员对10个要点进行抽查，也可以对10个要点之外的内容进行抽查）。</w:t>
      </w:r>
    </w:p>
    <w:p>
      <w:pPr>
        <w:spacing w:line="400" w:lineRule="exact"/>
        <w:rPr>
          <w:rFonts w:ascii="SimHei" w:hAnsi="SimHei" w:eastAsia="黑体" w:cs="SimHei"/>
        </w:rPr>
      </w:pPr>
      <w:r>
        <w:rPr>
          <w:rFonts w:ascii="SimHei" w:hAnsi="SimHei" w:eastAsia="黑体" w:cs="SimHei"/>
        </w:rPr>
        <w:t>7.1.3考虑到某些知识的专业性，抽查时授课人可以陪同抽查人员一起进行，并对评断和抽查的问题可以提出建议。</w:t>
      </w:r>
    </w:p>
    <w:p>
      <w:pPr>
        <w:spacing w:line="400" w:lineRule="exact"/>
        <w:rPr>
          <w:rFonts w:ascii="SimHei" w:hAnsi="SimHei" w:eastAsia="黑体" w:cs="SimHei"/>
        </w:rPr>
      </w:pPr>
      <w:r>
        <w:rPr>
          <w:rFonts w:ascii="SimHei" w:hAnsi="SimHei" w:eastAsia="黑体" w:cs="SimHei"/>
        </w:rPr>
        <w:t>7.1.4对某个课题的抽查人数，应不少于该课题参训总人数的20%，并根据学员对知识的掌握情况按照：“未掌握、略微掌握、基本掌握、熟练掌握”进行分级评定，最后根据抽查的总人数计算部门、管理处的培训效果。</w:t>
      </w:r>
    </w:p>
    <w:p>
      <w:pPr>
        <w:spacing w:line="400" w:lineRule="exact"/>
        <w:rPr>
          <w:rFonts w:ascii="SimHei" w:hAnsi="SimHei" w:eastAsia="黑体" w:cs="SimHei"/>
        </w:rPr>
      </w:pPr>
      <w:r>
        <w:rPr>
          <w:rFonts w:ascii="SimHei" w:hAnsi="SimHei" w:eastAsia="黑体" w:cs="SimHei"/>
        </w:rPr>
        <w:t>7.1.5检查的结果作为部门、管理处月度培训工作中培训效果的评分依据之一。</w:t>
      </w:r>
    </w:p>
    <w:p>
      <w:pPr>
        <w:spacing w:line="400" w:lineRule="exact"/>
        <w:rPr>
          <w:rFonts w:ascii="SimHei" w:hAnsi="SimHei" w:eastAsia="黑体" w:cs="SimHei"/>
        </w:rPr>
      </w:pPr>
      <w:r>
        <w:rPr>
          <w:rFonts w:ascii="SimHei" w:hAnsi="SimHei" w:eastAsia="黑体" w:cs="SimHei"/>
        </w:rPr>
        <w:t>7.1.6具体的评分细则将在《培训月考核评分细则》中详细说明</w:t>
      </w:r>
    </w:p>
    <w:p>
      <w:pPr>
        <w:spacing w:line="400" w:lineRule="exact"/>
        <w:rPr>
          <w:rFonts w:ascii="SimHei" w:hAnsi="SimHei" w:eastAsia="黑体" w:cs="SimHei"/>
        </w:rPr>
      </w:pPr>
      <w:r>
        <w:rPr>
          <w:rFonts w:ascii="SimHei" w:hAnsi="SimHei" w:eastAsia="黑体" w:cs="SimHei"/>
        </w:rPr>
        <w:t>7.2员工行为改善效果的检查与评估</w:t>
      </w:r>
    </w:p>
    <w:p>
      <w:pPr>
        <w:spacing w:line="400" w:lineRule="exact"/>
        <w:rPr>
          <w:rFonts w:ascii="SimHei" w:hAnsi="SimHei" w:eastAsia="黑体" w:cs="SimHei"/>
        </w:rPr>
      </w:pPr>
      <w:r>
        <w:rPr>
          <w:rFonts w:ascii="SimHei" w:hAnsi="SimHei" w:eastAsia="黑体" w:cs="SimHei"/>
        </w:rPr>
        <w:t>7.2.1员工在行为改善期间或改善期结束1-4周内，行政人事部将对参训学员的改善效果进行抽查评估。</w:t>
      </w:r>
    </w:p>
    <w:p>
      <w:pPr>
        <w:spacing w:line="400" w:lineRule="exact"/>
        <w:rPr>
          <w:rFonts w:ascii="SimHei" w:hAnsi="SimHei" w:eastAsia="黑体" w:cs="SimHei"/>
        </w:rPr>
      </w:pPr>
      <w:r>
        <w:rPr>
          <w:rFonts w:ascii="SimHei" w:hAnsi="SimHei" w:eastAsia="黑体" w:cs="SimHei"/>
        </w:rPr>
        <w:t>7.2.2抽查评估方法：</w:t>
      </w:r>
    </w:p>
    <w:p>
      <w:pPr>
        <w:spacing w:line="400" w:lineRule="exact"/>
        <w:rPr>
          <w:rFonts w:ascii="SimHei" w:hAnsi="SimHei" w:eastAsia="黑体" w:cs="SimHei"/>
        </w:rPr>
      </w:pPr>
      <w:r>
        <w:rPr>
          <w:rFonts w:ascii="SimHei" w:hAnsi="SimHei" w:eastAsia="黑体" w:cs="SimHei"/>
        </w:rPr>
        <w:t>A、根据改善内容，对学员在工作中是否按照行为改善的内容进行抽查对比，抽查应不少于参训学员总数的20%</w:t>
      </w:r>
    </w:p>
    <w:p>
      <w:pPr>
        <w:spacing w:line="400" w:lineRule="exact"/>
        <w:rPr>
          <w:rFonts w:ascii="SimHei" w:hAnsi="SimHei" w:eastAsia="黑体" w:cs="SimHei"/>
        </w:rPr>
      </w:pPr>
      <w:r>
        <w:rPr>
          <w:rFonts w:ascii="SimHei" w:hAnsi="SimHei" w:eastAsia="黑体" w:cs="SimHei"/>
        </w:rPr>
        <w:t>B、根据对员工行为改善的观察按照：“无改善 略微改善 基本改善 改善较好”进行分级评定。</w:t>
      </w:r>
    </w:p>
    <w:p>
      <w:pPr>
        <w:spacing w:line="400" w:lineRule="exact"/>
        <w:rPr>
          <w:rFonts w:ascii="SimHei" w:hAnsi="SimHei" w:eastAsia="黑体" w:cs="SimHei"/>
        </w:rPr>
      </w:pPr>
      <w:r>
        <w:rPr>
          <w:rFonts w:ascii="SimHei" w:hAnsi="SimHei" w:eastAsia="黑体" w:cs="SimHei"/>
        </w:rPr>
        <w:t>C、考虑到抽查的局限性，评定时将综合学员主管在行为改善表中的评定建议，必要情况下将参考学员同事的建议。</w:t>
      </w:r>
    </w:p>
    <w:p>
      <w:pPr>
        <w:spacing w:line="400" w:lineRule="exact"/>
        <w:rPr>
          <w:rFonts w:ascii="SimHei" w:hAnsi="SimHei" w:eastAsia="黑体" w:cs="SimHei"/>
        </w:rPr>
      </w:pPr>
      <w:r>
        <w:rPr>
          <w:rFonts w:ascii="SimHei" w:hAnsi="SimHei" w:eastAsia="黑体" w:cs="SimHei"/>
        </w:rPr>
        <w:t>D、最后根据抽查总人数的评定情况计算部门、管理处行为改善计划的执行效果。</w:t>
      </w:r>
    </w:p>
    <w:p>
      <w:pPr>
        <w:spacing w:line="400" w:lineRule="exact"/>
        <w:rPr>
          <w:rFonts w:ascii="SimHei" w:hAnsi="SimHei" w:eastAsia="黑体" w:cs="SimHei"/>
        </w:rPr>
      </w:pPr>
      <w:r>
        <w:rPr>
          <w:rFonts w:ascii="SimHei" w:hAnsi="SimHei" w:eastAsia="黑体" w:cs="SimHei"/>
        </w:rPr>
        <w:t>7.2.3具体的评分细则将在《培训月考核评分细则》中详细说明</w:t>
      </w:r>
    </w:p>
    <w:p>
      <w:pPr>
        <w:spacing w:line="400" w:lineRule="exact"/>
        <w:rPr>
          <w:rFonts w:ascii="SimHei" w:hAnsi="SimHei" w:eastAsia="黑体" w:cs="SimHei"/>
        </w:rPr>
      </w:pPr>
      <w:r>
        <w:rPr>
          <w:rFonts w:ascii="SimHei" w:hAnsi="SimHei" w:eastAsia="黑体" w:cs="SimHei"/>
        </w:rPr>
        <w:t>7.2.4如果培训内容为上个月的培训计划。但是在次月才检查，检查的结果在次月的培训管理评分中给予体现</w:t>
      </w:r>
    </w:p>
    <w:p>
      <w:pPr>
        <w:spacing w:line="400" w:lineRule="exact"/>
        <w:rPr>
          <w:rFonts w:ascii="SimHei" w:hAnsi="SimHei" w:eastAsia="黑体" w:cs="SimHei"/>
        </w:rPr>
      </w:pPr>
      <w:r>
        <w:rPr>
          <w:rFonts w:ascii="SimHei" w:hAnsi="SimHei" w:eastAsia="黑体" w:cs="SimHei"/>
        </w:rPr>
        <w:t>7相关表格</w:t>
      </w:r>
    </w:p>
    <w:p>
      <w:pPr>
        <w:spacing w:line="400" w:lineRule="exact"/>
        <w:rPr>
          <w:rFonts w:ascii="SimHei" w:hAnsi="SimHei" w:eastAsia="黑体" w:cs="SimHei"/>
        </w:rPr>
      </w:pPr>
      <w:r>
        <w:rPr>
          <w:rFonts w:ascii="SimHei" w:hAnsi="SimHei" w:eastAsia="黑体" w:cs="SimHei"/>
        </w:rPr>
        <w:t>《培训考试成绩表》</w:t>
      </w:r>
    </w:p>
    <w:p>
      <w:pPr>
        <w:spacing w:line="400" w:lineRule="exact"/>
        <w:rPr>
          <w:rFonts w:ascii="SimHei" w:hAnsi="SimHei" w:eastAsia="黑体" w:cs="SimHei"/>
        </w:rPr>
      </w:pPr>
      <w:r>
        <w:rPr>
          <w:rFonts w:ascii="SimHei" w:hAnsi="SimHei" w:eastAsia="黑体" w:cs="SimHei"/>
        </w:rPr>
        <w:t>《培训月考核评分细则》</w:t>
      </w:r>
    </w:p>
    <w:p>
      <w:pPr>
        <w:spacing w:line="400" w:lineRule="exact"/>
        <w:rPr>
          <w:rFonts w:ascii="SimHei" w:hAnsi="SimHei" w:eastAsia="黑体" w:cs="SimHei"/>
        </w:rPr>
      </w:pPr>
      <w:r>
        <w:rPr>
          <w:rFonts w:ascii="SimHei" w:hAnsi="SimHei" w:eastAsia="黑体" w:cs="SimHei"/>
        </w:rPr>
        <w:t>《培训改善行动计划表》</w:t>
      </w:r>
    </w:p>
    <w:p>
      <w:pPr>
        <w:spacing w:line="400" w:lineRule="exact"/>
        <w:rPr>
          <w:rFonts w:ascii="SimHei" w:hAnsi="SimHei" w:eastAsia="黑体" w:cs="SimHei"/>
        </w:rPr>
      </w:pPr>
      <w:r>
        <w:rPr>
          <w:rFonts w:ascii="SimHei" w:hAnsi="SimHei" w:eastAsia="黑体" w:cs="SimHei"/>
        </w:rPr>
        <w:t>《部门\管理处培训工作检查表》</w:t>
      </w:r>
    </w:p>
    <w:p>
      <w:pPr>
        <w:spacing w:line="400" w:lineRule="exact"/>
        <w:rPr>
          <w:rFonts w:ascii="SimHei" w:hAnsi="SimHei" w:eastAsia="黑体" w:cs="SimHei"/>
        </w:rPr>
      </w:pPr>
    </w:p>
    <w:p>
      <w:pPr>
        <w:spacing w:line="400" w:lineRule="exact"/>
        <w:rPr>
          <w:rFonts w:ascii="SimHei" w:hAnsi="SimHei" w:eastAsia="黑体" w:cs="SimHei"/>
        </w:rPr>
      </w:pPr>
    </w:p>
    <w:p>
      <w:pPr>
        <w:spacing w:line="400" w:lineRule="exact"/>
        <w:rPr>
          <w:rFonts w:ascii="SimHei" w:hAnsi="SimHei" w:eastAsia="黑体" w:cs="SimHei"/>
        </w:rPr>
      </w:pPr>
    </w:p>
    <w:p>
      <w:pPr>
        <w:spacing w:line="400" w:lineRule="exact"/>
        <w:rPr>
          <w:rFonts w:ascii="SimHei" w:hAnsi="SimHei" w:eastAsia="黑体" w:cs="SimHei"/>
        </w:rPr>
      </w:pPr>
    </w:p>
    <w:p>
      <w:pPr>
        <w:spacing w:line="400" w:lineRule="exact"/>
        <w:rPr>
          <w:rFonts w:ascii="SimHei" w:hAnsi="SimHei" w:eastAsia="黑体" w:cs="SimHei"/>
        </w:rPr>
      </w:pPr>
    </w:p>
    <w:p>
      <w:pPr>
        <w:spacing w:line="400" w:lineRule="exact"/>
        <w:rPr>
          <w:rFonts w:ascii="SimHei" w:hAnsi="SimHei" w:eastAsia="黑体" w:cs="SimHei"/>
        </w:rPr>
      </w:pPr>
    </w:p>
    <w:p>
      <w:pPr>
        <w:spacing w:line="400" w:lineRule="exact"/>
        <w:rPr>
          <w:rFonts w:ascii="SimHei" w:hAnsi="SimHei" w:eastAsia="黑体" w:cs="SimHei"/>
        </w:rPr>
      </w:pPr>
    </w:p>
    <w:p>
      <w:pPr>
        <w:spacing w:line="400" w:lineRule="exact"/>
        <w:rPr>
          <w:rFonts w:ascii="SimHei" w:hAnsi="SimHei" w:eastAsia="黑体" w:cs="SimHei"/>
        </w:rPr>
      </w:pPr>
    </w:p>
    <w:p>
      <w:pPr>
        <w:spacing w:line="400" w:lineRule="exact"/>
        <w:rPr>
          <w:rFonts w:ascii="SimHei" w:hAnsi="SimHei" w:eastAsia="黑体" w:cs="SimHei"/>
        </w:rPr>
      </w:pPr>
    </w:p>
    <w:p>
      <w:pPr>
        <w:spacing w:line="400" w:lineRule="exact"/>
        <w:rPr>
          <w:rFonts w:ascii="SimHei" w:hAnsi="SimHei" w:eastAsia="黑体" w:cs="SimHei"/>
        </w:rPr>
      </w:pPr>
    </w:p>
    <w:p>
      <w:pPr>
        <w:spacing w:line="400" w:lineRule="exact"/>
        <w:rPr>
          <w:rFonts w:ascii="SimHei" w:hAnsi="SimHei" w:eastAsia="黑体" w:cs="SimHei"/>
        </w:rPr>
      </w:pPr>
    </w:p>
    <w:p>
      <w:pPr>
        <w:spacing w:line="400" w:lineRule="exact"/>
        <w:rPr>
          <w:rFonts w:ascii="SimHei" w:hAnsi="SimHei" w:eastAsia="黑体" w:cs="SimHei"/>
        </w:rPr>
      </w:pPr>
    </w:p>
    <w:p>
      <w:pPr>
        <w:spacing w:line="400" w:lineRule="exact"/>
        <w:rPr>
          <w:rFonts w:ascii="SimHei" w:hAnsi="SimHei" w:eastAsia="黑体" w:cs="SimHei"/>
        </w:rPr>
      </w:pPr>
    </w:p>
    <w:p>
      <w:pPr>
        <w:spacing w:line="400" w:lineRule="exact"/>
        <w:rPr>
          <w:rFonts w:ascii="SimHei" w:hAnsi="SimHei" w:eastAsia="黑体" w:cs="SimHei"/>
        </w:rPr>
      </w:pPr>
    </w:p>
    <w:p>
      <w:pPr>
        <w:spacing w:line="400" w:lineRule="exact"/>
        <w:rPr>
          <w:rFonts w:ascii="SimHei" w:hAnsi="SimHei" w:eastAsia="黑体" w:cs="SimHei"/>
        </w:rPr>
      </w:pPr>
    </w:p>
    <w:p>
      <w:pPr>
        <w:spacing w:line="400" w:lineRule="exact"/>
        <w:rPr>
          <w:rFonts w:ascii="SimHei" w:hAnsi="SimHei" w:eastAsia="黑体" w:cs="SimHei"/>
        </w:rPr>
      </w:pPr>
    </w:p>
    <w:p>
      <w:pPr>
        <w:spacing w:line="400" w:lineRule="exact"/>
        <w:rPr>
          <w:rFonts w:ascii="SimHei" w:hAnsi="SimHei" w:eastAsia="黑体" w:cs="SimHei"/>
        </w:rPr>
      </w:pPr>
    </w:p>
    <w:p>
      <w:pPr>
        <w:spacing w:line="400" w:lineRule="exact"/>
        <w:rPr>
          <w:rFonts w:ascii="SimHei" w:hAnsi="SimHei" w:eastAsia="黑体" w:cs="SimHei"/>
        </w:rPr>
      </w:pPr>
    </w:p>
    <w:p>
      <w:pPr>
        <w:spacing w:line="400" w:lineRule="exact"/>
        <w:rPr>
          <w:rFonts w:ascii="SimHei" w:hAnsi="SimHei" w:eastAsia="黑体" w:cs="SimHei"/>
        </w:rPr>
      </w:pPr>
    </w:p>
    <w:p>
      <w:pPr>
        <w:spacing w:line="400" w:lineRule="exact"/>
        <w:rPr>
          <w:rFonts w:ascii="SimHei" w:hAnsi="SimHei" w:eastAsia="黑体" w:cs="SimHei"/>
        </w:rPr>
      </w:pPr>
    </w:p>
    <w:sectPr>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1" w:usb1="080E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A9D"/>
    <w:rsid w:val="00002AC1"/>
    <w:rsid w:val="00002F98"/>
    <w:rsid w:val="00003837"/>
    <w:rsid w:val="000047AD"/>
    <w:rsid w:val="000049F6"/>
    <w:rsid w:val="0000706C"/>
    <w:rsid w:val="0001032E"/>
    <w:rsid w:val="000139E5"/>
    <w:rsid w:val="00014E05"/>
    <w:rsid w:val="000156A6"/>
    <w:rsid w:val="00017090"/>
    <w:rsid w:val="00020792"/>
    <w:rsid w:val="000218D5"/>
    <w:rsid w:val="00021F8B"/>
    <w:rsid w:val="00022F14"/>
    <w:rsid w:val="000251A5"/>
    <w:rsid w:val="00030419"/>
    <w:rsid w:val="000308CB"/>
    <w:rsid w:val="000318B2"/>
    <w:rsid w:val="000348A2"/>
    <w:rsid w:val="00034D1A"/>
    <w:rsid w:val="00035360"/>
    <w:rsid w:val="00035B5A"/>
    <w:rsid w:val="00045D11"/>
    <w:rsid w:val="00047802"/>
    <w:rsid w:val="00053A0E"/>
    <w:rsid w:val="00053AC8"/>
    <w:rsid w:val="00053B6E"/>
    <w:rsid w:val="00053D59"/>
    <w:rsid w:val="00057AB4"/>
    <w:rsid w:val="00060813"/>
    <w:rsid w:val="000644F2"/>
    <w:rsid w:val="000653F5"/>
    <w:rsid w:val="000672BA"/>
    <w:rsid w:val="00071BA2"/>
    <w:rsid w:val="00071D21"/>
    <w:rsid w:val="000722CC"/>
    <w:rsid w:val="00074023"/>
    <w:rsid w:val="0007404D"/>
    <w:rsid w:val="00083A81"/>
    <w:rsid w:val="000849A0"/>
    <w:rsid w:val="00087216"/>
    <w:rsid w:val="000905CF"/>
    <w:rsid w:val="00091F6E"/>
    <w:rsid w:val="00093ECF"/>
    <w:rsid w:val="0009728F"/>
    <w:rsid w:val="00097628"/>
    <w:rsid w:val="000A0AC7"/>
    <w:rsid w:val="000A138D"/>
    <w:rsid w:val="000A1D96"/>
    <w:rsid w:val="000A1E2D"/>
    <w:rsid w:val="000A73FA"/>
    <w:rsid w:val="000B25EF"/>
    <w:rsid w:val="000B37E3"/>
    <w:rsid w:val="000B6724"/>
    <w:rsid w:val="000B6C6B"/>
    <w:rsid w:val="000B757C"/>
    <w:rsid w:val="000C4A72"/>
    <w:rsid w:val="000D1DF9"/>
    <w:rsid w:val="000D461D"/>
    <w:rsid w:val="000D67E9"/>
    <w:rsid w:val="000D6E4F"/>
    <w:rsid w:val="000E4208"/>
    <w:rsid w:val="000E5C06"/>
    <w:rsid w:val="000E7AC2"/>
    <w:rsid w:val="000F2119"/>
    <w:rsid w:val="000F2A4C"/>
    <w:rsid w:val="000F2BAC"/>
    <w:rsid w:val="00100BC4"/>
    <w:rsid w:val="0010334D"/>
    <w:rsid w:val="00104B0F"/>
    <w:rsid w:val="001061E5"/>
    <w:rsid w:val="00110689"/>
    <w:rsid w:val="001124D2"/>
    <w:rsid w:val="00115D88"/>
    <w:rsid w:val="00120123"/>
    <w:rsid w:val="0013297C"/>
    <w:rsid w:val="00132E9B"/>
    <w:rsid w:val="00136B52"/>
    <w:rsid w:val="00137450"/>
    <w:rsid w:val="0014131C"/>
    <w:rsid w:val="0014325F"/>
    <w:rsid w:val="001436B5"/>
    <w:rsid w:val="0014380F"/>
    <w:rsid w:val="00146C06"/>
    <w:rsid w:val="00155C0C"/>
    <w:rsid w:val="001564D7"/>
    <w:rsid w:val="001579B6"/>
    <w:rsid w:val="00163972"/>
    <w:rsid w:val="00163A56"/>
    <w:rsid w:val="00165BA4"/>
    <w:rsid w:val="00165E19"/>
    <w:rsid w:val="00170C74"/>
    <w:rsid w:val="00175298"/>
    <w:rsid w:val="001756D7"/>
    <w:rsid w:val="00176593"/>
    <w:rsid w:val="001815A5"/>
    <w:rsid w:val="0018200A"/>
    <w:rsid w:val="00185AFA"/>
    <w:rsid w:val="001908E9"/>
    <w:rsid w:val="00191560"/>
    <w:rsid w:val="0019618D"/>
    <w:rsid w:val="001977B1"/>
    <w:rsid w:val="001A04E4"/>
    <w:rsid w:val="001A0EFF"/>
    <w:rsid w:val="001A1230"/>
    <w:rsid w:val="001A240B"/>
    <w:rsid w:val="001A6B96"/>
    <w:rsid w:val="001A725A"/>
    <w:rsid w:val="001A73C4"/>
    <w:rsid w:val="001A7834"/>
    <w:rsid w:val="001B1E1E"/>
    <w:rsid w:val="001B2A4B"/>
    <w:rsid w:val="001B5456"/>
    <w:rsid w:val="001B7BFA"/>
    <w:rsid w:val="001C7C06"/>
    <w:rsid w:val="001D12D3"/>
    <w:rsid w:val="001D47FA"/>
    <w:rsid w:val="001D5EB1"/>
    <w:rsid w:val="001D6AB2"/>
    <w:rsid w:val="001D75D9"/>
    <w:rsid w:val="001E1047"/>
    <w:rsid w:val="001E4FAF"/>
    <w:rsid w:val="001E7366"/>
    <w:rsid w:val="001E7F60"/>
    <w:rsid w:val="001F2148"/>
    <w:rsid w:val="001F2A93"/>
    <w:rsid w:val="001F2B4F"/>
    <w:rsid w:val="001F4C28"/>
    <w:rsid w:val="001F53FE"/>
    <w:rsid w:val="001F762F"/>
    <w:rsid w:val="00200CCB"/>
    <w:rsid w:val="0020128E"/>
    <w:rsid w:val="00201644"/>
    <w:rsid w:val="002026FC"/>
    <w:rsid w:val="00206EB0"/>
    <w:rsid w:val="0021100C"/>
    <w:rsid w:val="0021250F"/>
    <w:rsid w:val="00212C83"/>
    <w:rsid w:val="00212EC3"/>
    <w:rsid w:val="00214B80"/>
    <w:rsid w:val="00214DB6"/>
    <w:rsid w:val="00215B6A"/>
    <w:rsid w:val="002174B5"/>
    <w:rsid w:val="00223C57"/>
    <w:rsid w:val="00232978"/>
    <w:rsid w:val="002332E6"/>
    <w:rsid w:val="00241FBE"/>
    <w:rsid w:val="00242A7B"/>
    <w:rsid w:val="00244121"/>
    <w:rsid w:val="00244B70"/>
    <w:rsid w:val="002509F7"/>
    <w:rsid w:val="002521ED"/>
    <w:rsid w:val="00252612"/>
    <w:rsid w:val="00257879"/>
    <w:rsid w:val="00257A30"/>
    <w:rsid w:val="00260F81"/>
    <w:rsid w:val="0026362A"/>
    <w:rsid w:val="00270BF1"/>
    <w:rsid w:val="002712A6"/>
    <w:rsid w:val="00273257"/>
    <w:rsid w:val="0027385B"/>
    <w:rsid w:val="00275AA8"/>
    <w:rsid w:val="0028031D"/>
    <w:rsid w:val="00286427"/>
    <w:rsid w:val="0028680F"/>
    <w:rsid w:val="00287B4E"/>
    <w:rsid w:val="00294221"/>
    <w:rsid w:val="00294E7C"/>
    <w:rsid w:val="0029753D"/>
    <w:rsid w:val="002978C0"/>
    <w:rsid w:val="002A132F"/>
    <w:rsid w:val="002A1E90"/>
    <w:rsid w:val="002A3698"/>
    <w:rsid w:val="002A49BC"/>
    <w:rsid w:val="002A5BB6"/>
    <w:rsid w:val="002B0A15"/>
    <w:rsid w:val="002B0E61"/>
    <w:rsid w:val="002B145E"/>
    <w:rsid w:val="002B51E7"/>
    <w:rsid w:val="002B5D09"/>
    <w:rsid w:val="002C6675"/>
    <w:rsid w:val="002C76AE"/>
    <w:rsid w:val="002C78D0"/>
    <w:rsid w:val="002D0ED2"/>
    <w:rsid w:val="002D3C18"/>
    <w:rsid w:val="002D59D5"/>
    <w:rsid w:val="002E2C4B"/>
    <w:rsid w:val="002E2E0C"/>
    <w:rsid w:val="002E6AF4"/>
    <w:rsid w:val="002F1966"/>
    <w:rsid w:val="003046ED"/>
    <w:rsid w:val="003047AF"/>
    <w:rsid w:val="00306BD5"/>
    <w:rsid w:val="00310BED"/>
    <w:rsid w:val="003162F1"/>
    <w:rsid w:val="00317C1E"/>
    <w:rsid w:val="003201A7"/>
    <w:rsid w:val="00320414"/>
    <w:rsid w:val="0032135B"/>
    <w:rsid w:val="003220C0"/>
    <w:rsid w:val="0033022D"/>
    <w:rsid w:val="003321CD"/>
    <w:rsid w:val="00333E72"/>
    <w:rsid w:val="00333EAD"/>
    <w:rsid w:val="00334D1D"/>
    <w:rsid w:val="00341CEF"/>
    <w:rsid w:val="00343336"/>
    <w:rsid w:val="00345AB1"/>
    <w:rsid w:val="003509CF"/>
    <w:rsid w:val="003527C1"/>
    <w:rsid w:val="00353237"/>
    <w:rsid w:val="00356AAD"/>
    <w:rsid w:val="00357B98"/>
    <w:rsid w:val="003600DD"/>
    <w:rsid w:val="00360725"/>
    <w:rsid w:val="003616A0"/>
    <w:rsid w:val="003619D4"/>
    <w:rsid w:val="003702A9"/>
    <w:rsid w:val="00371131"/>
    <w:rsid w:val="00371FAD"/>
    <w:rsid w:val="0037359A"/>
    <w:rsid w:val="00376689"/>
    <w:rsid w:val="00380A35"/>
    <w:rsid w:val="00382630"/>
    <w:rsid w:val="00382B1D"/>
    <w:rsid w:val="00384137"/>
    <w:rsid w:val="00384407"/>
    <w:rsid w:val="0039121E"/>
    <w:rsid w:val="003934DE"/>
    <w:rsid w:val="00393ED7"/>
    <w:rsid w:val="00395F81"/>
    <w:rsid w:val="0039710C"/>
    <w:rsid w:val="003A2E27"/>
    <w:rsid w:val="003A3BC9"/>
    <w:rsid w:val="003A5FB4"/>
    <w:rsid w:val="003A77AB"/>
    <w:rsid w:val="003B05D4"/>
    <w:rsid w:val="003B0775"/>
    <w:rsid w:val="003B7442"/>
    <w:rsid w:val="003B787C"/>
    <w:rsid w:val="003D1FD2"/>
    <w:rsid w:val="003D4114"/>
    <w:rsid w:val="003D68DA"/>
    <w:rsid w:val="003E448A"/>
    <w:rsid w:val="003E77B1"/>
    <w:rsid w:val="003F22E5"/>
    <w:rsid w:val="003F78AE"/>
    <w:rsid w:val="004009FB"/>
    <w:rsid w:val="0040168D"/>
    <w:rsid w:val="00401CE9"/>
    <w:rsid w:val="00405BEF"/>
    <w:rsid w:val="00410913"/>
    <w:rsid w:val="00410992"/>
    <w:rsid w:val="00410D73"/>
    <w:rsid w:val="0041140B"/>
    <w:rsid w:val="004125B9"/>
    <w:rsid w:val="00415B4D"/>
    <w:rsid w:val="004166EA"/>
    <w:rsid w:val="00416D88"/>
    <w:rsid w:val="00417EE9"/>
    <w:rsid w:val="004226A6"/>
    <w:rsid w:val="00422DE2"/>
    <w:rsid w:val="004239BE"/>
    <w:rsid w:val="00424B9D"/>
    <w:rsid w:val="00432572"/>
    <w:rsid w:val="00432E35"/>
    <w:rsid w:val="0043400E"/>
    <w:rsid w:val="00434895"/>
    <w:rsid w:val="0043532B"/>
    <w:rsid w:val="00435481"/>
    <w:rsid w:val="004371F7"/>
    <w:rsid w:val="00441B01"/>
    <w:rsid w:val="0044676D"/>
    <w:rsid w:val="00446E84"/>
    <w:rsid w:val="004472CB"/>
    <w:rsid w:val="00447CFB"/>
    <w:rsid w:val="0045405E"/>
    <w:rsid w:val="00455335"/>
    <w:rsid w:val="00456FDA"/>
    <w:rsid w:val="00461776"/>
    <w:rsid w:val="004624FF"/>
    <w:rsid w:val="00462D8C"/>
    <w:rsid w:val="004644DB"/>
    <w:rsid w:val="004717B1"/>
    <w:rsid w:val="00473386"/>
    <w:rsid w:val="004750AE"/>
    <w:rsid w:val="004752D9"/>
    <w:rsid w:val="00475467"/>
    <w:rsid w:val="00475E65"/>
    <w:rsid w:val="004844AB"/>
    <w:rsid w:val="004907CF"/>
    <w:rsid w:val="0049229F"/>
    <w:rsid w:val="004946C1"/>
    <w:rsid w:val="00494BE2"/>
    <w:rsid w:val="004976CB"/>
    <w:rsid w:val="004A021C"/>
    <w:rsid w:val="004B08DF"/>
    <w:rsid w:val="004B2606"/>
    <w:rsid w:val="004B3A01"/>
    <w:rsid w:val="004C11C3"/>
    <w:rsid w:val="004C2022"/>
    <w:rsid w:val="004D527A"/>
    <w:rsid w:val="004D725B"/>
    <w:rsid w:val="004D761C"/>
    <w:rsid w:val="004E5A23"/>
    <w:rsid w:val="004F1491"/>
    <w:rsid w:val="004F2F53"/>
    <w:rsid w:val="004F6C08"/>
    <w:rsid w:val="005006DD"/>
    <w:rsid w:val="005019B5"/>
    <w:rsid w:val="005019BA"/>
    <w:rsid w:val="00502CD5"/>
    <w:rsid w:val="00504745"/>
    <w:rsid w:val="00504972"/>
    <w:rsid w:val="00505AE6"/>
    <w:rsid w:val="00505BE6"/>
    <w:rsid w:val="00506A08"/>
    <w:rsid w:val="005070BC"/>
    <w:rsid w:val="00510C4E"/>
    <w:rsid w:val="0051173F"/>
    <w:rsid w:val="0051201E"/>
    <w:rsid w:val="005133C2"/>
    <w:rsid w:val="00514CFC"/>
    <w:rsid w:val="00525F52"/>
    <w:rsid w:val="00526ED8"/>
    <w:rsid w:val="005279E4"/>
    <w:rsid w:val="00530576"/>
    <w:rsid w:val="0054082E"/>
    <w:rsid w:val="00541DE5"/>
    <w:rsid w:val="0054263E"/>
    <w:rsid w:val="00552A9A"/>
    <w:rsid w:val="0055430C"/>
    <w:rsid w:val="0055473A"/>
    <w:rsid w:val="0055584D"/>
    <w:rsid w:val="0055750E"/>
    <w:rsid w:val="00561879"/>
    <w:rsid w:val="00562F3C"/>
    <w:rsid w:val="00564C97"/>
    <w:rsid w:val="00565C3F"/>
    <w:rsid w:val="00571EB7"/>
    <w:rsid w:val="00574585"/>
    <w:rsid w:val="00575600"/>
    <w:rsid w:val="005767DB"/>
    <w:rsid w:val="00580233"/>
    <w:rsid w:val="00580E20"/>
    <w:rsid w:val="00583154"/>
    <w:rsid w:val="00583494"/>
    <w:rsid w:val="00586A33"/>
    <w:rsid w:val="00586BF6"/>
    <w:rsid w:val="00586D76"/>
    <w:rsid w:val="00586FB3"/>
    <w:rsid w:val="0058702A"/>
    <w:rsid w:val="005900C4"/>
    <w:rsid w:val="00591437"/>
    <w:rsid w:val="005914AB"/>
    <w:rsid w:val="00594611"/>
    <w:rsid w:val="005956B1"/>
    <w:rsid w:val="005958EC"/>
    <w:rsid w:val="00595FC0"/>
    <w:rsid w:val="005A3138"/>
    <w:rsid w:val="005A46E5"/>
    <w:rsid w:val="005A7A58"/>
    <w:rsid w:val="005B0C98"/>
    <w:rsid w:val="005B44FD"/>
    <w:rsid w:val="005B6951"/>
    <w:rsid w:val="005C03FB"/>
    <w:rsid w:val="005C19F1"/>
    <w:rsid w:val="005C3B7F"/>
    <w:rsid w:val="005C65EB"/>
    <w:rsid w:val="005D6F1F"/>
    <w:rsid w:val="005E06B6"/>
    <w:rsid w:val="005E1BD2"/>
    <w:rsid w:val="005E45FE"/>
    <w:rsid w:val="005E6801"/>
    <w:rsid w:val="005E6D83"/>
    <w:rsid w:val="005F21C7"/>
    <w:rsid w:val="005F2F5C"/>
    <w:rsid w:val="005F4856"/>
    <w:rsid w:val="005F6F63"/>
    <w:rsid w:val="00602358"/>
    <w:rsid w:val="00603165"/>
    <w:rsid w:val="006055A1"/>
    <w:rsid w:val="0060705C"/>
    <w:rsid w:val="00607865"/>
    <w:rsid w:val="00610B72"/>
    <w:rsid w:val="00610F8E"/>
    <w:rsid w:val="00612EFE"/>
    <w:rsid w:val="006204AD"/>
    <w:rsid w:val="00621293"/>
    <w:rsid w:val="00621DEE"/>
    <w:rsid w:val="00621E97"/>
    <w:rsid w:val="00623093"/>
    <w:rsid w:val="006231BA"/>
    <w:rsid w:val="00625F21"/>
    <w:rsid w:val="0063076D"/>
    <w:rsid w:val="006307A3"/>
    <w:rsid w:val="00633A37"/>
    <w:rsid w:val="00635416"/>
    <w:rsid w:val="00635471"/>
    <w:rsid w:val="00635939"/>
    <w:rsid w:val="0064199F"/>
    <w:rsid w:val="006503C2"/>
    <w:rsid w:val="00650662"/>
    <w:rsid w:val="0065313D"/>
    <w:rsid w:val="00656F21"/>
    <w:rsid w:val="00661619"/>
    <w:rsid w:val="006625A0"/>
    <w:rsid w:val="00662DE1"/>
    <w:rsid w:val="006651AE"/>
    <w:rsid w:val="0066546D"/>
    <w:rsid w:val="00667429"/>
    <w:rsid w:val="00667E37"/>
    <w:rsid w:val="006732CD"/>
    <w:rsid w:val="00673952"/>
    <w:rsid w:val="00673FEB"/>
    <w:rsid w:val="00676EAA"/>
    <w:rsid w:val="00677691"/>
    <w:rsid w:val="006820D0"/>
    <w:rsid w:val="00683CDF"/>
    <w:rsid w:val="0069085F"/>
    <w:rsid w:val="006A1545"/>
    <w:rsid w:val="006A18C3"/>
    <w:rsid w:val="006A3B17"/>
    <w:rsid w:val="006A4A56"/>
    <w:rsid w:val="006A5BCB"/>
    <w:rsid w:val="006A664A"/>
    <w:rsid w:val="006B0535"/>
    <w:rsid w:val="006B7CB1"/>
    <w:rsid w:val="006C05BB"/>
    <w:rsid w:val="006C0805"/>
    <w:rsid w:val="006C2E76"/>
    <w:rsid w:val="006C6060"/>
    <w:rsid w:val="006C7CB0"/>
    <w:rsid w:val="006D005C"/>
    <w:rsid w:val="006D1A72"/>
    <w:rsid w:val="006D1FBF"/>
    <w:rsid w:val="006D4492"/>
    <w:rsid w:val="006E4858"/>
    <w:rsid w:val="006E5741"/>
    <w:rsid w:val="006E68A3"/>
    <w:rsid w:val="006F2471"/>
    <w:rsid w:val="006F39EA"/>
    <w:rsid w:val="006F4BF7"/>
    <w:rsid w:val="007042ED"/>
    <w:rsid w:val="007053D6"/>
    <w:rsid w:val="00705D5C"/>
    <w:rsid w:val="00706144"/>
    <w:rsid w:val="00706E21"/>
    <w:rsid w:val="00707DD1"/>
    <w:rsid w:val="0071017E"/>
    <w:rsid w:val="0071017F"/>
    <w:rsid w:val="00713A73"/>
    <w:rsid w:val="00713F88"/>
    <w:rsid w:val="0071540F"/>
    <w:rsid w:val="00717F58"/>
    <w:rsid w:val="00720388"/>
    <w:rsid w:val="00721C55"/>
    <w:rsid w:val="00722CE0"/>
    <w:rsid w:val="00724C20"/>
    <w:rsid w:val="00725089"/>
    <w:rsid w:val="007250AF"/>
    <w:rsid w:val="00725611"/>
    <w:rsid w:val="00725949"/>
    <w:rsid w:val="00727009"/>
    <w:rsid w:val="007301B7"/>
    <w:rsid w:val="007323F7"/>
    <w:rsid w:val="00732E62"/>
    <w:rsid w:val="00747010"/>
    <w:rsid w:val="0074743C"/>
    <w:rsid w:val="007522FF"/>
    <w:rsid w:val="00754136"/>
    <w:rsid w:val="007621E8"/>
    <w:rsid w:val="00762E46"/>
    <w:rsid w:val="007673CE"/>
    <w:rsid w:val="00771EC5"/>
    <w:rsid w:val="0077603A"/>
    <w:rsid w:val="00780AF7"/>
    <w:rsid w:val="007814E2"/>
    <w:rsid w:val="007816BC"/>
    <w:rsid w:val="00790C77"/>
    <w:rsid w:val="00790DE3"/>
    <w:rsid w:val="0079148C"/>
    <w:rsid w:val="007A161D"/>
    <w:rsid w:val="007A28A8"/>
    <w:rsid w:val="007A2D1A"/>
    <w:rsid w:val="007A456E"/>
    <w:rsid w:val="007A5F75"/>
    <w:rsid w:val="007A60C8"/>
    <w:rsid w:val="007B255E"/>
    <w:rsid w:val="007B26C7"/>
    <w:rsid w:val="007B2F20"/>
    <w:rsid w:val="007B4480"/>
    <w:rsid w:val="007B4775"/>
    <w:rsid w:val="007B6796"/>
    <w:rsid w:val="007B69B2"/>
    <w:rsid w:val="007B6B7F"/>
    <w:rsid w:val="007B74BB"/>
    <w:rsid w:val="007C01CA"/>
    <w:rsid w:val="007C124E"/>
    <w:rsid w:val="007C153A"/>
    <w:rsid w:val="007C33D5"/>
    <w:rsid w:val="007C435C"/>
    <w:rsid w:val="007C58A5"/>
    <w:rsid w:val="007C76ED"/>
    <w:rsid w:val="007D0FC7"/>
    <w:rsid w:val="007D2FB3"/>
    <w:rsid w:val="007E227C"/>
    <w:rsid w:val="007E491B"/>
    <w:rsid w:val="007E5449"/>
    <w:rsid w:val="007E6E53"/>
    <w:rsid w:val="007E6F47"/>
    <w:rsid w:val="007F001A"/>
    <w:rsid w:val="007F0D6D"/>
    <w:rsid w:val="00802131"/>
    <w:rsid w:val="00810434"/>
    <w:rsid w:val="00812D1F"/>
    <w:rsid w:val="00813EFB"/>
    <w:rsid w:val="008153B5"/>
    <w:rsid w:val="0081579C"/>
    <w:rsid w:val="00820D8D"/>
    <w:rsid w:val="0082209D"/>
    <w:rsid w:val="008230AF"/>
    <w:rsid w:val="00823617"/>
    <w:rsid w:val="008309F7"/>
    <w:rsid w:val="008343A8"/>
    <w:rsid w:val="00844916"/>
    <w:rsid w:val="00844F71"/>
    <w:rsid w:val="008452B1"/>
    <w:rsid w:val="00856E38"/>
    <w:rsid w:val="00857075"/>
    <w:rsid w:val="00857818"/>
    <w:rsid w:val="00857D11"/>
    <w:rsid w:val="00861E24"/>
    <w:rsid w:val="008622D0"/>
    <w:rsid w:val="008658F7"/>
    <w:rsid w:val="0087517E"/>
    <w:rsid w:val="00875B84"/>
    <w:rsid w:val="008765B6"/>
    <w:rsid w:val="008803B7"/>
    <w:rsid w:val="008815CA"/>
    <w:rsid w:val="00881BC9"/>
    <w:rsid w:val="008869C0"/>
    <w:rsid w:val="00890749"/>
    <w:rsid w:val="0089176F"/>
    <w:rsid w:val="008A69E1"/>
    <w:rsid w:val="008B1730"/>
    <w:rsid w:val="008B3234"/>
    <w:rsid w:val="008B573E"/>
    <w:rsid w:val="008C2FF0"/>
    <w:rsid w:val="008D25D5"/>
    <w:rsid w:val="008D2D17"/>
    <w:rsid w:val="008D3F2A"/>
    <w:rsid w:val="008D480E"/>
    <w:rsid w:val="008D7384"/>
    <w:rsid w:val="008E0212"/>
    <w:rsid w:val="008E0D0A"/>
    <w:rsid w:val="008E426B"/>
    <w:rsid w:val="008E6623"/>
    <w:rsid w:val="008F160A"/>
    <w:rsid w:val="008F284B"/>
    <w:rsid w:val="008F28AD"/>
    <w:rsid w:val="008F39F6"/>
    <w:rsid w:val="008F3BC6"/>
    <w:rsid w:val="008F79BB"/>
    <w:rsid w:val="008F7A37"/>
    <w:rsid w:val="00900376"/>
    <w:rsid w:val="009024FF"/>
    <w:rsid w:val="009048E9"/>
    <w:rsid w:val="0090561C"/>
    <w:rsid w:val="00906FC9"/>
    <w:rsid w:val="00915627"/>
    <w:rsid w:val="00916D47"/>
    <w:rsid w:val="00917949"/>
    <w:rsid w:val="00917C02"/>
    <w:rsid w:val="00921CC9"/>
    <w:rsid w:val="00926F3A"/>
    <w:rsid w:val="00927E51"/>
    <w:rsid w:val="00935E7F"/>
    <w:rsid w:val="00942E86"/>
    <w:rsid w:val="009430C8"/>
    <w:rsid w:val="00943562"/>
    <w:rsid w:val="009448F5"/>
    <w:rsid w:val="0095309C"/>
    <w:rsid w:val="00954E27"/>
    <w:rsid w:val="009607C9"/>
    <w:rsid w:val="009612FB"/>
    <w:rsid w:val="009646C5"/>
    <w:rsid w:val="009727D3"/>
    <w:rsid w:val="00972E7A"/>
    <w:rsid w:val="00972FB8"/>
    <w:rsid w:val="0097717C"/>
    <w:rsid w:val="0098457E"/>
    <w:rsid w:val="00987238"/>
    <w:rsid w:val="00987D57"/>
    <w:rsid w:val="00987DE3"/>
    <w:rsid w:val="00990CB0"/>
    <w:rsid w:val="009911BD"/>
    <w:rsid w:val="00991D9A"/>
    <w:rsid w:val="009932A5"/>
    <w:rsid w:val="00997533"/>
    <w:rsid w:val="009A0C10"/>
    <w:rsid w:val="009A3F39"/>
    <w:rsid w:val="009A511A"/>
    <w:rsid w:val="009A56D1"/>
    <w:rsid w:val="009A5716"/>
    <w:rsid w:val="009B08DC"/>
    <w:rsid w:val="009B3C65"/>
    <w:rsid w:val="009B3DA9"/>
    <w:rsid w:val="009B418D"/>
    <w:rsid w:val="009C2C7A"/>
    <w:rsid w:val="009C2CDC"/>
    <w:rsid w:val="009C30D1"/>
    <w:rsid w:val="009C79FB"/>
    <w:rsid w:val="009D0AB2"/>
    <w:rsid w:val="009D1717"/>
    <w:rsid w:val="009D1796"/>
    <w:rsid w:val="009D34C2"/>
    <w:rsid w:val="009D3C51"/>
    <w:rsid w:val="009D4623"/>
    <w:rsid w:val="009D5DF3"/>
    <w:rsid w:val="009D6D47"/>
    <w:rsid w:val="009E0836"/>
    <w:rsid w:val="009E42AF"/>
    <w:rsid w:val="009E5E2B"/>
    <w:rsid w:val="009E69D5"/>
    <w:rsid w:val="009F0B55"/>
    <w:rsid w:val="009F2BA4"/>
    <w:rsid w:val="009F56DD"/>
    <w:rsid w:val="00A012CB"/>
    <w:rsid w:val="00A02FC5"/>
    <w:rsid w:val="00A03467"/>
    <w:rsid w:val="00A04ADE"/>
    <w:rsid w:val="00A05C17"/>
    <w:rsid w:val="00A06156"/>
    <w:rsid w:val="00A113EE"/>
    <w:rsid w:val="00A1392D"/>
    <w:rsid w:val="00A13E59"/>
    <w:rsid w:val="00A1489A"/>
    <w:rsid w:val="00A228DD"/>
    <w:rsid w:val="00A22E0B"/>
    <w:rsid w:val="00A23069"/>
    <w:rsid w:val="00A33E61"/>
    <w:rsid w:val="00A34515"/>
    <w:rsid w:val="00A35070"/>
    <w:rsid w:val="00A362A9"/>
    <w:rsid w:val="00A416FE"/>
    <w:rsid w:val="00A41C8B"/>
    <w:rsid w:val="00A42994"/>
    <w:rsid w:val="00A43D7A"/>
    <w:rsid w:val="00A4465F"/>
    <w:rsid w:val="00A44F9B"/>
    <w:rsid w:val="00A45B27"/>
    <w:rsid w:val="00A45D72"/>
    <w:rsid w:val="00A46013"/>
    <w:rsid w:val="00A50C3C"/>
    <w:rsid w:val="00A5131C"/>
    <w:rsid w:val="00A51367"/>
    <w:rsid w:val="00A525DB"/>
    <w:rsid w:val="00A52B66"/>
    <w:rsid w:val="00A533F3"/>
    <w:rsid w:val="00A5461B"/>
    <w:rsid w:val="00A571F9"/>
    <w:rsid w:val="00A63D20"/>
    <w:rsid w:val="00A65F4B"/>
    <w:rsid w:val="00A6730F"/>
    <w:rsid w:val="00A71590"/>
    <w:rsid w:val="00A73615"/>
    <w:rsid w:val="00A744ED"/>
    <w:rsid w:val="00A75086"/>
    <w:rsid w:val="00A75096"/>
    <w:rsid w:val="00A75115"/>
    <w:rsid w:val="00A75957"/>
    <w:rsid w:val="00A77DFC"/>
    <w:rsid w:val="00A81682"/>
    <w:rsid w:val="00A825BC"/>
    <w:rsid w:val="00A835F2"/>
    <w:rsid w:val="00A853D4"/>
    <w:rsid w:val="00A94BA5"/>
    <w:rsid w:val="00A95C23"/>
    <w:rsid w:val="00A95D68"/>
    <w:rsid w:val="00A9661C"/>
    <w:rsid w:val="00AA08A4"/>
    <w:rsid w:val="00AA10D1"/>
    <w:rsid w:val="00AA12EA"/>
    <w:rsid w:val="00AA1604"/>
    <w:rsid w:val="00AA2B6E"/>
    <w:rsid w:val="00AA4940"/>
    <w:rsid w:val="00AB0736"/>
    <w:rsid w:val="00AB0BA1"/>
    <w:rsid w:val="00AB37C4"/>
    <w:rsid w:val="00AB41B6"/>
    <w:rsid w:val="00AB67E8"/>
    <w:rsid w:val="00AC2DCE"/>
    <w:rsid w:val="00AC2EFB"/>
    <w:rsid w:val="00AC421A"/>
    <w:rsid w:val="00AC6831"/>
    <w:rsid w:val="00AD0E03"/>
    <w:rsid w:val="00AD5477"/>
    <w:rsid w:val="00AD79AE"/>
    <w:rsid w:val="00AE0BE9"/>
    <w:rsid w:val="00AE46B2"/>
    <w:rsid w:val="00AF09F2"/>
    <w:rsid w:val="00AF2243"/>
    <w:rsid w:val="00AF375F"/>
    <w:rsid w:val="00AF3D79"/>
    <w:rsid w:val="00AF60D1"/>
    <w:rsid w:val="00AF7020"/>
    <w:rsid w:val="00AF73FE"/>
    <w:rsid w:val="00AF7FD4"/>
    <w:rsid w:val="00B011D6"/>
    <w:rsid w:val="00B01872"/>
    <w:rsid w:val="00B11D04"/>
    <w:rsid w:val="00B11E11"/>
    <w:rsid w:val="00B12132"/>
    <w:rsid w:val="00B17C80"/>
    <w:rsid w:val="00B20FEB"/>
    <w:rsid w:val="00B234BC"/>
    <w:rsid w:val="00B27EB1"/>
    <w:rsid w:val="00B33ECD"/>
    <w:rsid w:val="00B34675"/>
    <w:rsid w:val="00B41625"/>
    <w:rsid w:val="00B41C08"/>
    <w:rsid w:val="00B50176"/>
    <w:rsid w:val="00B52408"/>
    <w:rsid w:val="00B672B1"/>
    <w:rsid w:val="00B71F6D"/>
    <w:rsid w:val="00B742DD"/>
    <w:rsid w:val="00B747E3"/>
    <w:rsid w:val="00B74847"/>
    <w:rsid w:val="00B75656"/>
    <w:rsid w:val="00B802B1"/>
    <w:rsid w:val="00B82D2E"/>
    <w:rsid w:val="00B83B90"/>
    <w:rsid w:val="00B843EC"/>
    <w:rsid w:val="00B928E5"/>
    <w:rsid w:val="00B96BB6"/>
    <w:rsid w:val="00B97417"/>
    <w:rsid w:val="00BA1643"/>
    <w:rsid w:val="00BA3F7F"/>
    <w:rsid w:val="00BA429D"/>
    <w:rsid w:val="00BB7654"/>
    <w:rsid w:val="00BC2CFD"/>
    <w:rsid w:val="00BD0B0B"/>
    <w:rsid w:val="00BD221E"/>
    <w:rsid w:val="00BE1928"/>
    <w:rsid w:val="00BE3D57"/>
    <w:rsid w:val="00BE790C"/>
    <w:rsid w:val="00BF0E2A"/>
    <w:rsid w:val="00BF474C"/>
    <w:rsid w:val="00BF495D"/>
    <w:rsid w:val="00BF5D0B"/>
    <w:rsid w:val="00C00843"/>
    <w:rsid w:val="00C02321"/>
    <w:rsid w:val="00C02C01"/>
    <w:rsid w:val="00C158C5"/>
    <w:rsid w:val="00C163E7"/>
    <w:rsid w:val="00C227B4"/>
    <w:rsid w:val="00C2537A"/>
    <w:rsid w:val="00C25C21"/>
    <w:rsid w:val="00C26BE9"/>
    <w:rsid w:val="00C274AC"/>
    <w:rsid w:val="00C359B6"/>
    <w:rsid w:val="00C35C81"/>
    <w:rsid w:val="00C35CCD"/>
    <w:rsid w:val="00C40531"/>
    <w:rsid w:val="00C40D8C"/>
    <w:rsid w:val="00C41240"/>
    <w:rsid w:val="00C41766"/>
    <w:rsid w:val="00C41AE1"/>
    <w:rsid w:val="00C428B2"/>
    <w:rsid w:val="00C42EAC"/>
    <w:rsid w:val="00C434EB"/>
    <w:rsid w:val="00C45F0E"/>
    <w:rsid w:val="00C46F17"/>
    <w:rsid w:val="00C50708"/>
    <w:rsid w:val="00C52327"/>
    <w:rsid w:val="00C54B49"/>
    <w:rsid w:val="00C60AA7"/>
    <w:rsid w:val="00C628FA"/>
    <w:rsid w:val="00C63672"/>
    <w:rsid w:val="00C6398B"/>
    <w:rsid w:val="00C67909"/>
    <w:rsid w:val="00C703D1"/>
    <w:rsid w:val="00C740C1"/>
    <w:rsid w:val="00C74CCC"/>
    <w:rsid w:val="00C76542"/>
    <w:rsid w:val="00C80BCE"/>
    <w:rsid w:val="00C82910"/>
    <w:rsid w:val="00C83C9F"/>
    <w:rsid w:val="00C84E46"/>
    <w:rsid w:val="00C93472"/>
    <w:rsid w:val="00C951AF"/>
    <w:rsid w:val="00C96B73"/>
    <w:rsid w:val="00C97805"/>
    <w:rsid w:val="00CB0972"/>
    <w:rsid w:val="00CB1F34"/>
    <w:rsid w:val="00CB4555"/>
    <w:rsid w:val="00CB4DA9"/>
    <w:rsid w:val="00CB5025"/>
    <w:rsid w:val="00CB5F60"/>
    <w:rsid w:val="00CC109C"/>
    <w:rsid w:val="00CC2529"/>
    <w:rsid w:val="00CC57E1"/>
    <w:rsid w:val="00CC6755"/>
    <w:rsid w:val="00CD2CB5"/>
    <w:rsid w:val="00CD3F2C"/>
    <w:rsid w:val="00CD5C5F"/>
    <w:rsid w:val="00CE07E1"/>
    <w:rsid w:val="00CE0DC4"/>
    <w:rsid w:val="00CE0F5E"/>
    <w:rsid w:val="00CE1710"/>
    <w:rsid w:val="00CE201E"/>
    <w:rsid w:val="00CE50E7"/>
    <w:rsid w:val="00CE6987"/>
    <w:rsid w:val="00CF0EC2"/>
    <w:rsid w:val="00CF15E1"/>
    <w:rsid w:val="00CF5F42"/>
    <w:rsid w:val="00D075F8"/>
    <w:rsid w:val="00D16041"/>
    <w:rsid w:val="00D16613"/>
    <w:rsid w:val="00D20063"/>
    <w:rsid w:val="00D20BF4"/>
    <w:rsid w:val="00D21822"/>
    <w:rsid w:val="00D27E14"/>
    <w:rsid w:val="00D34921"/>
    <w:rsid w:val="00D349C1"/>
    <w:rsid w:val="00D36EB5"/>
    <w:rsid w:val="00D43F08"/>
    <w:rsid w:val="00D44112"/>
    <w:rsid w:val="00D462A2"/>
    <w:rsid w:val="00D46922"/>
    <w:rsid w:val="00D52E49"/>
    <w:rsid w:val="00D545C3"/>
    <w:rsid w:val="00D55685"/>
    <w:rsid w:val="00D56741"/>
    <w:rsid w:val="00D64869"/>
    <w:rsid w:val="00D64993"/>
    <w:rsid w:val="00D67299"/>
    <w:rsid w:val="00D733A6"/>
    <w:rsid w:val="00D7429A"/>
    <w:rsid w:val="00D74875"/>
    <w:rsid w:val="00D77611"/>
    <w:rsid w:val="00D8007C"/>
    <w:rsid w:val="00D82ADD"/>
    <w:rsid w:val="00D852AE"/>
    <w:rsid w:val="00D8691B"/>
    <w:rsid w:val="00D913C9"/>
    <w:rsid w:val="00D95ABE"/>
    <w:rsid w:val="00DA265B"/>
    <w:rsid w:val="00DA2DFC"/>
    <w:rsid w:val="00DA33A7"/>
    <w:rsid w:val="00DA348D"/>
    <w:rsid w:val="00DA4498"/>
    <w:rsid w:val="00DB41F2"/>
    <w:rsid w:val="00DB41FB"/>
    <w:rsid w:val="00DB47D2"/>
    <w:rsid w:val="00DB56A7"/>
    <w:rsid w:val="00DB5CE3"/>
    <w:rsid w:val="00DB7A9D"/>
    <w:rsid w:val="00DC1DC4"/>
    <w:rsid w:val="00DC1E08"/>
    <w:rsid w:val="00DC3DFE"/>
    <w:rsid w:val="00DC4592"/>
    <w:rsid w:val="00DC4F5A"/>
    <w:rsid w:val="00DC702C"/>
    <w:rsid w:val="00DD0EA4"/>
    <w:rsid w:val="00DD1B16"/>
    <w:rsid w:val="00DD1D77"/>
    <w:rsid w:val="00DD5239"/>
    <w:rsid w:val="00DD6F0D"/>
    <w:rsid w:val="00DE29C7"/>
    <w:rsid w:val="00DE3035"/>
    <w:rsid w:val="00DE3686"/>
    <w:rsid w:val="00DE3961"/>
    <w:rsid w:val="00DE3E1E"/>
    <w:rsid w:val="00DE4A9D"/>
    <w:rsid w:val="00DE542E"/>
    <w:rsid w:val="00DE6022"/>
    <w:rsid w:val="00DE7BC0"/>
    <w:rsid w:val="00DF1A2D"/>
    <w:rsid w:val="00DF47E8"/>
    <w:rsid w:val="00DF4F1F"/>
    <w:rsid w:val="00DF67F1"/>
    <w:rsid w:val="00E00293"/>
    <w:rsid w:val="00E0126D"/>
    <w:rsid w:val="00E07611"/>
    <w:rsid w:val="00E10E1E"/>
    <w:rsid w:val="00E119A0"/>
    <w:rsid w:val="00E14CDB"/>
    <w:rsid w:val="00E16EEA"/>
    <w:rsid w:val="00E23D0C"/>
    <w:rsid w:val="00E25AB9"/>
    <w:rsid w:val="00E277C4"/>
    <w:rsid w:val="00E321CC"/>
    <w:rsid w:val="00E403B1"/>
    <w:rsid w:val="00E410EB"/>
    <w:rsid w:val="00E46AAC"/>
    <w:rsid w:val="00E55B62"/>
    <w:rsid w:val="00E55F45"/>
    <w:rsid w:val="00E56162"/>
    <w:rsid w:val="00E5754E"/>
    <w:rsid w:val="00E62566"/>
    <w:rsid w:val="00E679F0"/>
    <w:rsid w:val="00E73485"/>
    <w:rsid w:val="00E77810"/>
    <w:rsid w:val="00E80508"/>
    <w:rsid w:val="00E80A20"/>
    <w:rsid w:val="00E82745"/>
    <w:rsid w:val="00E86B88"/>
    <w:rsid w:val="00E87475"/>
    <w:rsid w:val="00E9122E"/>
    <w:rsid w:val="00E91C5E"/>
    <w:rsid w:val="00E966EE"/>
    <w:rsid w:val="00EA64D4"/>
    <w:rsid w:val="00EA6B74"/>
    <w:rsid w:val="00EB2A07"/>
    <w:rsid w:val="00EB2A39"/>
    <w:rsid w:val="00EB373E"/>
    <w:rsid w:val="00EB7133"/>
    <w:rsid w:val="00EB7D55"/>
    <w:rsid w:val="00EC0429"/>
    <w:rsid w:val="00EC19EE"/>
    <w:rsid w:val="00EC41F6"/>
    <w:rsid w:val="00EC53D5"/>
    <w:rsid w:val="00EC5C17"/>
    <w:rsid w:val="00EC7E7D"/>
    <w:rsid w:val="00ED1EFA"/>
    <w:rsid w:val="00ED36A0"/>
    <w:rsid w:val="00ED575A"/>
    <w:rsid w:val="00EE1FEE"/>
    <w:rsid w:val="00EE3060"/>
    <w:rsid w:val="00EF04EA"/>
    <w:rsid w:val="00EF1CB6"/>
    <w:rsid w:val="00EF7793"/>
    <w:rsid w:val="00F07BF3"/>
    <w:rsid w:val="00F10EE8"/>
    <w:rsid w:val="00F11ED2"/>
    <w:rsid w:val="00F12A83"/>
    <w:rsid w:val="00F202A2"/>
    <w:rsid w:val="00F23B23"/>
    <w:rsid w:val="00F24881"/>
    <w:rsid w:val="00F24EB7"/>
    <w:rsid w:val="00F25B80"/>
    <w:rsid w:val="00F27EFE"/>
    <w:rsid w:val="00F3014F"/>
    <w:rsid w:val="00F30877"/>
    <w:rsid w:val="00F34AD3"/>
    <w:rsid w:val="00F35230"/>
    <w:rsid w:val="00F36F15"/>
    <w:rsid w:val="00F42E9E"/>
    <w:rsid w:val="00F443E2"/>
    <w:rsid w:val="00F4544A"/>
    <w:rsid w:val="00F513D9"/>
    <w:rsid w:val="00F5479C"/>
    <w:rsid w:val="00F563F4"/>
    <w:rsid w:val="00F60BDD"/>
    <w:rsid w:val="00F65A2D"/>
    <w:rsid w:val="00F724F6"/>
    <w:rsid w:val="00F73693"/>
    <w:rsid w:val="00F73A6C"/>
    <w:rsid w:val="00F75A6C"/>
    <w:rsid w:val="00F77F92"/>
    <w:rsid w:val="00F803CD"/>
    <w:rsid w:val="00F874A4"/>
    <w:rsid w:val="00F911AB"/>
    <w:rsid w:val="00F926D7"/>
    <w:rsid w:val="00F92A74"/>
    <w:rsid w:val="00F934E8"/>
    <w:rsid w:val="00F96B1B"/>
    <w:rsid w:val="00F97024"/>
    <w:rsid w:val="00F97A9C"/>
    <w:rsid w:val="00FA1933"/>
    <w:rsid w:val="00FA2E99"/>
    <w:rsid w:val="00FA530B"/>
    <w:rsid w:val="00FA647B"/>
    <w:rsid w:val="00FA6C7F"/>
    <w:rsid w:val="00FA7149"/>
    <w:rsid w:val="00FB0FED"/>
    <w:rsid w:val="00FB2398"/>
    <w:rsid w:val="00FB5B9F"/>
    <w:rsid w:val="00FB6463"/>
    <w:rsid w:val="00FB7346"/>
    <w:rsid w:val="00FC14CF"/>
    <w:rsid w:val="00FC16EE"/>
    <w:rsid w:val="00FC356B"/>
    <w:rsid w:val="00FC672A"/>
    <w:rsid w:val="00FC7AA6"/>
    <w:rsid w:val="00FD2C64"/>
    <w:rsid w:val="00FD327C"/>
    <w:rsid w:val="00FE177F"/>
    <w:rsid w:val="00FE3E2B"/>
    <w:rsid w:val="00FE42ED"/>
    <w:rsid w:val="00FE4D33"/>
    <w:rsid w:val="00FE4DFB"/>
    <w:rsid w:val="00FE6F2C"/>
    <w:rsid w:val="00FF0926"/>
    <w:rsid w:val="00FF12CC"/>
    <w:rsid w:val="00FF6A39"/>
    <w:rsid w:val="7B56335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SimHei" w:hAnsi="SimHei" w:eastAsia="黑体" w:cs="SimHei"/>
      </w:rPr>
    </w:r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name="annotation text"/>
    <w:lsdException w:unhideWhenUsed="0" w:uiPriority="0" w:semiHidden="0" w:name="header"/>
    <w:lsdException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SimHei" w:hAnsi="SimHei" w:eastAsia="黑体" w:cs="SimHei"/>
      <w:kern w:val="2"/>
      <w:sz w:val="21"/>
      <w:szCs w:val="24"/>
      <w:lang w:val="en-US" w:eastAsia="zh-CN" w:bidi="ar-SA"/>
    </w:rPr>
  </w:style>
  <w:style w:type="character" w:default="1" w:styleId="8">
    <w:name w:val="Default Paragraph Font"/>
    <w:semiHidden/>
    <w:uiPriority w:val="0"/>
  </w:style>
  <w:style w:type="table" w:default="1" w:styleId="6">
    <w:name w:val="Normal Table"/>
    <w:semiHidden/>
    <w:uiPriority w:val="0"/>
    <w:tblPr>
      <w:tblStyle w:val="6"/>
      <w:tblCellMar>
        <w:top w:w="0" w:type="dxa"/>
        <w:left w:w="108" w:type="dxa"/>
        <w:bottom w:w="0" w:type="dxa"/>
        <w:right w:w="108" w:type="dxa"/>
      </w:tblCellMar>
    </w:tblPr>
    <w:trPr>
      <w:wBefore w:w="0" w:type="dxa"/>
    </w:trPr>
  </w:style>
  <w:style w:type="paragraph" w:styleId="2">
    <w:name w:val="annotation text"/>
    <w:basedOn w:val="1"/>
    <w:semiHidden/>
    <w:uiPriority w:val="0"/>
    <w:pPr>
      <w:jc w:val="left"/>
    </w:pPr>
  </w:style>
  <w:style w:type="paragraph" w:styleId="3">
    <w:name w:val="Date"/>
    <w:basedOn w:val="1"/>
    <w:next w:val="1"/>
    <w:uiPriority w:val="0"/>
    <w:pPr>
      <w:ind w:left="100" w:leftChars="2500"/>
    </w:pPr>
  </w:style>
  <w:style w:type="paragraph" w:styleId="4">
    <w:name w:val="Balloon Text"/>
    <w:basedOn w:val="1"/>
    <w:semiHidden/>
    <w:uiPriority w:val="0"/>
    <w:rPr>
      <w:sz w:val="18"/>
      <w:szCs w:val="18"/>
    </w:rPr>
  </w:style>
  <w:style w:type="paragraph" w:styleId="5">
    <w:name w:val="annotation subject"/>
    <w:basedOn w:val="2"/>
    <w:next w:val="2"/>
    <w:semiHidden/>
    <w:uiPriority w:val="0"/>
    <w:rPr>
      <w:b/>
      <w:bCs/>
    </w:rPr>
  </w:style>
  <w:style w:type="table" w:styleId="7">
    <w:name w:val="Table Grid"/>
    <w:basedOn w:val="6"/>
    <w:uiPriority w:val="0"/>
    <w:pPr>
      <w:widowControl w:val="0"/>
      <w:jc w:val="both"/>
    </w:pPr>
    <w:tblPr>
      <w:tblStyle w:val="6"/>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annotation reference"/>
    <w:basedOn w:val="8"/>
    <w:semiHidden/>
    <w:uiPriority w:val="0"/>
    <w:rPr>
      <w:sz w:val="21"/>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Template>
  <Company>whdc</Company>
  <Pages>1</Pages>
  <Words>516</Words>
  <Characters>2946</Characters>
  <Lines>24</Lines>
  <Paragraphs>6</Paragraphs>
  <TotalTime>0</TotalTime>
  <ScaleCrop>false</ScaleCrop>
  <LinksUpToDate>false</LinksUpToDate>
  <CharactersWithSpaces>3456</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2011-05-17T08:55:00Z</dcterms:created>
  <dc:creator>EJB03武汉物业行政人事部石文杰</dc:creator>
  <cp:lastModifiedBy>kingsoft</cp:lastModifiedBy>
  <cp:lastPrinted>2008-09-23T04:08:00Z</cp:lastPrinted>
  <dcterms:modified xsi:type="dcterms:W3CDTF">2020-05-14T12:59:33Z</dcterms:modified>
  <dc:title>员工培训效果评估规程</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y fmtid="{D5CDD505-2E9C-101B-9397-08002B2CF9AE}" pid="3" name="KSOTemplateUUID">
    <vt:lpwstr>v1.0_mb_47CNlYE23jWXF5rg/vGtUQ==</vt:lpwstr>
  </property>
</Properties>
</file>