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firstLine="708"/>
        <w:jc w:val="left"/>
        <w:rPr>
          <w:rFonts w:ascii="SimHei" w:hAnsi="SimHei" w:eastAsia="黑体" w:cs="SimHei"/>
          <w:sz w:val="32"/>
          <w:szCs w:val="32"/>
        </w:rPr>
      </w:pPr>
      <w:r>
        <w:rPr>
          <w:rFonts w:ascii="SimHei" w:hAnsi="SimHei" w:eastAsia="黑体" w:cs="SimHei"/>
          <w:sz w:val="32"/>
          <w:szCs w:val="32"/>
        </w:rPr>
        <w:t xml:space="preserve">      </w:t>
      </w:r>
    </w:p>
    <w:p>
      <w:pPr>
        <w:pStyle w:val="Normal"/>
        <w:ind w:left="356" w:hanging="356"/>
        <w:jc w:val="center"/>
        <w:rPr>
          <w:rFonts w:ascii="SimHei" w:hAnsi="SimHei" w:eastAsia="黑体" w:cs="SimHei"/>
          <w:sz w:val="36"/>
          <w:szCs w:val="21"/>
        </w:rPr>
      </w:pPr>
      <w:r>
        <w:rPr>
          <w:rFonts w:ascii="SimHei" w:hAnsi="SimHei" w:eastAsia="黑体" w:cs="SimHei"/>
          <w:sz w:val="36"/>
          <w:szCs w:val="21"/>
        </w:rPr>
        <w:t>一航局三</w:t>
      </w:r>
      <w:r>
        <w:rPr>
          <w:rFonts w:ascii="SimHei" w:hAnsi="SimHei" w:eastAsia="黑体" w:cs="SimHei"/>
          <w:sz w:val="36"/>
          <w:szCs w:val="21"/>
        </w:rPr>
        <w:t>公司企业年金实施细则</w:t>
      </w:r>
    </w:p>
    <w:p>
      <w:pPr>
        <w:pStyle w:val="Normal"/>
        <w:ind w:left="75" w:hanging="0"/>
        <w:jc w:val="center"/>
        <w:rPr>
          <w:rFonts w:ascii="SimHei" w:hAnsi="SimHei" w:eastAsia="黑体" w:cs="SimHei"/>
          <w:sz w:val="32"/>
          <w:szCs w:val="32"/>
        </w:rPr>
      </w:pPr>
      <w:r>
        <w:rPr>
          <w:rFonts w:ascii="SimHei" w:hAnsi="SimHei" w:eastAsia="黑体" w:cs="SimHei"/>
          <w:sz w:val="32"/>
          <w:szCs w:val="32"/>
        </w:rPr>
        <w:t>（讨论稿）</w:t>
      </w:r>
    </w:p>
    <w:p>
      <w:pPr>
        <w:pStyle w:val="Normal"/>
        <w:ind w:left="75" w:hanging="0"/>
        <w:jc w:val="center"/>
        <w:rPr>
          <w:rFonts w:ascii="SimHei" w:hAnsi="SimHei" w:eastAsia="黑体" w:cs="SimHei"/>
          <w:sz w:val="32"/>
          <w:szCs w:val="32"/>
        </w:rPr>
      </w:pPr>
      <w:r>
        <w:rPr>
          <w:rFonts w:ascii="SimHei" w:hAnsi="SimHei" w:eastAsia="黑体" w:cs="SimHei"/>
          <w:sz w:val="32"/>
          <w:szCs w:val="32"/>
        </w:rPr>
      </w:r>
    </w:p>
    <w:p>
      <w:pPr>
        <w:pStyle w:val="Normal"/>
        <w:ind w:left="75" w:hanging="0"/>
        <w:jc w:val="center"/>
        <w:rPr>
          <w:rFonts w:ascii="SimHei" w:hAnsi="SimHei" w:eastAsia="黑体" w:cs="SimHei"/>
          <w:sz w:val="32"/>
          <w:szCs w:val="32"/>
        </w:rPr>
      </w:pPr>
      <w:r>
        <w:rPr>
          <w:rFonts w:ascii="SimHei" w:hAnsi="SimHei" w:eastAsia="黑体" w:cs="SimHei"/>
          <w:sz w:val="32"/>
          <w:szCs w:val="32"/>
        </w:rPr>
        <w:t>第一章 总则</w:t>
      </w:r>
    </w:p>
    <w:p>
      <w:pPr>
        <w:pStyle w:val="Normal"/>
        <w:ind w:firstLine="632"/>
        <w:rPr/>
      </w:pPr>
      <w:r>
        <w:rPr>
          <w:rFonts w:ascii="SimHei" w:hAnsi="SimHei" w:eastAsia="黑体" w:cs="SimHei"/>
          <w:sz w:val="32"/>
          <w:szCs w:val="32"/>
        </w:rPr>
        <w:t>第一条  为建立多层次的企业养老保险体系和长效人才激励机制，保障职工退休后的生活质量，</w:t>
      </w:r>
      <w:r>
        <w:rPr>
          <w:rFonts w:ascii="SimHei" w:hAnsi="SimHei" w:eastAsia="黑体" w:cs="SimHei"/>
          <w:color w:val="000000"/>
          <w:kern w:val="0"/>
          <w:sz w:val="32"/>
          <w:szCs w:val="32"/>
        </w:rPr>
        <w:t>促进企业健康持续发展。根据《中交</w:t>
      </w:r>
      <w:r>
        <w:rPr>
          <w:rFonts w:ascii="SimHei" w:hAnsi="SimHei" w:eastAsia="黑体" w:cs="SimHei"/>
          <w:sz w:val="32"/>
          <w:szCs w:val="32"/>
        </w:rPr>
        <w:t>一航局</w:t>
      </w:r>
      <w:r>
        <w:rPr>
          <w:rFonts w:ascii="SimHei" w:hAnsi="SimHei" w:eastAsia="黑体" w:cs="SimHei"/>
          <w:color w:val="000000"/>
          <w:kern w:val="0"/>
          <w:sz w:val="32"/>
          <w:szCs w:val="32"/>
        </w:rPr>
        <w:t>公司企业年金实施办法》，结合本公司的实际情况，</w:t>
      </w:r>
      <w:r>
        <w:rPr>
          <w:rFonts w:ascii="SimHei" w:hAnsi="SimHei" w:eastAsia="黑体" w:cs="SimHei"/>
          <w:sz w:val="32"/>
          <w:szCs w:val="32"/>
        </w:rPr>
        <w:t xml:space="preserve">特制订本实施细则。 </w:t>
      </w:r>
    </w:p>
    <w:p>
      <w:pPr>
        <w:pStyle w:val="Normal"/>
        <w:spacing w:lineRule="auto" w:line="360"/>
        <w:ind w:firstLine="619"/>
        <w:rPr>
          <w:rFonts w:ascii="SimHei" w:hAnsi="SimHei" w:eastAsia="黑体" w:cs="SimHei"/>
          <w:sz w:val="32"/>
          <w:szCs w:val="32"/>
        </w:rPr>
      </w:pPr>
      <w:r>
        <w:rPr>
          <w:rFonts w:ascii="SimHei" w:hAnsi="SimHei" w:eastAsia="黑体" w:cs="SimHei"/>
          <w:sz w:val="32"/>
          <w:szCs w:val="32"/>
        </w:rPr>
        <w:t>第二条  本实施细则中的企业年金，指企业在依法参加国家法定基本养老保险并履行缴费义务的基础上，根据公司的经济承受能力自愿建立的补充性养老金制度，是企业员工福利制度的组成部分。</w:t>
      </w:r>
    </w:p>
    <w:p>
      <w:pPr>
        <w:pStyle w:val="Normal"/>
        <w:spacing w:lineRule="auto" w:line="360"/>
        <w:ind w:firstLine="619"/>
        <w:rPr/>
      </w:pPr>
      <w:r>
        <w:rPr>
          <w:rFonts w:ascii="SimHei" w:hAnsi="SimHei" w:eastAsia="黑体" w:cs="SimHei"/>
          <w:sz w:val="32"/>
          <w:szCs w:val="32"/>
        </w:rPr>
        <w:t>第三条  本实施细则遵循以下基本原则：</w:t>
      </w:r>
    </w:p>
    <w:p>
      <w:pPr>
        <w:pStyle w:val="Normal"/>
        <w:tabs>
          <w:tab w:val="clear" w:pos="420"/>
          <w:tab w:val="left" w:pos="1800" w:leader="none"/>
        </w:tabs>
        <w:spacing w:lineRule="auto" w:line="360"/>
        <w:ind w:firstLine="632"/>
        <w:jc w:val="left"/>
        <w:rPr/>
      </w:pPr>
      <w:r>
        <w:rPr>
          <w:rFonts w:ascii="SimHei" w:hAnsi="SimHei" w:eastAsia="黑体" w:cs="SimHei"/>
          <w:sz w:val="32"/>
          <w:szCs w:val="32"/>
        </w:rPr>
        <w:t>（一）民主协商和自愿的原则：根据经济效益情况决定是否建立企业年金，并经职工代表大会或代表组长联席会议集体协商通过后实施；员工可自愿选择参加。</w:t>
      </w:r>
    </w:p>
    <w:p>
      <w:pPr>
        <w:pStyle w:val="Normal"/>
        <w:tabs>
          <w:tab w:val="clear" w:pos="420"/>
          <w:tab w:val="left" w:pos="1800" w:leader="none"/>
        </w:tabs>
        <w:spacing w:lineRule="auto" w:line="360"/>
        <w:ind w:firstLine="632"/>
        <w:jc w:val="left"/>
        <w:rPr>
          <w:rFonts w:ascii="SimHei" w:hAnsi="SimHei" w:eastAsia="黑体" w:cs="SimHei"/>
          <w:sz w:val="32"/>
          <w:szCs w:val="32"/>
        </w:rPr>
      </w:pPr>
      <w:r>
        <w:rPr>
          <w:rFonts w:ascii="SimHei" w:hAnsi="SimHei" w:eastAsia="黑体" w:cs="SimHei"/>
          <w:sz w:val="32"/>
          <w:szCs w:val="32"/>
        </w:rPr>
        <w:t>（二）保障性和激励性相结合的原则</w:t>
      </w:r>
      <w:r>
        <w:rPr>
          <w:rFonts w:ascii="SimHei" w:hAnsi="SimHei" w:eastAsia="黑体" w:cs="SimHei"/>
          <w:sz w:val="32"/>
          <w:szCs w:val="32"/>
        </w:rPr>
        <w:t>:</w:t>
      </w:r>
      <w:r>
        <w:rPr>
          <w:rFonts w:ascii="SimHei" w:hAnsi="SimHei" w:eastAsia="黑体" w:cs="SimHei"/>
          <w:sz w:val="32"/>
          <w:szCs w:val="32"/>
        </w:rPr>
        <w:t>本办法充分考虑企业员工未来基本生活保障，同时根据企业长期发展战略、人力资源配置及内部分配制度改革的需要，完善激励机制和薪酬分配制度。</w:t>
      </w:r>
    </w:p>
    <w:p>
      <w:pPr>
        <w:pStyle w:val="Normal"/>
        <w:tabs>
          <w:tab w:val="clear" w:pos="420"/>
          <w:tab w:val="left" w:pos="1080" w:leader="none"/>
        </w:tabs>
        <w:spacing w:lineRule="auto" w:line="360"/>
        <w:ind w:firstLine="632"/>
        <w:jc w:val="left"/>
        <w:rPr/>
      </w:pPr>
      <w:r>
        <w:rPr>
          <w:rFonts w:ascii="SimHei" w:hAnsi="SimHei" w:eastAsia="黑体" w:cs="SimHei"/>
          <w:sz w:val="32"/>
          <w:szCs w:val="32"/>
        </w:rPr>
        <w:t>（三）效率优先和兼顾公平的原则：根据员工对企业经营业绩的贡献大小来分配企业缴费的资金，考虑员工的职级</w:t>
      </w:r>
      <w:r>
        <w:rPr>
          <w:rFonts w:ascii="SimHei" w:hAnsi="SimHei" w:eastAsia="黑体" w:cs="SimHei"/>
          <w:sz w:val="32"/>
          <w:szCs w:val="32"/>
        </w:rPr>
        <w:t>（职称、技能等级）</w:t>
      </w:r>
      <w:r>
        <w:rPr>
          <w:rFonts w:ascii="SimHei" w:hAnsi="SimHei" w:eastAsia="黑体" w:cs="SimHei"/>
          <w:sz w:val="32"/>
          <w:szCs w:val="32"/>
        </w:rPr>
        <w:t>、</w:t>
      </w:r>
      <w:r>
        <w:rPr>
          <w:rFonts w:ascii="SimHei" w:hAnsi="SimHei" w:eastAsia="黑体" w:cs="SimHei"/>
          <w:sz w:val="32"/>
          <w:szCs w:val="32"/>
        </w:rPr>
        <w:t>特殊贡献</w:t>
      </w:r>
      <w:r>
        <w:rPr>
          <w:rFonts w:ascii="SimHei" w:hAnsi="SimHei" w:eastAsia="黑体" w:cs="SimHei"/>
          <w:sz w:val="32"/>
          <w:szCs w:val="32"/>
        </w:rPr>
        <w:t>和工作年限等因素，适当向关键岗位和优秀人才倾斜，保证资金分配的公平性。</w:t>
      </w:r>
    </w:p>
    <w:p>
      <w:pPr>
        <w:pStyle w:val="Normal"/>
        <w:tabs>
          <w:tab w:val="clear" w:pos="420"/>
          <w:tab w:val="left" w:pos="1080" w:leader="none"/>
        </w:tabs>
        <w:spacing w:lineRule="auto" w:line="360"/>
        <w:ind w:firstLine="632"/>
        <w:jc w:val="left"/>
        <w:rPr>
          <w:rFonts w:ascii="SimHei" w:hAnsi="SimHei" w:eastAsia="黑体" w:cs="SimHei"/>
          <w:sz w:val="32"/>
          <w:szCs w:val="32"/>
        </w:rPr>
      </w:pPr>
      <w:r>
        <w:rPr>
          <w:rFonts w:ascii="SimHei" w:hAnsi="SimHei" w:eastAsia="黑体" w:cs="SimHei"/>
          <w:sz w:val="32"/>
          <w:szCs w:val="32"/>
        </w:rPr>
        <w:t>（四）高度安全和适度收益的原则：由中交股份选择具备资格的专业管理机构运作，确立规范的合同关系，保证企业年金基金的安全性和收益性。</w:t>
      </w:r>
    </w:p>
    <w:p>
      <w:pPr>
        <w:pStyle w:val="Normal"/>
        <w:spacing w:lineRule="auto" w:line="360"/>
        <w:ind w:firstLine="619"/>
        <w:rPr>
          <w:rFonts w:ascii="SimHei" w:hAnsi="SimHei" w:eastAsia="黑体" w:cs="SimHei"/>
          <w:sz w:val="32"/>
          <w:szCs w:val="32"/>
        </w:rPr>
      </w:pPr>
      <w:r>
        <w:rPr>
          <w:rFonts w:ascii="SimHei" w:hAnsi="SimHei" w:eastAsia="黑体" w:cs="SimHei"/>
          <w:sz w:val="32"/>
          <w:szCs w:val="32"/>
        </w:rPr>
        <w:t>（五）适时调整的原则：根据国家相关政策法规的调整和企业自身的实际情况，适时调整实施办法。</w:t>
      </w:r>
    </w:p>
    <w:p>
      <w:pPr>
        <w:pStyle w:val="Normal"/>
        <w:ind w:firstLine="632"/>
        <w:rPr>
          <w:rFonts w:ascii="SimHei" w:hAnsi="SimHei" w:eastAsia="黑体" w:cs="SimHei"/>
          <w:sz w:val="32"/>
          <w:szCs w:val="32"/>
        </w:rPr>
      </w:pPr>
      <w:r>
        <w:rPr>
          <w:rFonts w:ascii="SimHei" w:hAnsi="SimHei" w:eastAsia="黑体" w:cs="SimHei"/>
          <w:sz w:val="32"/>
          <w:szCs w:val="32"/>
        </w:rPr>
      </w:r>
    </w:p>
    <w:p>
      <w:pPr>
        <w:pStyle w:val="Normal"/>
        <w:numPr>
          <w:ilvl w:val="0"/>
          <w:numId w:val="2"/>
        </w:numPr>
        <w:spacing w:lineRule="auto" w:line="360" w:before="0" w:after="280"/>
        <w:jc w:val="center"/>
        <w:rPr>
          <w:rFonts w:ascii="SimHei" w:hAnsi="SimHei" w:eastAsia="黑体" w:cs="SimHei"/>
          <w:bCs/>
          <w:sz w:val="32"/>
          <w:szCs w:val="32"/>
        </w:rPr>
      </w:pPr>
      <w:r>
        <w:rPr>
          <w:rFonts w:ascii="SimHei" w:hAnsi="SimHei" w:eastAsia="黑体" w:cs="SimHei"/>
          <w:bCs/>
          <w:sz w:val="32"/>
          <w:szCs w:val="32"/>
        </w:rPr>
        <w:t>试行企业年金制度的基本条件</w:t>
      </w:r>
    </w:p>
    <w:p>
      <w:pPr>
        <w:pStyle w:val="Normal"/>
        <w:spacing w:lineRule="auto" w:line="360"/>
        <w:ind w:firstLine="632"/>
        <w:rPr/>
      </w:pPr>
      <w:r>
        <w:rPr>
          <w:rFonts w:ascii="SimHei" w:hAnsi="SimHei" w:eastAsia="黑体" w:cs="SimHei"/>
          <w:sz w:val="32"/>
          <w:szCs w:val="32"/>
        </w:rPr>
        <w:t>第四条  公司实行企业年金制度应符合以下条件：</w:t>
      </w:r>
    </w:p>
    <w:p>
      <w:pPr>
        <w:pStyle w:val="Normal"/>
        <w:numPr>
          <w:ilvl w:val="0"/>
          <w:numId w:val="1"/>
        </w:numPr>
        <w:spacing w:lineRule="auto" w:line="360"/>
        <w:rPr>
          <w:rFonts w:ascii="SimHei" w:hAnsi="SimHei" w:eastAsia="黑体" w:cs="SimHei"/>
          <w:sz w:val="32"/>
          <w:szCs w:val="32"/>
        </w:rPr>
      </w:pPr>
      <w:r>
        <w:rPr>
          <w:rFonts w:ascii="SimHei" w:hAnsi="SimHei" w:eastAsia="黑体" w:cs="SimHei"/>
          <w:sz w:val="32"/>
          <w:szCs w:val="32"/>
        </w:rPr>
        <w:t>具备相应的经济能力</w:t>
      </w:r>
    </w:p>
    <w:p>
      <w:pPr>
        <w:pStyle w:val="Normal"/>
        <w:spacing w:lineRule="auto" w:line="360"/>
        <w:ind w:firstLine="632"/>
        <w:rPr/>
      </w:pPr>
      <w:r>
        <w:rPr>
          <w:rFonts w:ascii="SimHei" w:hAnsi="SimHei" w:eastAsia="黑体" w:cs="SimHei"/>
          <w:sz w:val="32"/>
          <w:szCs w:val="32"/>
        </w:rPr>
        <w:t>企业盈利并完成一航局公司下达的国有资本保值增值率指标时，可以试行企业年金制度。</w:t>
      </w:r>
    </w:p>
    <w:p>
      <w:pPr>
        <w:pStyle w:val="Normal"/>
        <w:spacing w:lineRule="auto" w:line="360"/>
        <w:ind w:firstLine="632"/>
        <w:rPr>
          <w:rFonts w:ascii="SimHei" w:hAnsi="SimHei" w:eastAsia="黑体" w:cs="SimHei"/>
          <w:sz w:val="32"/>
          <w:szCs w:val="32"/>
        </w:rPr>
      </w:pPr>
      <w:r>
        <w:rPr>
          <w:rFonts w:ascii="SimHei" w:hAnsi="SimHei" w:eastAsia="黑体" w:cs="SimHei"/>
          <w:sz w:val="32"/>
          <w:szCs w:val="32"/>
        </w:rPr>
        <w:t>当企业在上年度出现亏损或停业等情况，暂时无法履行缴费义务时可以暂停缴费，待经济状态好转并开始盈利后，恢复缴费义务。</w:t>
      </w:r>
    </w:p>
    <w:p>
      <w:pPr>
        <w:pStyle w:val="Normal"/>
        <w:numPr>
          <w:ilvl w:val="0"/>
          <w:numId w:val="1"/>
        </w:numPr>
        <w:spacing w:lineRule="auto" w:line="360"/>
        <w:rPr>
          <w:rFonts w:ascii="SimHei" w:hAnsi="SimHei" w:eastAsia="黑体" w:cs="SimHei"/>
          <w:sz w:val="32"/>
          <w:szCs w:val="32"/>
        </w:rPr>
      </w:pPr>
      <w:r>
        <w:rPr>
          <w:rFonts w:ascii="SimHei" w:hAnsi="SimHei" w:eastAsia="黑体" w:cs="SimHei"/>
          <w:sz w:val="32"/>
          <w:szCs w:val="32"/>
        </w:rPr>
        <w:t>具备较强的人工成本承受能力</w:t>
      </w:r>
    </w:p>
    <w:p>
      <w:pPr>
        <w:pStyle w:val="Normal"/>
        <w:spacing w:lineRule="auto" w:line="360"/>
        <w:ind w:firstLine="645"/>
        <w:rPr>
          <w:rFonts w:ascii="SimHei" w:hAnsi="SimHei" w:eastAsia="黑体" w:cs="SimHei"/>
          <w:sz w:val="32"/>
          <w:szCs w:val="32"/>
        </w:rPr>
      </w:pPr>
      <w:r>
        <w:rPr>
          <w:rFonts w:ascii="SimHei" w:hAnsi="SimHei" w:eastAsia="黑体" w:cs="SimHei"/>
          <w:sz w:val="32"/>
          <w:szCs w:val="32"/>
        </w:rPr>
        <w:t>企业不得因试行企业年金制度而造成人工成本大幅度增加，影响企业的竞争能力和国有资本经营收益。</w:t>
      </w:r>
    </w:p>
    <w:p>
      <w:pPr>
        <w:pStyle w:val="Normal"/>
        <w:numPr>
          <w:ilvl w:val="0"/>
          <w:numId w:val="1"/>
        </w:numPr>
        <w:spacing w:lineRule="auto" w:line="360"/>
        <w:rPr>
          <w:rFonts w:ascii="SimHei" w:hAnsi="SimHei" w:eastAsia="黑体" w:cs="SimHei"/>
          <w:sz w:val="32"/>
          <w:szCs w:val="32"/>
        </w:rPr>
      </w:pPr>
      <w:r>
        <w:rPr>
          <w:rFonts w:ascii="SimHei" w:hAnsi="SimHei" w:eastAsia="黑体" w:cs="SimHei"/>
          <w:sz w:val="32"/>
          <w:szCs w:val="32"/>
        </w:rPr>
        <w:t>基本养老规范、民主制度健全</w:t>
      </w:r>
    </w:p>
    <w:p>
      <w:pPr>
        <w:pStyle w:val="Normal"/>
        <w:spacing w:lineRule="auto" w:line="360"/>
        <w:ind w:firstLine="632"/>
        <w:rPr/>
      </w:pPr>
      <w:r>
        <w:rPr>
          <w:rFonts w:ascii="SimHei" w:hAnsi="SimHei" w:eastAsia="黑体" w:cs="SimHei"/>
          <w:sz w:val="32"/>
          <w:szCs w:val="32"/>
        </w:rPr>
        <w:t>企业应在依法参加基本养老保险并履行缴费义务的基础上试行企业年金制度。企业年金方案应按规定民主程序提交职工代表大会或代表组长联席会议讨论通过。</w:t>
      </w:r>
    </w:p>
    <w:p>
      <w:pPr>
        <w:pStyle w:val="Normal"/>
        <w:spacing w:lineRule="auto" w:line="360"/>
        <w:ind w:firstLine="632"/>
        <w:rPr/>
      </w:pPr>
      <w:r>
        <w:rPr>
          <w:rFonts w:ascii="SimHei" w:hAnsi="SimHei" w:eastAsia="黑体" w:cs="SimHei"/>
          <w:sz w:val="32"/>
          <w:szCs w:val="32"/>
        </w:rPr>
        <w:t>公司以独立法人资格作为参加年金制度的核算单位。</w:t>
      </w:r>
    </w:p>
    <w:p>
      <w:pPr>
        <w:pStyle w:val="Normal"/>
        <w:spacing w:lineRule="auto" w:line="360"/>
        <w:ind w:firstLine="632"/>
        <w:rPr>
          <w:rFonts w:ascii="SimHei" w:hAnsi="SimHei" w:eastAsia="黑体" w:cs="SimHei"/>
          <w:sz w:val="32"/>
          <w:szCs w:val="32"/>
        </w:rPr>
      </w:pPr>
      <w:r>
        <w:rPr>
          <w:rFonts w:ascii="SimHei" w:hAnsi="SimHei" w:eastAsia="黑体" w:cs="SimHei"/>
          <w:sz w:val="32"/>
          <w:szCs w:val="32"/>
        </w:rPr>
      </w:r>
    </w:p>
    <w:p>
      <w:pPr>
        <w:pStyle w:val="Normal"/>
        <w:jc w:val="center"/>
        <w:rPr/>
      </w:pPr>
      <w:r>
        <w:rPr>
          <w:rFonts w:ascii="SimHei" w:hAnsi="SimHei" w:eastAsia="黑体" w:cs="SimHei"/>
          <w:color w:val="000000"/>
          <w:kern w:val="0"/>
          <w:sz w:val="32"/>
          <w:szCs w:val="32"/>
        </w:rPr>
        <w:t>第三章  实施范围和参加条件</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 xml:space="preserve">第五条  </w:t>
      </w:r>
      <w:r>
        <w:rPr>
          <w:rFonts w:ascii="SimHei" w:hAnsi="SimHei" w:eastAsia="黑体" w:cs="SimHei"/>
          <w:sz w:val="32"/>
          <w:szCs w:val="32"/>
        </w:rPr>
        <w:t>本实施细则</w:t>
      </w:r>
      <w:r>
        <w:rPr>
          <w:rFonts w:ascii="SimHei" w:hAnsi="SimHei" w:eastAsia="黑体" w:cs="SimHei"/>
          <w:color w:val="000000"/>
          <w:kern w:val="0"/>
          <w:sz w:val="32"/>
          <w:szCs w:val="32"/>
        </w:rPr>
        <w:t>适用于公司</w:t>
      </w:r>
      <w:r>
        <w:rPr>
          <w:rFonts w:ascii="SimHei" w:hAnsi="SimHei" w:eastAsia="黑体" w:cs="SimHei"/>
          <w:color w:val="000000"/>
          <w:kern w:val="0"/>
          <w:sz w:val="32"/>
          <w:szCs w:val="32"/>
        </w:rPr>
        <w:t>2005</w:t>
      </w:r>
      <w:r>
        <w:rPr>
          <w:rFonts w:ascii="SimHei" w:hAnsi="SimHei" w:eastAsia="黑体" w:cs="SimHei"/>
          <w:color w:val="000000"/>
          <w:kern w:val="0"/>
          <w:sz w:val="32"/>
          <w:szCs w:val="32"/>
        </w:rPr>
        <w:t>年</w:t>
      </w:r>
      <w:r>
        <w:rPr>
          <w:rFonts w:ascii="SimHei" w:hAnsi="SimHei" w:eastAsia="黑体" w:cs="SimHei"/>
          <w:color w:val="000000"/>
          <w:kern w:val="0"/>
          <w:sz w:val="32"/>
          <w:szCs w:val="32"/>
        </w:rPr>
        <w:t>12</w:t>
      </w:r>
      <w:r>
        <w:rPr>
          <w:rFonts w:ascii="SimHei" w:hAnsi="SimHei" w:eastAsia="黑体" w:cs="SimHei"/>
          <w:color w:val="000000"/>
          <w:kern w:val="0"/>
          <w:sz w:val="32"/>
          <w:szCs w:val="32"/>
        </w:rPr>
        <w:t>月</w:t>
      </w:r>
      <w:r>
        <w:rPr>
          <w:rFonts w:ascii="SimHei" w:hAnsi="SimHei" w:eastAsia="黑体" w:cs="SimHei"/>
          <w:color w:val="000000"/>
          <w:kern w:val="0"/>
          <w:sz w:val="32"/>
          <w:szCs w:val="32"/>
        </w:rPr>
        <w:t>31</w:t>
      </w:r>
      <w:r>
        <w:rPr>
          <w:rFonts w:ascii="SimHei" w:hAnsi="SimHei" w:eastAsia="黑体" w:cs="SimHei"/>
          <w:color w:val="000000"/>
          <w:kern w:val="0"/>
          <w:sz w:val="32"/>
          <w:szCs w:val="32"/>
        </w:rPr>
        <w:t>日后企业在岗职工及内退、待岗、医疗期和经组织派出借调到公司以外的人员。其他人员不参加企业年金计划。</w:t>
      </w:r>
      <w:r>
        <w:rPr>
          <w:rFonts w:ascii="SimHei" w:hAnsi="SimHei" w:eastAsia="黑体" w:cs="SimHei"/>
          <w:color w:val="000000"/>
          <w:kern w:val="0"/>
          <w:sz w:val="32"/>
          <w:szCs w:val="32"/>
        </w:rPr>
        <w:t>2005</w:t>
      </w:r>
      <w:r>
        <w:rPr>
          <w:rFonts w:ascii="SimHei" w:hAnsi="SimHei" w:eastAsia="黑体" w:cs="SimHei"/>
          <w:color w:val="000000"/>
          <w:kern w:val="0"/>
          <w:sz w:val="32"/>
          <w:szCs w:val="32"/>
        </w:rPr>
        <w:t>年</w:t>
      </w:r>
      <w:r>
        <w:rPr>
          <w:rFonts w:ascii="SimHei" w:hAnsi="SimHei" w:eastAsia="黑体" w:cs="SimHei"/>
          <w:color w:val="000000"/>
          <w:kern w:val="0"/>
          <w:sz w:val="32"/>
          <w:szCs w:val="32"/>
        </w:rPr>
        <w:t>12</w:t>
      </w:r>
      <w:r>
        <w:rPr>
          <w:rFonts w:ascii="SimHei" w:hAnsi="SimHei" w:eastAsia="黑体" w:cs="SimHei"/>
          <w:color w:val="000000"/>
          <w:kern w:val="0"/>
          <w:sz w:val="32"/>
          <w:szCs w:val="32"/>
        </w:rPr>
        <w:t>月</w:t>
      </w:r>
      <w:r>
        <w:rPr>
          <w:rFonts w:ascii="SimHei" w:hAnsi="SimHei" w:eastAsia="黑体" w:cs="SimHei"/>
          <w:color w:val="000000"/>
          <w:kern w:val="0"/>
          <w:sz w:val="32"/>
          <w:szCs w:val="32"/>
        </w:rPr>
        <w:t>31</w:t>
      </w:r>
      <w:r>
        <w:rPr>
          <w:rFonts w:ascii="SimHei" w:hAnsi="SimHei" w:eastAsia="黑体" w:cs="SimHei"/>
          <w:color w:val="000000"/>
          <w:kern w:val="0"/>
          <w:sz w:val="32"/>
          <w:szCs w:val="32"/>
        </w:rPr>
        <w:t>日以后调离本公司的人员</w:t>
      </w:r>
      <w:r>
        <w:rPr>
          <w:rFonts w:ascii="SimHei" w:hAnsi="SimHei" w:eastAsia="黑体" w:cs="SimHei"/>
          <w:color w:val="000000"/>
          <w:kern w:val="0"/>
          <w:sz w:val="32"/>
          <w:szCs w:val="32"/>
        </w:rPr>
        <w:t>(</w:t>
      </w:r>
      <w:r>
        <w:rPr>
          <w:rFonts w:ascii="SimHei" w:hAnsi="SimHei" w:eastAsia="黑体" w:cs="SimHei"/>
          <w:color w:val="000000"/>
          <w:kern w:val="0"/>
          <w:sz w:val="32"/>
          <w:szCs w:val="32"/>
        </w:rPr>
        <w:t>不含局内调动的</w:t>
      </w:r>
      <w:r>
        <w:rPr>
          <w:rFonts w:ascii="SimHei" w:hAnsi="SimHei" w:eastAsia="黑体" w:cs="SimHei"/>
          <w:color w:val="000000"/>
          <w:kern w:val="0"/>
          <w:sz w:val="32"/>
          <w:szCs w:val="32"/>
        </w:rPr>
        <w:t>)</w:t>
      </w:r>
      <w:r>
        <w:rPr>
          <w:rFonts w:ascii="SimHei" w:hAnsi="SimHei" w:eastAsia="黑体" w:cs="SimHei"/>
          <w:color w:val="000000"/>
          <w:kern w:val="0"/>
          <w:sz w:val="32"/>
          <w:szCs w:val="32"/>
        </w:rPr>
        <w:t>不参加企业年金计划。</w:t>
      </w:r>
    </w:p>
    <w:p>
      <w:pPr>
        <w:pStyle w:val="Normal"/>
        <w:ind w:firstLine="632"/>
        <w:rPr/>
      </w:pPr>
      <w:r>
        <w:rPr>
          <w:rFonts w:ascii="SimHei" w:hAnsi="SimHei" w:eastAsia="黑体" w:cs="SimHei"/>
          <w:color w:val="000000"/>
          <w:kern w:val="0"/>
          <w:sz w:val="32"/>
          <w:szCs w:val="32"/>
        </w:rPr>
        <w:t>第六条  具备下列条件的公司职工可以自愿加入企业年金计划。</w:t>
      </w:r>
    </w:p>
    <w:p>
      <w:pPr>
        <w:pStyle w:val="Normal"/>
        <w:ind w:firstLine="632"/>
        <w:rPr/>
      </w:pPr>
      <w:r>
        <w:rPr>
          <w:rFonts w:ascii="SimHei" w:hAnsi="SimHei" w:eastAsia="黑体" w:cs="SimHei"/>
          <w:color w:val="000000"/>
          <w:kern w:val="0"/>
          <w:sz w:val="32"/>
          <w:szCs w:val="32"/>
        </w:rPr>
        <w:t>（一）试用（见习）期满经考核合格且为公司服务时间超过</w:t>
      </w:r>
      <w:r>
        <w:rPr>
          <w:rFonts w:ascii="SimHei" w:hAnsi="SimHei" w:eastAsia="黑体" w:cs="SimHei"/>
          <w:color w:val="000000"/>
          <w:kern w:val="0"/>
          <w:sz w:val="32"/>
          <w:szCs w:val="32"/>
        </w:rPr>
        <w:t>1</w:t>
      </w:r>
      <w:r>
        <w:rPr>
          <w:rFonts w:ascii="SimHei" w:hAnsi="SimHei" w:eastAsia="黑体" w:cs="SimHei"/>
          <w:color w:val="000000"/>
          <w:kern w:val="0"/>
          <w:sz w:val="32"/>
          <w:szCs w:val="32"/>
        </w:rPr>
        <w:t>年的或由公司外部调入的急需人才经公司企业年金管理委员会批准的；</w:t>
      </w:r>
    </w:p>
    <w:p>
      <w:pPr>
        <w:pStyle w:val="Normal"/>
        <w:ind w:firstLine="632"/>
        <w:rPr/>
      </w:pPr>
      <w:r>
        <w:rPr>
          <w:rFonts w:ascii="SimHei" w:hAnsi="SimHei" w:eastAsia="黑体" w:cs="SimHei"/>
          <w:color w:val="000000"/>
          <w:kern w:val="0"/>
          <w:sz w:val="32"/>
          <w:szCs w:val="32"/>
        </w:rPr>
        <w:t>（二）已依法参加基本养老保险并履行缴费义务的</w:t>
      </w:r>
      <w:r>
        <w:rPr>
          <w:rFonts w:ascii="SimHei" w:hAnsi="SimHei" w:eastAsia="黑体" w:cs="SimHei"/>
          <w:color w:val="000000"/>
          <w:kern w:val="0"/>
          <w:sz w:val="32"/>
          <w:szCs w:val="32"/>
        </w:rPr>
        <w:t xml:space="preserve">; </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（三）在本实施细则的实施有效期内，与公司签订劳动合同的。</w:t>
      </w:r>
    </w:p>
    <w:p>
      <w:pPr>
        <w:pStyle w:val="Normal"/>
        <w:ind w:firstLine="632"/>
        <w:rPr>
          <w:rFonts w:ascii="SimHei" w:hAnsi="SimHei" w:eastAsia="黑体" w:cs="SimHei"/>
          <w:sz w:val="32"/>
          <w:szCs w:val="21"/>
        </w:rPr>
      </w:pPr>
      <w:r>
        <w:rPr>
          <w:rFonts w:ascii="SimHei" w:hAnsi="SimHei" w:eastAsia="黑体" w:cs="SimHei"/>
          <w:sz w:val="32"/>
          <w:szCs w:val="21"/>
        </w:rPr>
        <w:t xml:space="preserve">第七条  </w:t>
      </w:r>
      <w:r>
        <w:rPr>
          <w:rFonts w:ascii="SimHei" w:hAnsi="SimHei" w:eastAsia="黑体" w:cs="SimHei"/>
          <w:sz w:val="32"/>
          <w:szCs w:val="21"/>
        </w:rPr>
        <w:t> 根据“平等自愿”的原则，</w:t>
      </w:r>
      <w:r>
        <w:rPr>
          <w:rFonts w:ascii="SimHei" w:hAnsi="SimHei" w:eastAsia="黑体" w:cs="SimHei"/>
          <w:sz w:val="32"/>
          <w:szCs w:val="21"/>
        </w:rPr>
        <w:t>职</w:t>
      </w:r>
      <w:r>
        <w:rPr>
          <w:rFonts w:ascii="SimHei" w:hAnsi="SimHei" w:eastAsia="黑体" w:cs="SimHei"/>
          <w:sz w:val="32"/>
          <w:szCs w:val="21"/>
        </w:rPr>
        <w:t>工在加入</w:t>
      </w:r>
      <w:r>
        <w:rPr>
          <w:rFonts w:ascii="SimHei" w:hAnsi="SimHei" w:eastAsia="黑体" w:cs="SimHei"/>
          <w:sz w:val="32"/>
          <w:szCs w:val="21"/>
        </w:rPr>
        <w:t>公司</w:t>
      </w:r>
      <w:r>
        <w:rPr>
          <w:rFonts w:ascii="SimHei" w:hAnsi="SimHei" w:eastAsia="黑体" w:cs="SimHei"/>
          <w:sz w:val="32"/>
          <w:szCs w:val="21"/>
        </w:rPr>
        <w:t>企业年金计划时，须填写《个人参加企业年金计划申请</w:t>
      </w:r>
      <w:r>
        <w:rPr>
          <w:rFonts w:ascii="SimHei" w:hAnsi="SimHei" w:eastAsia="黑体" w:cs="SimHei"/>
          <w:sz w:val="32"/>
          <w:szCs w:val="21"/>
        </w:rPr>
        <w:t>书</w:t>
      </w:r>
      <w:r>
        <w:rPr>
          <w:rFonts w:ascii="SimHei" w:hAnsi="SimHei" w:eastAsia="黑体" w:cs="SimHei"/>
          <w:sz w:val="32"/>
          <w:szCs w:val="21"/>
        </w:rPr>
        <w:t>》</w:t>
      </w:r>
      <w:r>
        <w:rPr>
          <w:rFonts w:ascii="SimHei" w:hAnsi="SimHei" w:eastAsia="黑体" w:cs="SimHei"/>
          <w:sz w:val="32"/>
          <w:szCs w:val="21"/>
        </w:rPr>
        <w:t>；</w:t>
      </w:r>
      <w:r>
        <w:rPr>
          <w:rFonts w:ascii="SimHei" w:hAnsi="SimHei" w:eastAsia="黑体" w:cs="SimHei"/>
          <w:sz w:val="32"/>
          <w:szCs w:val="21"/>
        </w:rPr>
        <w:t>职工个人不愿</w:t>
      </w:r>
      <w:r>
        <w:rPr>
          <w:rFonts w:ascii="SimHei" w:hAnsi="SimHei" w:eastAsia="黑体" w:cs="SimHei"/>
          <w:sz w:val="32"/>
          <w:szCs w:val="21"/>
        </w:rPr>
        <w:t>参加企业年金计划</w:t>
      </w:r>
      <w:r>
        <w:rPr>
          <w:rFonts w:ascii="SimHei" w:hAnsi="SimHei" w:eastAsia="黑体" w:cs="SimHei"/>
          <w:sz w:val="32"/>
          <w:szCs w:val="21"/>
        </w:rPr>
        <w:t>的，企业和账户管理人不为其建立企业年金个人账户，并报</w:t>
      </w:r>
      <w:r>
        <w:rPr>
          <w:rFonts w:ascii="SimHei" w:hAnsi="SimHei" w:eastAsia="黑体" w:cs="SimHei"/>
          <w:sz w:val="32"/>
          <w:szCs w:val="21"/>
        </w:rPr>
        <w:t>公司</w:t>
      </w:r>
      <w:r>
        <w:rPr>
          <w:rFonts w:ascii="SimHei" w:hAnsi="SimHei" w:eastAsia="黑体" w:cs="SimHei"/>
          <w:sz w:val="32"/>
          <w:szCs w:val="21"/>
        </w:rPr>
        <w:t>企业年金管理办公室存档。</w:t>
      </w:r>
    </w:p>
    <w:p>
      <w:pPr>
        <w:pStyle w:val="Normal"/>
        <w:ind w:firstLine="632"/>
        <w:rPr/>
      </w:pPr>
      <w:r>
        <w:rPr>
          <w:rFonts w:ascii="SimHei" w:hAnsi="SimHei" w:eastAsia="黑体" w:cs="SimHei"/>
          <w:kern w:val="0"/>
          <w:sz w:val="32"/>
          <w:szCs w:val="32"/>
        </w:rPr>
        <w:t>第八条  具备下列条件之一的公司职工应退出</w:t>
      </w:r>
      <w:r>
        <w:rPr>
          <w:rFonts w:ascii="SimHei" w:hAnsi="SimHei" w:eastAsia="黑体" w:cs="SimHei"/>
          <w:color w:val="000000"/>
          <w:kern w:val="0"/>
          <w:sz w:val="32"/>
          <w:szCs w:val="32"/>
        </w:rPr>
        <w:t>企业年金计划：</w:t>
      </w:r>
    </w:p>
    <w:p>
      <w:pPr>
        <w:pStyle w:val="Normal"/>
        <w:ind w:firstLine="632"/>
        <w:rPr/>
      </w:pPr>
      <w:r>
        <w:rPr>
          <w:rFonts w:ascii="SimHei" w:hAnsi="SimHei" w:eastAsia="黑体" w:cs="SimHei"/>
          <w:color w:val="000000"/>
          <w:kern w:val="0"/>
          <w:sz w:val="32"/>
          <w:szCs w:val="32"/>
        </w:rPr>
        <w:t>（一）按国家规定已办理退休手续并依法享受基本养老保险待遇的；</w:t>
      </w:r>
    </w:p>
    <w:p>
      <w:pPr>
        <w:pStyle w:val="Normal"/>
        <w:ind w:firstLine="632"/>
        <w:rPr/>
      </w:pPr>
      <w:r>
        <w:rPr>
          <w:rFonts w:ascii="SimHei" w:hAnsi="SimHei" w:eastAsia="黑体" w:cs="SimHei"/>
          <w:color w:val="000000"/>
          <w:kern w:val="0"/>
          <w:sz w:val="32"/>
          <w:szCs w:val="32"/>
        </w:rPr>
        <w:t>（二）退休前身故或者被人民法院宣告死亡（失踪）的；</w:t>
      </w:r>
    </w:p>
    <w:p>
      <w:pPr>
        <w:pStyle w:val="Normal"/>
        <w:ind w:firstLine="632"/>
        <w:rPr/>
      </w:pPr>
      <w:r>
        <w:rPr>
          <w:rFonts w:ascii="SimHei" w:hAnsi="SimHei" w:eastAsia="黑体" w:cs="SimHei"/>
          <w:color w:val="000000"/>
          <w:kern w:val="0"/>
          <w:sz w:val="32"/>
          <w:szCs w:val="32"/>
        </w:rPr>
        <w:t>（三）与企业终止或解除劳动合同的（含出国出境定居）；</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（四）职工个人申请要求退出年金计划的。</w:t>
      </w:r>
    </w:p>
    <w:p>
      <w:pPr>
        <w:pStyle w:val="Normal"/>
        <w:ind w:firstLine="632"/>
        <w:rPr>
          <w:rFonts w:ascii="SimHei" w:hAnsi="SimHei" w:eastAsia="黑体" w:cs="SimHei"/>
          <w:kern w:val="0"/>
          <w:sz w:val="32"/>
          <w:szCs w:val="32"/>
        </w:rPr>
      </w:pPr>
      <w:r>
        <w:rPr>
          <w:rFonts w:ascii="SimHei" w:hAnsi="SimHei" w:eastAsia="黑体" w:cs="SimHei"/>
          <w:sz w:val="32"/>
          <w:szCs w:val="21"/>
        </w:rPr>
        <w:t>因各种原因</w:t>
      </w:r>
      <w:r>
        <w:rPr>
          <w:rFonts w:ascii="SimHei" w:hAnsi="SimHei" w:eastAsia="黑体" w:cs="SimHei"/>
          <w:kern w:val="0"/>
          <w:sz w:val="32"/>
          <w:szCs w:val="32"/>
        </w:rPr>
        <w:t>申请要求</w:t>
      </w:r>
      <w:r>
        <w:rPr>
          <w:rFonts w:ascii="SimHei" w:hAnsi="SimHei" w:eastAsia="黑体" w:cs="SimHei"/>
          <w:sz w:val="32"/>
          <w:szCs w:val="21"/>
        </w:rPr>
        <w:t>退出企业年金计划的，应</w:t>
      </w:r>
      <w:r>
        <w:rPr>
          <w:rFonts w:ascii="SimHei" w:hAnsi="SimHei" w:eastAsia="黑体" w:cs="SimHei"/>
          <w:sz w:val="32"/>
          <w:szCs w:val="21"/>
        </w:rPr>
        <w:t>填写《个人退出企业年金计划申请</w:t>
      </w:r>
      <w:r>
        <w:rPr>
          <w:rFonts w:ascii="SimHei" w:hAnsi="SimHei" w:eastAsia="黑体" w:cs="SimHei"/>
          <w:sz w:val="32"/>
          <w:szCs w:val="21"/>
        </w:rPr>
        <w:t>书</w:t>
      </w:r>
      <w:r>
        <w:rPr>
          <w:rFonts w:ascii="SimHei" w:hAnsi="SimHei" w:eastAsia="黑体" w:cs="SimHei"/>
          <w:sz w:val="32"/>
          <w:szCs w:val="21"/>
        </w:rPr>
        <w:t>》，</w:t>
      </w:r>
      <w:r>
        <w:rPr>
          <w:rFonts w:ascii="SimHei" w:hAnsi="SimHei" w:eastAsia="黑体" w:cs="SimHei"/>
          <w:sz w:val="32"/>
          <w:szCs w:val="21"/>
        </w:rPr>
        <w:t>退出期间</w:t>
      </w:r>
      <w:r>
        <w:rPr>
          <w:rFonts w:ascii="SimHei" w:hAnsi="SimHei" w:eastAsia="黑体" w:cs="SimHei"/>
          <w:sz w:val="32"/>
          <w:szCs w:val="21"/>
        </w:rPr>
        <w:t>不享受企业年金的单位缴费部分；从中断缴费之月起个人账户不作缴费记录，也不计算缴费年限，以后不再补缴、补记。</w:t>
      </w:r>
    </w:p>
    <w:p>
      <w:pPr>
        <w:pStyle w:val="Normal"/>
        <w:ind w:firstLine="632"/>
        <w:rPr>
          <w:rFonts w:ascii="SimHei" w:hAnsi="SimHei" w:eastAsia="黑体" w:cs="SimHei"/>
          <w:kern w:val="0"/>
          <w:sz w:val="32"/>
          <w:szCs w:val="32"/>
        </w:rPr>
      </w:pPr>
      <w:r>
        <w:rPr>
          <w:rFonts w:ascii="SimHei" w:hAnsi="SimHei" w:eastAsia="黑体" w:cs="SimHei"/>
          <w:kern w:val="0"/>
          <w:sz w:val="32"/>
          <w:szCs w:val="32"/>
        </w:rPr>
      </w:r>
    </w:p>
    <w:p>
      <w:pPr>
        <w:pStyle w:val="Normal"/>
        <w:ind w:firstLine="632"/>
        <w:rPr/>
      </w:pPr>
      <w:r>
        <w:rPr>
          <w:rFonts w:ascii="SimHei" w:hAnsi="SimHei" w:eastAsia="黑体" w:cs="SimHei"/>
          <w:color w:val="000000"/>
          <w:kern w:val="0"/>
          <w:sz w:val="32"/>
          <w:szCs w:val="32"/>
        </w:rPr>
        <w:t>第九条  参加本企业年金计划的职工享有如下权利：</w:t>
      </w:r>
    </w:p>
    <w:p>
      <w:pPr>
        <w:pStyle w:val="Normal"/>
        <w:ind w:firstLine="632"/>
        <w:rPr/>
      </w:pPr>
      <w:r>
        <w:rPr>
          <w:rFonts w:ascii="SimHei" w:hAnsi="SimHei" w:eastAsia="黑体" w:cs="SimHei"/>
          <w:color w:val="000000"/>
          <w:kern w:val="0"/>
          <w:sz w:val="32"/>
          <w:szCs w:val="32"/>
        </w:rPr>
        <w:t>（一）按照本</w:t>
      </w:r>
      <w:r>
        <w:rPr>
          <w:rFonts w:ascii="SimHei" w:hAnsi="SimHei" w:eastAsia="黑体" w:cs="SimHei"/>
          <w:sz w:val="32"/>
          <w:szCs w:val="32"/>
        </w:rPr>
        <w:t>实施细则</w:t>
      </w:r>
      <w:r>
        <w:rPr>
          <w:rFonts w:ascii="SimHei" w:hAnsi="SimHei" w:eastAsia="黑体" w:cs="SimHei"/>
          <w:color w:val="000000"/>
          <w:kern w:val="0"/>
          <w:sz w:val="32"/>
          <w:szCs w:val="32"/>
        </w:rPr>
        <w:t>的相关规定，享有领取或转移企业年金职工个人账户归属金额的权利；</w:t>
      </w:r>
    </w:p>
    <w:p>
      <w:pPr>
        <w:pStyle w:val="Normal"/>
        <w:ind w:firstLine="632"/>
        <w:rPr/>
      </w:pPr>
      <w:r>
        <w:rPr>
          <w:rFonts w:ascii="SimHei" w:hAnsi="SimHei" w:eastAsia="黑体" w:cs="SimHei"/>
          <w:color w:val="000000"/>
          <w:kern w:val="0"/>
          <w:sz w:val="32"/>
          <w:szCs w:val="32"/>
        </w:rPr>
        <w:t>（二）个人账户信息的知情权。</w:t>
      </w:r>
    </w:p>
    <w:p>
      <w:pPr>
        <w:pStyle w:val="Normal"/>
        <w:ind w:firstLine="632"/>
        <w:rPr/>
      </w:pPr>
      <w:r>
        <w:rPr>
          <w:rFonts w:ascii="SimHei" w:hAnsi="SimHei" w:eastAsia="黑体" w:cs="SimHei"/>
          <w:color w:val="000000"/>
          <w:kern w:val="0"/>
          <w:sz w:val="32"/>
          <w:szCs w:val="32"/>
        </w:rPr>
        <w:t>第十条  参加本企业年金计划的职工具有如下义务：</w:t>
      </w:r>
    </w:p>
    <w:p>
      <w:pPr>
        <w:pStyle w:val="Normal"/>
        <w:ind w:firstLine="632"/>
        <w:rPr/>
      </w:pPr>
      <w:r>
        <w:rPr>
          <w:rFonts w:ascii="SimHei" w:hAnsi="SimHei" w:eastAsia="黑体" w:cs="SimHei"/>
          <w:color w:val="000000"/>
          <w:kern w:val="0"/>
          <w:sz w:val="32"/>
          <w:szCs w:val="32"/>
        </w:rPr>
        <w:t>（一）授权公司每月从其工资收入中代扣代缴个人缴费；</w:t>
      </w:r>
    </w:p>
    <w:p>
      <w:pPr>
        <w:pStyle w:val="Normal"/>
        <w:ind w:firstLine="632"/>
        <w:rPr/>
      </w:pPr>
      <w:r>
        <w:rPr>
          <w:rFonts w:ascii="SimHei" w:hAnsi="SimHei" w:eastAsia="黑体" w:cs="SimHei"/>
          <w:color w:val="000000"/>
          <w:kern w:val="0"/>
          <w:sz w:val="32"/>
          <w:szCs w:val="32"/>
        </w:rPr>
        <w:t>（二）授权公司将其个人账户中的资金委托给受托人管理。</w:t>
      </w:r>
    </w:p>
    <w:p>
      <w:pPr>
        <w:pStyle w:val="Normal"/>
        <w:ind w:firstLine="632"/>
        <w:jc w:val="center"/>
        <w:rPr>
          <w:rFonts w:ascii="SimHei" w:hAnsi="SimHei" w:eastAsia="黑体" w:cs="SimHei"/>
          <w:color w:val="000000"/>
          <w:kern w:val="0"/>
          <w:sz w:val="32"/>
          <w:szCs w:val="32"/>
        </w:rPr>
      </w:pPr>
      <w:r>
        <w:rPr>
          <w:rFonts w:ascii="SimHei" w:hAnsi="SimHei" w:eastAsia="黑体" w:cs="SimHei"/>
          <w:color w:val="000000"/>
          <w:kern w:val="0"/>
          <w:sz w:val="32"/>
          <w:szCs w:val="32"/>
        </w:rPr>
      </w:r>
    </w:p>
    <w:p>
      <w:pPr>
        <w:pStyle w:val="Normal"/>
        <w:jc w:val="center"/>
        <w:rPr/>
      </w:pPr>
      <w:r>
        <w:rPr>
          <w:rFonts w:ascii="SimHei" w:hAnsi="SimHei" w:eastAsia="黑体" w:cs="SimHei"/>
          <w:color w:val="000000"/>
          <w:kern w:val="0"/>
          <w:sz w:val="32"/>
          <w:szCs w:val="32"/>
        </w:rPr>
        <w:t>第四章 资金筹集和缴费办法</w:t>
      </w:r>
    </w:p>
    <w:p>
      <w:pPr>
        <w:pStyle w:val="Normal"/>
        <w:ind w:firstLine="632"/>
        <w:rPr/>
      </w:pPr>
      <w:r>
        <w:rPr>
          <w:rFonts w:ascii="SimHei" w:hAnsi="SimHei" w:eastAsia="黑体" w:cs="SimHei"/>
          <w:color w:val="000000"/>
          <w:kern w:val="0"/>
          <w:sz w:val="32"/>
          <w:szCs w:val="32"/>
        </w:rPr>
        <w:t>第十一条  企业年金基金由下列各项组成</w:t>
      </w:r>
      <w:r>
        <w:rPr>
          <w:rFonts w:ascii="SimHei" w:hAnsi="SimHei" w:eastAsia="黑体" w:cs="SimHei"/>
          <w:color w:val="000000"/>
          <w:kern w:val="0"/>
          <w:sz w:val="32"/>
          <w:szCs w:val="32"/>
        </w:rPr>
        <w:t xml:space="preserve">: </w:t>
      </w:r>
    </w:p>
    <w:p>
      <w:pPr>
        <w:pStyle w:val="Normal"/>
        <w:ind w:firstLine="632"/>
        <w:rPr/>
      </w:pPr>
      <w:r>
        <w:rPr>
          <w:rFonts w:ascii="SimHei" w:hAnsi="SimHei" w:eastAsia="黑体" w:cs="SimHei"/>
          <w:color w:val="000000"/>
          <w:kern w:val="0"/>
          <w:sz w:val="32"/>
          <w:szCs w:val="32"/>
        </w:rPr>
        <w:t>（一）企业缴费；</w:t>
      </w:r>
    </w:p>
    <w:p>
      <w:pPr>
        <w:pStyle w:val="Normal"/>
        <w:ind w:firstLine="632"/>
        <w:rPr/>
      </w:pPr>
      <w:r>
        <w:rPr>
          <w:rFonts w:ascii="SimHei" w:hAnsi="SimHei" w:eastAsia="黑体" w:cs="SimHei"/>
          <w:color w:val="000000"/>
          <w:kern w:val="0"/>
          <w:sz w:val="32"/>
          <w:szCs w:val="32"/>
        </w:rPr>
        <w:t>（二）职工个人缴费；</w:t>
      </w:r>
    </w:p>
    <w:p>
      <w:pPr>
        <w:pStyle w:val="Normal"/>
        <w:ind w:firstLine="632"/>
        <w:rPr/>
      </w:pPr>
      <w:r>
        <w:rPr>
          <w:rFonts w:ascii="SimHei" w:hAnsi="SimHei" w:eastAsia="黑体" w:cs="SimHei"/>
          <w:color w:val="000000"/>
          <w:kern w:val="0"/>
          <w:sz w:val="32"/>
          <w:szCs w:val="32"/>
        </w:rPr>
        <w:t>（三）投资运营收益。</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企业年金基金采用法人受托模式，由中交股份统一选定的法人受托机构负责管理。</w:t>
      </w:r>
    </w:p>
    <w:p>
      <w:pPr>
        <w:pStyle w:val="Normal"/>
        <w:ind w:firstLine="632"/>
        <w:rPr/>
      </w:pPr>
      <w:r>
        <w:rPr>
          <w:rFonts w:ascii="SimHei" w:hAnsi="SimHei" w:eastAsia="黑体" w:cs="SimHei"/>
          <w:color w:val="000000"/>
          <w:kern w:val="0"/>
          <w:sz w:val="32"/>
          <w:szCs w:val="32"/>
        </w:rPr>
        <w:t>第十二条  企业年金基金由企业和参加计划的职工个人共同缴纳。企业缴费按国家及企业所在地政府规定比例在成本和福利费中列支；个人缴费由公司从职工税后工资中代扣代缴。</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第十三条  缴费基数</w:t>
      </w:r>
    </w:p>
    <w:p>
      <w:pPr>
        <w:pStyle w:val="Normal"/>
        <w:ind w:firstLine="632"/>
        <w:rPr/>
      </w:pPr>
      <w:r>
        <w:rPr>
          <w:rFonts w:ascii="SimHei" w:hAnsi="SimHei" w:eastAsia="黑体" w:cs="SimHei"/>
          <w:color w:val="000000"/>
          <w:kern w:val="0"/>
          <w:sz w:val="32"/>
          <w:szCs w:val="32"/>
        </w:rPr>
        <w:t>企业总体缴费基数由一航局公司按年度核定，一般为企业上年度职工工资总额。职工个人缴费基数为职工当年的基本养老保险缴费基数。</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第十四条  缴费比例</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企业缴费比例最高限为上年度工资总额的十二分之一（</w:t>
      </w:r>
      <w:r>
        <w:rPr>
          <w:rFonts w:ascii="SimHei" w:hAnsi="SimHei" w:eastAsia="黑体" w:cs="SimHei"/>
          <w:color w:val="000000"/>
          <w:kern w:val="0"/>
          <w:sz w:val="32"/>
          <w:szCs w:val="32"/>
        </w:rPr>
        <w:t>8.33%</w:t>
      </w:r>
      <w:r>
        <w:rPr>
          <w:rFonts w:ascii="SimHei" w:hAnsi="SimHei" w:eastAsia="黑体" w:cs="SimHei"/>
          <w:color w:val="000000"/>
          <w:kern w:val="0"/>
          <w:sz w:val="32"/>
          <w:szCs w:val="32"/>
        </w:rPr>
        <w:t>），公司企业年金缴费比例报一航局审核批准后实施。为了解决过渡期补偿问题，在试行企业年金制度初期，公司企业缴费比例经一航局批准可暂按</w:t>
      </w:r>
      <w:r>
        <w:rPr>
          <w:rFonts w:ascii="SimHei" w:hAnsi="SimHei" w:eastAsia="黑体" w:cs="SimHei"/>
          <w:color w:val="000000"/>
          <w:kern w:val="0"/>
          <w:sz w:val="32"/>
          <w:szCs w:val="32"/>
        </w:rPr>
        <w:t>8.33%</w:t>
      </w:r>
      <w:r>
        <w:rPr>
          <w:rFonts w:ascii="SimHei" w:hAnsi="SimHei" w:eastAsia="黑体" w:cs="SimHei"/>
          <w:color w:val="000000"/>
          <w:kern w:val="0"/>
          <w:sz w:val="32"/>
          <w:szCs w:val="32"/>
        </w:rPr>
        <w:t>实行，随着年金计划的运转及企业自身经济效益状况，企业缴费比例可根据实际情况动态调整。</w:t>
      </w:r>
    </w:p>
    <w:p>
      <w:pPr>
        <w:pStyle w:val="Normal"/>
        <w:ind w:firstLine="632"/>
        <w:rPr/>
      </w:pPr>
      <w:r>
        <w:rPr>
          <w:rFonts w:ascii="SimHei" w:hAnsi="SimHei" w:eastAsia="黑体" w:cs="SimHei"/>
          <w:color w:val="000000"/>
          <w:kern w:val="0"/>
          <w:sz w:val="32"/>
          <w:szCs w:val="32"/>
        </w:rPr>
        <w:t>职工个人缴费比例最高为</w:t>
      </w:r>
      <w:r>
        <w:rPr>
          <w:rFonts w:ascii="SimHei" w:hAnsi="SimHei" w:eastAsia="黑体" w:cs="SimHei"/>
          <w:color w:val="000000"/>
          <w:kern w:val="0"/>
          <w:sz w:val="32"/>
          <w:szCs w:val="32"/>
        </w:rPr>
        <w:t>8.33%</w:t>
      </w:r>
      <w:r>
        <w:rPr>
          <w:rFonts w:ascii="SimHei" w:hAnsi="SimHei" w:eastAsia="黑体" w:cs="SimHei"/>
          <w:color w:val="000000"/>
          <w:kern w:val="0"/>
          <w:sz w:val="32"/>
          <w:szCs w:val="32"/>
        </w:rPr>
        <w:t>，最低为</w:t>
      </w:r>
      <w:r>
        <w:rPr>
          <w:rFonts w:ascii="SimHei" w:hAnsi="SimHei" w:eastAsia="黑体" w:cs="SimHei"/>
          <w:color w:val="000000"/>
          <w:kern w:val="0"/>
          <w:sz w:val="32"/>
          <w:szCs w:val="32"/>
        </w:rPr>
        <w:t>1%</w:t>
      </w:r>
      <w:r>
        <w:rPr>
          <w:rFonts w:ascii="SimHei" w:hAnsi="SimHei" w:eastAsia="黑体" w:cs="SimHei"/>
          <w:color w:val="000000"/>
          <w:kern w:val="0"/>
          <w:sz w:val="32"/>
          <w:szCs w:val="32"/>
        </w:rPr>
        <w:t>。首年职工个人缴费比例为</w:t>
      </w:r>
      <w:r>
        <w:rPr>
          <w:rFonts w:ascii="SimHei" w:hAnsi="SimHei" w:eastAsia="黑体" w:cs="SimHei"/>
          <w:color w:val="000000"/>
          <w:kern w:val="0"/>
          <w:sz w:val="32"/>
          <w:szCs w:val="32"/>
        </w:rPr>
        <w:t>1%</w:t>
      </w:r>
      <w:r>
        <w:rPr>
          <w:rFonts w:ascii="SimHei" w:hAnsi="SimHei" w:eastAsia="黑体" w:cs="SimHei"/>
          <w:color w:val="000000"/>
          <w:kern w:val="0"/>
          <w:sz w:val="32"/>
          <w:szCs w:val="32"/>
        </w:rPr>
        <w:t>，今后个人的缴费比例可根据职工的收入情况适当提高，个人缴费比例的调整须经公司职工代表大会或代表组长联席会议讨论通过后执行。</w:t>
      </w:r>
    </w:p>
    <w:p>
      <w:pPr>
        <w:pStyle w:val="Normal"/>
        <w:ind w:firstLine="632"/>
        <w:rPr/>
      </w:pPr>
      <w:r>
        <w:rPr>
          <w:rFonts w:ascii="SimHei" w:hAnsi="SimHei" w:eastAsia="黑体" w:cs="SimHei"/>
          <w:color w:val="000000"/>
          <w:kern w:val="0"/>
          <w:sz w:val="32"/>
          <w:szCs w:val="32"/>
        </w:rPr>
        <w:t>第十五条  核定及调整日期</w:t>
      </w:r>
    </w:p>
    <w:p>
      <w:pPr>
        <w:pStyle w:val="Normal"/>
        <w:ind w:firstLine="632"/>
        <w:rPr/>
      </w:pPr>
      <w:r>
        <w:rPr>
          <w:rFonts w:ascii="SimHei" w:hAnsi="SimHei" w:eastAsia="黑体" w:cs="SimHei"/>
          <w:color w:val="000000"/>
          <w:kern w:val="0"/>
          <w:sz w:val="32"/>
          <w:szCs w:val="32"/>
        </w:rPr>
        <w:t>企业和职工个人的缴费基数和缴费比例的核定及调整日期为每年的</w:t>
      </w:r>
      <w:r>
        <w:rPr>
          <w:rFonts w:ascii="SimHei" w:hAnsi="SimHei" w:eastAsia="黑体" w:cs="SimHei"/>
          <w:color w:val="000000"/>
          <w:kern w:val="0"/>
          <w:sz w:val="32"/>
          <w:szCs w:val="32"/>
        </w:rPr>
        <w:t>7</w:t>
      </w:r>
      <w:r>
        <w:rPr>
          <w:rFonts w:ascii="SimHei" w:hAnsi="SimHei" w:eastAsia="黑体" w:cs="SimHei"/>
          <w:color w:val="000000"/>
          <w:kern w:val="0"/>
          <w:sz w:val="32"/>
          <w:szCs w:val="32"/>
        </w:rPr>
        <w:t>月</w:t>
      </w:r>
      <w:r>
        <w:rPr>
          <w:rFonts w:ascii="SimHei" w:hAnsi="SimHei" w:eastAsia="黑体" w:cs="SimHei"/>
          <w:color w:val="000000"/>
          <w:kern w:val="0"/>
          <w:sz w:val="32"/>
          <w:szCs w:val="32"/>
        </w:rPr>
        <w:t>1</w:t>
      </w:r>
      <w:r>
        <w:rPr>
          <w:rFonts w:ascii="SimHei" w:hAnsi="SimHei" w:eastAsia="黑体" w:cs="SimHei"/>
          <w:color w:val="000000"/>
          <w:kern w:val="0"/>
          <w:sz w:val="32"/>
          <w:szCs w:val="32"/>
        </w:rPr>
        <w:t>日，即每年的</w:t>
      </w:r>
      <w:r>
        <w:rPr>
          <w:rFonts w:ascii="SimHei" w:hAnsi="SimHei" w:eastAsia="黑体" w:cs="SimHei"/>
          <w:color w:val="000000"/>
          <w:kern w:val="0"/>
          <w:sz w:val="32"/>
          <w:szCs w:val="32"/>
        </w:rPr>
        <w:t xml:space="preserve">7 </w:t>
      </w:r>
      <w:r>
        <w:rPr>
          <w:rFonts w:ascii="SimHei" w:hAnsi="SimHei" w:eastAsia="黑体" w:cs="SimHei"/>
          <w:color w:val="000000"/>
          <w:kern w:val="0"/>
          <w:sz w:val="32"/>
          <w:szCs w:val="32"/>
        </w:rPr>
        <w:t>月至次年</w:t>
      </w:r>
      <w:r>
        <w:rPr>
          <w:rFonts w:ascii="SimHei" w:hAnsi="SimHei" w:eastAsia="黑体" w:cs="SimHei"/>
          <w:color w:val="000000"/>
          <w:kern w:val="0"/>
          <w:sz w:val="32"/>
          <w:szCs w:val="32"/>
        </w:rPr>
        <w:t>6</w:t>
      </w:r>
      <w:r>
        <w:rPr>
          <w:rFonts w:ascii="SimHei" w:hAnsi="SimHei" w:eastAsia="黑体" w:cs="SimHei"/>
          <w:color w:val="000000"/>
          <w:kern w:val="0"/>
          <w:sz w:val="32"/>
          <w:szCs w:val="32"/>
        </w:rPr>
        <w:t>月的年度缴费基数和缴费比例为该年的</w:t>
      </w:r>
      <w:r>
        <w:rPr>
          <w:rFonts w:ascii="SimHei" w:hAnsi="SimHei" w:eastAsia="黑体" w:cs="SimHei"/>
          <w:color w:val="000000"/>
          <w:kern w:val="0"/>
          <w:sz w:val="32"/>
          <w:szCs w:val="32"/>
        </w:rPr>
        <w:t>7</w:t>
      </w:r>
      <w:r>
        <w:rPr>
          <w:rFonts w:ascii="SimHei" w:hAnsi="SimHei" w:eastAsia="黑体" w:cs="SimHei"/>
          <w:color w:val="000000"/>
          <w:kern w:val="0"/>
          <w:sz w:val="32"/>
          <w:szCs w:val="32"/>
        </w:rPr>
        <w:t>月</w:t>
      </w:r>
      <w:r>
        <w:rPr>
          <w:rFonts w:ascii="SimHei" w:hAnsi="SimHei" w:eastAsia="黑体" w:cs="SimHei"/>
          <w:color w:val="000000"/>
          <w:kern w:val="0"/>
          <w:sz w:val="32"/>
          <w:szCs w:val="32"/>
        </w:rPr>
        <w:t>1</w:t>
      </w:r>
      <w:r>
        <w:rPr>
          <w:rFonts w:ascii="SimHei" w:hAnsi="SimHei" w:eastAsia="黑体" w:cs="SimHei"/>
          <w:color w:val="000000"/>
          <w:kern w:val="0"/>
          <w:sz w:val="32"/>
          <w:szCs w:val="32"/>
        </w:rPr>
        <w:t>日核定额。</w:t>
      </w:r>
    </w:p>
    <w:p>
      <w:pPr>
        <w:pStyle w:val="Normal"/>
        <w:ind w:firstLine="632"/>
        <w:rPr/>
      </w:pPr>
      <w:r>
        <w:rPr>
          <w:rFonts w:ascii="SimHei" w:hAnsi="SimHei" w:eastAsia="黑体" w:cs="SimHei"/>
          <w:color w:val="000000"/>
          <w:kern w:val="0"/>
          <w:sz w:val="32"/>
          <w:szCs w:val="32"/>
        </w:rPr>
        <w:t>第十六条  缴费时间及划款方式</w:t>
      </w:r>
    </w:p>
    <w:p>
      <w:pPr>
        <w:pStyle w:val="Normal"/>
        <w:ind w:firstLine="632"/>
        <w:rPr/>
      </w:pPr>
      <w:r>
        <w:rPr>
          <w:rFonts w:ascii="SimHei" w:hAnsi="SimHei" w:eastAsia="黑体" w:cs="SimHei"/>
          <w:color w:val="000000"/>
          <w:kern w:val="0"/>
          <w:sz w:val="32"/>
          <w:szCs w:val="32"/>
        </w:rPr>
        <w:t>（一）企业缴费、职工个人缴费按月缴纳；</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（二）公司将缴费款项及时、足额汇至在托管人处开立的企业年金基金托管专户。</w:t>
      </w:r>
    </w:p>
    <w:p>
      <w:pPr>
        <w:pStyle w:val="Normal"/>
        <w:ind w:firstLine="632"/>
        <w:jc w:val="center"/>
        <w:rPr>
          <w:rFonts w:ascii="SimHei" w:hAnsi="SimHei" w:eastAsia="黑体" w:cs="SimHei"/>
          <w:color w:val="000000"/>
          <w:kern w:val="0"/>
          <w:sz w:val="32"/>
          <w:szCs w:val="32"/>
        </w:rPr>
      </w:pPr>
      <w:r>
        <w:rPr>
          <w:rFonts w:ascii="SimHei" w:hAnsi="SimHei" w:eastAsia="黑体" w:cs="SimHei"/>
          <w:color w:val="000000"/>
          <w:kern w:val="0"/>
          <w:sz w:val="32"/>
          <w:szCs w:val="32"/>
        </w:rPr>
      </w:r>
    </w:p>
    <w:p>
      <w:pPr>
        <w:pStyle w:val="Normal"/>
        <w:jc w:val="center"/>
        <w:rPr/>
      </w:pPr>
      <w:r>
        <w:rPr>
          <w:rFonts w:ascii="SimHei" w:hAnsi="SimHei" w:eastAsia="黑体" w:cs="SimHei"/>
          <w:color w:val="000000"/>
          <w:kern w:val="0"/>
          <w:sz w:val="32"/>
          <w:szCs w:val="32"/>
        </w:rPr>
        <w:t>第五章  企业年金的分配</w:t>
      </w:r>
    </w:p>
    <w:p>
      <w:pPr>
        <w:pStyle w:val="Normal"/>
        <w:ind w:firstLine="632"/>
        <w:rPr/>
      </w:pPr>
      <w:r>
        <w:rPr>
          <w:rFonts w:ascii="SimHei" w:hAnsi="SimHei" w:eastAsia="黑体" w:cs="SimHei"/>
          <w:color w:val="000000"/>
          <w:kern w:val="0"/>
          <w:sz w:val="32"/>
          <w:szCs w:val="32"/>
        </w:rPr>
        <w:t>第十七条  企业缴费的分配</w:t>
      </w:r>
      <w:r>
        <w:rPr>
          <w:rFonts w:ascii="SimHei" w:hAnsi="SimHei" w:eastAsia="黑体" w:cs="SimHei"/>
          <w:color w:val="000000"/>
          <w:kern w:val="0"/>
          <w:sz w:val="32"/>
          <w:szCs w:val="32"/>
        </w:rPr>
        <w:t>.</w:t>
      </w:r>
    </w:p>
    <w:p>
      <w:pPr>
        <w:pStyle w:val="Normal"/>
        <w:ind w:firstLine="632"/>
        <w:rPr/>
      </w:pPr>
      <w:r>
        <w:rPr>
          <w:rFonts w:ascii="SimHei" w:hAnsi="SimHei" w:eastAsia="黑体" w:cs="SimHei"/>
          <w:color w:val="000000"/>
          <w:kern w:val="0"/>
          <w:sz w:val="32"/>
          <w:szCs w:val="32"/>
        </w:rPr>
        <w:t>公司设立企业年金缴费过渡期，实行过渡期补偿缴费，过渡期原则上不超过十年。补偿缴费一部分作为过渡期内“中人”的工龄补偿，另一部分作为</w:t>
      </w:r>
      <w:r>
        <w:rPr>
          <w:rFonts w:ascii="SimHei" w:hAnsi="SimHei" w:eastAsia="黑体" w:cs="SimHei"/>
          <w:color w:val="000000"/>
          <w:kern w:val="0"/>
          <w:sz w:val="32"/>
          <w:szCs w:val="32"/>
        </w:rPr>
        <w:t>2005</w:t>
      </w:r>
      <w:r>
        <w:rPr>
          <w:rFonts w:ascii="SimHei" w:hAnsi="SimHei" w:eastAsia="黑体" w:cs="SimHei"/>
          <w:color w:val="000000"/>
          <w:kern w:val="0"/>
          <w:sz w:val="32"/>
          <w:szCs w:val="32"/>
        </w:rPr>
        <w:t>年</w:t>
      </w:r>
      <w:r>
        <w:rPr>
          <w:rFonts w:ascii="SimHei" w:hAnsi="SimHei" w:eastAsia="黑体" w:cs="SimHei"/>
          <w:color w:val="000000"/>
          <w:kern w:val="0"/>
          <w:sz w:val="32"/>
          <w:szCs w:val="32"/>
        </w:rPr>
        <w:t>12</w:t>
      </w:r>
      <w:r>
        <w:rPr>
          <w:rFonts w:ascii="SimHei" w:hAnsi="SimHei" w:eastAsia="黑体" w:cs="SimHei"/>
          <w:color w:val="000000"/>
          <w:kern w:val="0"/>
          <w:sz w:val="32"/>
          <w:szCs w:val="32"/>
        </w:rPr>
        <w:t>月</w:t>
      </w:r>
      <w:r>
        <w:rPr>
          <w:rFonts w:ascii="SimHei" w:hAnsi="SimHei" w:eastAsia="黑体" w:cs="SimHei"/>
          <w:color w:val="000000"/>
          <w:kern w:val="0"/>
          <w:sz w:val="32"/>
          <w:szCs w:val="32"/>
        </w:rPr>
        <w:t>31</w:t>
      </w:r>
      <w:r>
        <w:rPr>
          <w:rFonts w:ascii="SimHei" w:hAnsi="SimHei" w:eastAsia="黑体" w:cs="SimHei"/>
          <w:color w:val="000000"/>
          <w:kern w:val="0"/>
          <w:sz w:val="32"/>
          <w:szCs w:val="32"/>
        </w:rPr>
        <w:t>日以后“中人”退休的统筹外补偿缴费（主要是为了解决企业年金制度建立后退休人员的基本养老保险统筹外项目支出问题）。对实行年金制度后退休的人员，除领取基本养老金和企业年金之外，企业不再为其发放任何补充养老性质的福利性费用。</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注：“老人”指本企业年金计划实施时已经退休的人员；</w:t>
      </w:r>
    </w:p>
    <w:p>
      <w:pPr>
        <w:pStyle w:val="Normal"/>
        <w:ind w:firstLine="1260"/>
        <w:rPr>
          <w:rFonts w:ascii="SimHei" w:hAnsi="SimHei" w:eastAsia="黑体" w:cs="SimHei"/>
          <w:color w:val="000000"/>
          <w:kern w:val="0"/>
          <w:sz w:val="32"/>
          <w:szCs w:val="32"/>
        </w:rPr>
      </w:pPr>
      <w:r>
        <w:rPr>
          <w:rFonts w:ascii="SimHei" w:hAnsi="SimHei" w:eastAsia="黑体" w:cs="SimHei"/>
          <w:color w:val="000000"/>
          <w:kern w:val="0"/>
          <w:sz w:val="32"/>
          <w:szCs w:val="32"/>
        </w:rPr>
        <w:t>“</w:t>
      </w:r>
      <w:r>
        <w:rPr>
          <w:rFonts w:ascii="SimHei" w:hAnsi="SimHei" w:eastAsia="黑体" w:cs="SimHei"/>
          <w:color w:val="000000"/>
          <w:kern w:val="0"/>
          <w:sz w:val="32"/>
          <w:szCs w:val="32"/>
        </w:rPr>
        <w:t>中人”指本企业年金计划实施前参加工作，年金计划实施后退休的人员；</w:t>
      </w:r>
    </w:p>
    <w:p>
      <w:pPr>
        <w:pStyle w:val="Normal"/>
        <w:ind w:firstLine="1260"/>
        <w:rPr>
          <w:rFonts w:ascii="SimHei" w:hAnsi="SimHei" w:eastAsia="黑体" w:cs="SimHei"/>
          <w:color w:val="000000"/>
          <w:kern w:val="0"/>
          <w:sz w:val="32"/>
          <w:szCs w:val="32"/>
        </w:rPr>
      </w:pPr>
      <w:r>
        <w:rPr>
          <w:rFonts w:ascii="SimHei" w:hAnsi="SimHei" w:eastAsia="黑体" w:cs="SimHei"/>
          <w:color w:val="000000"/>
          <w:kern w:val="0"/>
          <w:sz w:val="32"/>
          <w:szCs w:val="32"/>
        </w:rPr>
        <w:t>“</w:t>
      </w:r>
      <w:r>
        <w:rPr>
          <w:rFonts w:ascii="SimHei" w:hAnsi="SimHei" w:eastAsia="黑体" w:cs="SimHei"/>
          <w:color w:val="000000"/>
          <w:kern w:val="0"/>
          <w:sz w:val="32"/>
          <w:szCs w:val="32"/>
        </w:rPr>
        <w:t>新人”指本企业年金计划实施后新参加工作的人员。</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在过渡期内，企业缴费按三部分进行分配：即基本缴费、补偿缴费和特殊贡献缴费。</w:t>
      </w:r>
    </w:p>
    <w:p>
      <w:pPr>
        <w:pStyle w:val="Normal"/>
        <w:ind w:firstLine="632"/>
        <w:rPr/>
      </w:pPr>
      <w:r>
        <w:rPr>
          <w:rFonts w:ascii="SimHei" w:hAnsi="SimHei" w:eastAsia="黑体" w:cs="SimHei"/>
          <w:color w:val="000000"/>
          <w:kern w:val="0"/>
          <w:sz w:val="32"/>
          <w:szCs w:val="32"/>
        </w:rPr>
        <w:t>企业缴费</w:t>
      </w:r>
      <w:r>
        <w:rPr>
          <w:rFonts w:ascii="SimHei" w:hAnsi="SimHei" w:eastAsia="黑体" w:cs="SimHei"/>
          <w:color w:val="000000"/>
          <w:kern w:val="0"/>
          <w:sz w:val="32"/>
          <w:szCs w:val="32"/>
        </w:rPr>
        <w:t>=</w:t>
      </w:r>
      <w:r>
        <w:rPr>
          <w:rFonts w:ascii="SimHei" w:hAnsi="SimHei" w:eastAsia="黑体" w:cs="SimHei"/>
          <w:color w:val="000000"/>
          <w:kern w:val="0"/>
          <w:sz w:val="32"/>
          <w:szCs w:val="32"/>
        </w:rPr>
        <w:t>基本缴费</w:t>
      </w:r>
      <w:r>
        <w:rPr>
          <w:rFonts w:ascii="SimHei" w:hAnsi="SimHei" w:eastAsia="黑体" w:cs="SimHei"/>
          <w:color w:val="000000"/>
          <w:kern w:val="0"/>
          <w:sz w:val="32"/>
          <w:szCs w:val="32"/>
        </w:rPr>
        <w:t>+</w:t>
      </w:r>
      <w:r>
        <w:rPr>
          <w:rFonts w:ascii="SimHei" w:hAnsi="SimHei" w:eastAsia="黑体" w:cs="SimHei"/>
          <w:color w:val="000000"/>
          <w:kern w:val="0"/>
          <w:sz w:val="32"/>
          <w:szCs w:val="32"/>
        </w:rPr>
        <w:t>补偿缴费</w:t>
      </w:r>
      <w:r>
        <w:rPr>
          <w:rFonts w:ascii="SimHei" w:hAnsi="SimHei" w:eastAsia="黑体" w:cs="SimHei"/>
          <w:color w:val="000000"/>
          <w:kern w:val="0"/>
          <w:sz w:val="32"/>
          <w:szCs w:val="32"/>
        </w:rPr>
        <w:t>+</w:t>
      </w:r>
      <w:r>
        <w:rPr>
          <w:rFonts w:ascii="SimHei" w:hAnsi="SimHei" w:eastAsia="黑体" w:cs="SimHei"/>
          <w:color w:val="000000"/>
          <w:kern w:val="0"/>
          <w:sz w:val="32"/>
          <w:szCs w:val="32"/>
        </w:rPr>
        <w:t>特殊贡献缴费；</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基本缴费分配给全体参加年金计划的职工；</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补偿缴费（由工龄补偿和统筹外补偿两部分组成）用于补偿过渡期内“中人”职工的待遇差；</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特殊贡献缴费用于对有突出贡献的优秀职工进行奖励。</w:t>
      </w:r>
    </w:p>
    <w:p>
      <w:pPr>
        <w:pStyle w:val="Normal"/>
        <w:ind w:firstLine="632"/>
        <w:rPr/>
      </w:pPr>
      <w:r>
        <w:rPr>
          <w:rFonts w:ascii="SimHei" w:hAnsi="SimHei" w:eastAsia="黑体" w:cs="SimHei"/>
          <w:color w:val="000000"/>
          <w:kern w:val="0"/>
          <w:sz w:val="32"/>
          <w:szCs w:val="32"/>
        </w:rPr>
        <w:t xml:space="preserve">企业缴费部分首先用于补偿缴费（其中补偿缴费中首先用于统筹外补偿，其余用于工龄补偿），其余部分用于基本缴费和特殊贡献缴费。 </w:t>
      </w:r>
    </w:p>
    <w:p>
      <w:pPr>
        <w:pStyle w:val="Normal"/>
        <w:ind w:firstLine="632"/>
        <w:rPr/>
      </w:pPr>
      <w:r>
        <w:rPr>
          <w:rFonts w:ascii="SimHei" w:hAnsi="SimHei" w:eastAsia="黑体" w:cs="SimHei"/>
          <w:color w:val="000000"/>
          <w:kern w:val="0"/>
          <w:sz w:val="32"/>
          <w:szCs w:val="32"/>
        </w:rPr>
        <w:t>企业缴费分配比例每年由公司企业年金管理委员会提出，报批准后实施。在实行企业年金初期，如企业缴费比例设定为</w:t>
      </w:r>
      <w:r>
        <w:rPr>
          <w:rFonts w:ascii="SimHei" w:hAnsi="SimHei" w:eastAsia="黑体" w:cs="SimHei"/>
          <w:color w:val="000000"/>
          <w:kern w:val="0"/>
          <w:sz w:val="32"/>
          <w:szCs w:val="32"/>
        </w:rPr>
        <w:t>8.33%</w:t>
      </w:r>
      <w:r>
        <w:rPr>
          <w:rFonts w:ascii="SimHei" w:hAnsi="SimHei" w:eastAsia="黑体" w:cs="SimHei"/>
          <w:color w:val="000000"/>
          <w:kern w:val="0"/>
          <w:sz w:val="32"/>
          <w:szCs w:val="32"/>
        </w:rPr>
        <w:t>时，原则上基本缴费为</w:t>
      </w:r>
      <w:r>
        <w:rPr>
          <w:rFonts w:ascii="SimHei" w:hAnsi="SimHei" w:eastAsia="黑体" w:cs="SimHei"/>
          <w:color w:val="000000"/>
          <w:kern w:val="0"/>
          <w:sz w:val="32"/>
          <w:szCs w:val="32"/>
        </w:rPr>
        <w:t>4%</w:t>
      </w:r>
      <w:r>
        <w:rPr>
          <w:rFonts w:ascii="SimHei" w:hAnsi="SimHei" w:eastAsia="黑体" w:cs="SimHei"/>
          <w:color w:val="000000"/>
          <w:kern w:val="0"/>
          <w:sz w:val="32"/>
          <w:szCs w:val="32"/>
        </w:rPr>
        <w:t>，补偿缴费为</w:t>
      </w:r>
      <w:r>
        <w:rPr>
          <w:rFonts w:ascii="SimHei" w:hAnsi="SimHei" w:eastAsia="黑体" w:cs="SimHei"/>
          <w:color w:val="000000"/>
          <w:kern w:val="0"/>
          <w:sz w:val="32"/>
          <w:szCs w:val="32"/>
        </w:rPr>
        <w:t>4%</w:t>
      </w:r>
      <w:r>
        <w:rPr>
          <w:rFonts w:ascii="SimHei" w:hAnsi="SimHei" w:eastAsia="黑体" w:cs="SimHei"/>
          <w:color w:val="000000"/>
          <w:kern w:val="0"/>
          <w:sz w:val="32"/>
          <w:szCs w:val="32"/>
        </w:rPr>
        <w:t>（统筹外补偿比例为</w:t>
      </w:r>
      <w:r>
        <w:rPr>
          <w:rFonts w:ascii="SimHei" w:hAnsi="SimHei" w:eastAsia="黑体" w:cs="SimHei"/>
          <w:color w:val="000000"/>
          <w:kern w:val="0"/>
          <w:sz w:val="32"/>
          <w:szCs w:val="32"/>
        </w:rPr>
        <w:t>2%</w:t>
      </w:r>
      <w:r>
        <w:rPr>
          <w:rFonts w:ascii="SimHei" w:hAnsi="SimHei" w:eastAsia="黑体" w:cs="SimHei"/>
          <w:color w:val="000000"/>
          <w:kern w:val="0"/>
          <w:sz w:val="32"/>
          <w:szCs w:val="32"/>
        </w:rPr>
        <w:t>，工龄补偿比例为</w:t>
      </w:r>
      <w:r>
        <w:rPr>
          <w:rFonts w:ascii="SimHei" w:hAnsi="SimHei" w:eastAsia="黑体" w:cs="SimHei"/>
          <w:color w:val="000000"/>
          <w:kern w:val="0"/>
          <w:sz w:val="32"/>
          <w:szCs w:val="32"/>
        </w:rPr>
        <w:t>2%</w:t>
      </w:r>
      <w:r>
        <w:rPr>
          <w:rFonts w:ascii="SimHei" w:hAnsi="SimHei" w:eastAsia="黑体" w:cs="SimHei"/>
          <w:color w:val="000000"/>
          <w:kern w:val="0"/>
          <w:sz w:val="32"/>
          <w:szCs w:val="32"/>
        </w:rPr>
        <w:t>），特殊贡献缴费为</w:t>
      </w:r>
      <w:r>
        <w:rPr>
          <w:rFonts w:ascii="SimHei" w:hAnsi="SimHei" w:eastAsia="黑体" w:cs="SimHei"/>
          <w:color w:val="000000"/>
          <w:kern w:val="0"/>
          <w:sz w:val="32"/>
          <w:szCs w:val="32"/>
        </w:rPr>
        <w:t>0.33%</w:t>
      </w:r>
      <w:r>
        <w:rPr>
          <w:rFonts w:ascii="SimHei" w:hAnsi="SimHei" w:eastAsia="黑体" w:cs="SimHei"/>
          <w:color w:val="000000"/>
          <w:kern w:val="0"/>
          <w:sz w:val="32"/>
          <w:szCs w:val="32"/>
        </w:rPr>
        <w:t>。</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在过渡期后，不再进行补偿缴费，补偿缴费并入基本缴费。</w:t>
      </w:r>
    </w:p>
    <w:p>
      <w:pPr>
        <w:pStyle w:val="Normal"/>
        <w:ind w:firstLine="632"/>
        <w:rPr/>
      </w:pPr>
      <w:r>
        <w:rPr>
          <w:rFonts w:ascii="SimHei" w:hAnsi="SimHei" w:eastAsia="黑体" w:cs="SimHei"/>
          <w:color w:val="000000"/>
          <w:kern w:val="0"/>
          <w:sz w:val="32"/>
          <w:szCs w:val="32"/>
        </w:rPr>
        <w:t>第十八条  企业基本缴费的分配</w:t>
      </w:r>
    </w:p>
    <w:p>
      <w:pPr>
        <w:pStyle w:val="Normal"/>
        <w:ind w:firstLine="632"/>
        <w:rPr/>
      </w:pPr>
      <w:r>
        <w:rPr>
          <w:rFonts w:ascii="SimHei" w:hAnsi="SimHei" w:eastAsia="黑体" w:cs="SimHei"/>
          <w:color w:val="000000"/>
          <w:kern w:val="0"/>
          <w:sz w:val="32"/>
          <w:szCs w:val="32"/>
        </w:rPr>
        <w:t>企业基本缴费的分配采取系数法，分配系数按照职工的岗位职级和职称（技能）等级两个因素综合计算，职工的实际聘任岗位职级、职称（技能）等级以当年</w:t>
      </w:r>
      <w:r>
        <w:rPr>
          <w:rFonts w:ascii="SimHei" w:hAnsi="SimHei" w:eastAsia="黑体" w:cs="SimHei"/>
          <w:color w:val="000000"/>
          <w:kern w:val="0"/>
          <w:sz w:val="32"/>
          <w:szCs w:val="32"/>
        </w:rPr>
        <w:t>6</w:t>
      </w:r>
      <w:r>
        <w:rPr>
          <w:rFonts w:ascii="SimHei" w:hAnsi="SimHei" w:eastAsia="黑体" w:cs="SimHei"/>
          <w:color w:val="000000"/>
          <w:kern w:val="0"/>
          <w:sz w:val="32"/>
          <w:szCs w:val="32"/>
        </w:rPr>
        <w:t>月</w:t>
      </w:r>
      <w:r>
        <w:rPr>
          <w:rFonts w:ascii="SimHei" w:hAnsi="SimHei" w:eastAsia="黑体" w:cs="SimHei"/>
          <w:color w:val="000000"/>
          <w:kern w:val="0"/>
          <w:sz w:val="32"/>
          <w:szCs w:val="32"/>
        </w:rPr>
        <w:t>30</w:t>
      </w:r>
      <w:r>
        <w:rPr>
          <w:rFonts w:ascii="SimHei" w:hAnsi="SimHei" w:eastAsia="黑体" w:cs="SimHei"/>
          <w:color w:val="000000"/>
          <w:kern w:val="0"/>
          <w:sz w:val="32"/>
          <w:szCs w:val="32"/>
        </w:rPr>
        <w:t>日的时点确定，对新加入企业年金的职工，以公司企业年金管理委员会批准的时点确定。</w:t>
      </w:r>
    </w:p>
    <w:p>
      <w:pPr>
        <w:sectPr>
          <w:type w:val="nextPage"/>
          <w:pgSz w:w="11906" w:h="16838"/>
          <w:pgMar w:left="1588" w:right="1474" w:header="0" w:top="2098" w:footer="0" w:bottom="1985" w:gutter="0"/>
          <w:pgNumType w:fmt="decimal"/>
          <w:formProt w:val="false"/>
          <w:textDirection w:val="lrTb"/>
          <w:docGrid w:type="linesAndChars" w:linePitch="289" w:charSpace="4294966271"/>
        </w:sectPr>
        <w:pStyle w:val="TextBodyIndent"/>
        <w:rPr/>
      </w:pPr>
      <w:r>
        <w:rPr/>
        <w:t>（一）岗位职级系数：按一航局现行岗薪工资标准（一航局</w:t>
      </w:r>
      <w:r>
        <w:rPr/>
        <w:t>[2000]17</w:t>
      </w:r>
      <w:r>
        <w:rPr/>
        <w:t>号文件）中所对应的薪级确定。</w:t>
      </w:r>
    </w:p>
    <w:p>
      <w:pPr>
        <w:pStyle w:val="TextBodyIndent"/>
        <w:ind w:hanging="0"/>
        <w:rPr/>
      </w:pPr>
      <w:r>
        <w:rPr/>
      </w:r>
    </w:p>
    <w:tbl>
      <w:tblPr>
        <w:tblW w:w="8755" w:type="dxa"/>
        <w:jc w:val="center"/>
        <w:tblInd w:w="0" w:type="dxa"/>
        <w:tblLayout w:type="fixed"/>
        <w:tblCellMar>
          <w:top w:w="0" w:type="dxa"/>
          <w:left w:w="108" w:type="dxa"/>
          <w:bottom w:w="0" w:type="dxa"/>
          <w:right w:w="108" w:type="dxa"/>
        </w:tblCellMar>
      </w:tblPr>
      <w:tblGrid>
        <w:gridCol w:w="1996"/>
        <w:gridCol w:w="1717"/>
        <w:gridCol w:w="1736"/>
        <w:gridCol w:w="1663"/>
        <w:gridCol w:w="1643"/>
      </w:tblGrid>
      <w:tr>
        <w:trPr>
          <w:trHeight w:val="544" w:hRule="atLeast"/>
          <w:cantSplit w:val="true"/>
        </w:trPr>
        <w:tc>
          <w:tcPr>
            <w:tcW w:w="1996" w:type="dxa"/>
            <w:tcBorders>
              <w:top w:val="single" w:sz="12" w:space="0" w:color="000000"/>
              <w:left w:val="single" w:sz="12" w:space="0" w:color="000000"/>
              <w:right w:val="single" w:sz="4" w:space="0" w:color="000000"/>
            </w:tcBorders>
          </w:tcPr>
          <w:p>
            <w:pPr>
              <w:pStyle w:val="Normal"/>
              <w:spacing w:lineRule="atLeast" w:line="240"/>
              <w:jc w:val="right"/>
              <w:rPr>
                <w:rFonts w:ascii="SimHei" w:hAnsi="SimHei" w:eastAsia="黑体" w:cs="SimHei"/>
              </w:rPr>
            </w:pPr>
            <w:r>
              <mc:AlternateContent>
                <mc:Choice Requires="wps">
                  <w:drawing>
                    <wp:anchor behindDoc="0" distT="4445" distB="4445" distL="119380" distR="119380" simplePos="0" locked="0" layoutInCell="1" allowOverlap="1" relativeHeight="3">
                      <wp:simplePos x="0" y="0"/>
                      <wp:positionH relativeFrom="column">
                        <wp:posOffset>-45085</wp:posOffset>
                      </wp:positionH>
                      <wp:positionV relativeFrom="paragraph">
                        <wp:posOffset>28575</wp:posOffset>
                      </wp:positionV>
                      <wp:extent cx="954405" cy="706120"/>
                      <wp:effectExtent l="0" t="0" r="0" b="0"/>
                      <wp:wrapNone/>
                      <wp:docPr id="1" name=""/>
                      <a:graphic xmlns:a="http://schemas.openxmlformats.org/drawingml/2006/main">
                        <a:graphicData uri="http://schemas.microsoft.com/office/word/2010/wordprocessingShape">
                          <wps:wsp>
                            <wps:cNvSpPr/>
                            <wps:spPr>
                              <a:xfrm>
                                <a:off x="0" y="0"/>
                                <a:ext cx="941040" cy="7221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55pt,2.25pt" to="70.5pt,59.05pt" stroked="t" style="position:absolute">
                      <v:stroke color="black" weight="9360" joinstyle="miter" endcap="flat"/>
                      <v:fill o:detectmouseclick="t" on="false"/>
                      <w10:wrap type="none"/>
                    </v:line>
                  </w:pict>
                </mc:Fallback>
              </mc:AlternateContent>
            </w:r>
            <w:r>
              <w:rPr>
                <w:rFonts w:ascii="SimHei" w:hAnsi="SimHei" w:eastAsia="黑体" w:cs="SimHei"/>
              </w:rPr>
              <w:t>名称</w:t>
            </w:r>
          </w:p>
        </w:tc>
        <w:tc>
          <w:tcPr>
            <w:tcW w:w="1717" w:type="dxa"/>
            <w:vMerge w:val="restart"/>
            <w:tcBorders>
              <w:top w:val="single" w:sz="12"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管理与技术</w:t>
            </w:r>
          </w:p>
          <w:p>
            <w:pPr>
              <w:pStyle w:val="Normal"/>
              <w:spacing w:lineRule="atLeast" w:line="240"/>
              <w:jc w:val="center"/>
              <w:rPr>
                <w:rFonts w:ascii="SimHei" w:hAnsi="SimHei" w:eastAsia="黑体" w:cs="SimHei"/>
              </w:rPr>
            </w:pPr>
            <w:r>
              <w:rPr>
                <w:rFonts w:ascii="SimHei" w:hAnsi="SimHei" w:eastAsia="黑体" w:cs="SimHei"/>
              </w:rPr>
              <w:t>岗位</w:t>
            </w:r>
          </w:p>
        </w:tc>
        <w:tc>
          <w:tcPr>
            <w:tcW w:w="1736" w:type="dxa"/>
            <w:vMerge w:val="restart"/>
            <w:tcBorders>
              <w:top w:val="single" w:sz="12"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生产与服务</w:t>
            </w:r>
          </w:p>
          <w:p>
            <w:pPr>
              <w:pStyle w:val="Normal"/>
              <w:spacing w:lineRule="atLeast" w:line="240"/>
              <w:jc w:val="center"/>
              <w:rPr>
                <w:rFonts w:ascii="SimHei" w:hAnsi="SimHei" w:eastAsia="黑体" w:cs="SimHei"/>
              </w:rPr>
            </w:pPr>
            <w:r>
              <w:rPr>
                <w:rFonts w:ascii="SimHei" w:hAnsi="SimHei" w:eastAsia="黑体" w:cs="SimHei"/>
              </w:rPr>
              <w:t>岗位</w:t>
            </w:r>
          </w:p>
        </w:tc>
        <w:tc>
          <w:tcPr>
            <w:tcW w:w="1663" w:type="dxa"/>
            <w:vMerge w:val="restart"/>
            <w:tcBorders>
              <w:top w:val="single" w:sz="12"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船员岗位</w:t>
            </w:r>
          </w:p>
        </w:tc>
        <w:tc>
          <w:tcPr>
            <w:tcW w:w="1643" w:type="dxa"/>
            <w:vMerge w:val="restart"/>
            <w:tcBorders>
              <w:top w:val="single" w:sz="12" w:space="0" w:color="000000"/>
              <w:left w:val="single" w:sz="4" w:space="0" w:color="000000"/>
              <w:bottom w:val="single" w:sz="4" w:space="0" w:color="000000"/>
              <w:right w:val="single" w:sz="12"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职级系数</w:t>
            </w:r>
          </w:p>
        </w:tc>
      </w:tr>
      <w:tr>
        <w:trPr>
          <w:cantSplit w:val="true"/>
        </w:trPr>
        <w:tc>
          <w:tcPr>
            <w:tcW w:w="1996" w:type="dxa"/>
            <w:tcBorders>
              <w:left w:val="single" w:sz="12" w:space="0" w:color="000000"/>
              <w:right w:val="single" w:sz="4" w:space="0" w:color="000000"/>
            </w:tcBorders>
            <w:vAlign w:val="center"/>
          </w:tcPr>
          <w:p>
            <w:pPr>
              <w:pStyle w:val="Normal"/>
              <w:spacing w:lineRule="atLeast" w:line="240"/>
              <w:jc w:val="right"/>
              <w:rPr>
                <w:rFonts w:ascii="SimHei" w:hAnsi="SimHei" w:eastAsia="黑体" w:cs="SimHei"/>
              </w:rPr>
            </w:pPr>
            <w:r>
              <w:rPr>
                <w:rFonts w:ascii="SimHei" w:hAnsi="SimHei" w:eastAsia="黑体" w:cs="SimHei"/>
              </w:rPr>
              <w:t>职务</w:t>
            </w:r>
          </w:p>
        </w:tc>
        <w:tc>
          <w:tcPr>
            <w:tcW w:w="1717" w:type="dxa"/>
            <w:vMerge w:val="continue"/>
            <w:tcBorders>
              <w:top w:val="single" w:sz="12"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736" w:type="dxa"/>
            <w:vMerge w:val="continue"/>
            <w:tcBorders>
              <w:top w:val="single" w:sz="12"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663" w:type="dxa"/>
            <w:vMerge w:val="continue"/>
            <w:tcBorders>
              <w:top w:val="single" w:sz="12"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643" w:type="dxa"/>
            <w:vMerge w:val="continue"/>
            <w:tcBorders>
              <w:top w:val="single" w:sz="12" w:space="0" w:color="000000"/>
              <w:left w:val="single" w:sz="4" w:space="0" w:color="000000"/>
              <w:bottom w:val="single" w:sz="4" w:space="0" w:color="000000"/>
              <w:right w:val="single" w:sz="12"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r>
      <w:tr>
        <w:trPr>
          <w:trHeight w:val="70" w:hRule="atLeast"/>
          <w:cantSplit w:val="true"/>
        </w:trPr>
        <w:tc>
          <w:tcPr>
            <w:tcW w:w="1996" w:type="dxa"/>
            <w:tcBorders>
              <w:left w:val="single" w:sz="12" w:space="0" w:color="000000"/>
              <w:bottom w:val="single" w:sz="4" w:space="0" w:color="000000"/>
              <w:right w:val="single" w:sz="4" w:space="0" w:color="000000"/>
            </w:tcBorders>
            <w:vAlign w:val="center"/>
          </w:tcPr>
          <w:p>
            <w:pPr>
              <w:pStyle w:val="Normal"/>
              <w:spacing w:lineRule="atLeast" w:line="240"/>
              <w:ind w:firstLine="354"/>
              <w:rPr>
                <w:rFonts w:ascii="SimHei" w:hAnsi="SimHei" w:eastAsia="黑体" w:cs="SimHei"/>
              </w:rPr>
            </w:pPr>
            <w:r>
              <w:rPr>
                <w:rFonts w:ascii="SimHei" w:hAnsi="SimHei" w:eastAsia="黑体" w:cs="SimHei"/>
              </w:rPr>
              <w:t>薪级</w:t>
            </w:r>
          </w:p>
        </w:tc>
        <w:tc>
          <w:tcPr>
            <w:tcW w:w="1717" w:type="dxa"/>
            <w:vMerge w:val="continue"/>
            <w:tcBorders>
              <w:top w:val="single" w:sz="12"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736" w:type="dxa"/>
            <w:vMerge w:val="continue"/>
            <w:tcBorders>
              <w:top w:val="single" w:sz="12"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663" w:type="dxa"/>
            <w:vMerge w:val="continue"/>
            <w:tcBorders>
              <w:top w:val="single" w:sz="12"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643" w:type="dxa"/>
            <w:vMerge w:val="continue"/>
            <w:tcBorders>
              <w:top w:val="single" w:sz="12" w:space="0" w:color="000000"/>
              <w:left w:val="single" w:sz="4" w:space="0" w:color="000000"/>
              <w:bottom w:val="single" w:sz="4" w:space="0" w:color="000000"/>
              <w:right w:val="single" w:sz="12"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r>
      <w:tr>
        <w:trPr>
          <w:trHeight w:val="851" w:hRule="atLeast"/>
        </w:trPr>
        <w:tc>
          <w:tcPr>
            <w:tcW w:w="1996" w:type="dxa"/>
            <w:tcBorders>
              <w:top w:val="single" w:sz="4" w:space="0" w:color="000000"/>
              <w:left w:val="single" w:sz="12"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三级</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pPr>
            <w:r>
              <w:rPr>
                <w:rFonts w:ascii="SimHei" w:hAnsi="SimHei" w:eastAsia="黑体" w:cs="SimHei"/>
              </w:rPr>
              <w:t>正处职</w:t>
            </w:r>
          </w:p>
        </w:tc>
        <w:tc>
          <w:tcPr>
            <w:tcW w:w="173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643" w:type="dxa"/>
            <w:tcBorders>
              <w:top w:val="single" w:sz="4" w:space="0" w:color="000000"/>
              <w:left w:val="single" w:sz="4" w:space="0" w:color="000000"/>
              <w:bottom w:val="single" w:sz="4" w:space="0" w:color="000000"/>
              <w:right w:val="single" w:sz="12"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4</w:t>
            </w:r>
          </w:p>
        </w:tc>
      </w:tr>
      <w:tr>
        <w:trPr>
          <w:trHeight w:val="851" w:hRule="atLeast"/>
        </w:trPr>
        <w:tc>
          <w:tcPr>
            <w:tcW w:w="1996" w:type="dxa"/>
            <w:tcBorders>
              <w:top w:val="single" w:sz="4" w:space="0" w:color="000000"/>
              <w:left w:val="single" w:sz="12"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四级</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副处职</w:t>
            </w:r>
          </w:p>
        </w:tc>
        <w:tc>
          <w:tcPr>
            <w:tcW w:w="173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643" w:type="dxa"/>
            <w:tcBorders>
              <w:top w:val="single" w:sz="4" w:space="0" w:color="000000"/>
              <w:left w:val="single" w:sz="4" w:space="0" w:color="000000"/>
              <w:bottom w:val="single" w:sz="4" w:space="0" w:color="000000"/>
              <w:right w:val="single" w:sz="12"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3.2</w:t>
            </w:r>
          </w:p>
        </w:tc>
      </w:tr>
      <w:tr>
        <w:trPr>
          <w:trHeight w:val="851" w:hRule="atLeast"/>
        </w:trPr>
        <w:tc>
          <w:tcPr>
            <w:tcW w:w="1996" w:type="dxa"/>
            <w:tcBorders>
              <w:top w:val="single" w:sz="4" w:space="0" w:color="000000"/>
              <w:left w:val="single" w:sz="12"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五级</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正高级</w:t>
            </w:r>
          </w:p>
        </w:tc>
        <w:tc>
          <w:tcPr>
            <w:tcW w:w="173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643" w:type="dxa"/>
            <w:tcBorders>
              <w:top w:val="single" w:sz="4" w:space="0" w:color="000000"/>
              <w:left w:val="single" w:sz="4" w:space="0" w:color="000000"/>
              <w:bottom w:val="single" w:sz="4" w:space="0" w:color="000000"/>
              <w:right w:val="single" w:sz="12"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r>
      <w:tr>
        <w:trPr>
          <w:trHeight w:val="851" w:hRule="atLeast"/>
        </w:trPr>
        <w:tc>
          <w:tcPr>
            <w:tcW w:w="1996" w:type="dxa"/>
            <w:tcBorders>
              <w:top w:val="single" w:sz="4" w:space="0" w:color="000000"/>
              <w:left w:val="single" w:sz="12"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六级</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pPr>
            <w:r>
              <w:rPr>
                <w:rFonts w:ascii="SimHei" w:hAnsi="SimHei" w:eastAsia="黑体" w:cs="SimHei"/>
              </w:rPr>
              <w:t>正科职</w:t>
            </w:r>
          </w:p>
        </w:tc>
        <w:tc>
          <w:tcPr>
            <w:tcW w:w="173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643" w:type="dxa"/>
            <w:tcBorders>
              <w:top w:val="single" w:sz="4" w:space="0" w:color="000000"/>
              <w:left w:val="single" w:sz="4" w:space="0" w:color="000000"/>
              <w:bottom w:val="single" w:sz="4" w:space="0" w:color="000000"/>
              <w:right w:val="single" w:sz="12"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1.8</w:t>
            </w:r>
          </w:p>
        </w:tc>
      </w:tr>
      <w:tr>
        <w:trPr>
          <w:trHeight w:val="851" w:hRule="atLeast"/>
        </w:trPr>
        <w:tc>
          <w:tcPr>
            <w:tcW w:w="1996" w:type="dxa"/>
            <w:tcBorders>
              <w:top w:val="single" w:sz="4" w:space="0" w:color="000000"/>
              <w:left w:val="single" w:sz="12"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七级</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pPr>
            <w:r>
              <w:rPr>
                <w:rFonts w:ascii="SimHei" w:hAnsi="SimHei" w:eastAsia="黑体" w:cs="SimHei"/>
              </w:rPr>
              <w:t>副科职</w:t>
            </w:r>
          </w:p>
          <w:p>
            <w:pPr>
              <w:pStyle w:val="Normal"/>
              <w:spacing w:lineRule="atLeast" w:line="240"/>
              <w:jc w:val="center"/>
              <w:rPr>
                <w:rFonts w:ascii="SimHei" w:hAnsi="SimHei" w:eastAsia="黑体" w:cs="SimHei"/>
              </w:rPr>
            </w:pPr>
            <w:r>
              <w:rPr>
                <w:rFonts w:ascii="SimHei" w:hAnsi="SimHei" w:eastAsia="黑体" w:cs="SimHei"/>
              </w:rPr>
              <w:t>一级主管</w:t>
            </w:r>
          </w:p>
          <w:p>
            <w:pPr>
              <w:pStyle w:val="Normal"/>
              <w:spacing w:lineRule="atLeast" w:line="240"/>
              <w:jc w:val="center"/>
              <w:rPr>
                <w:rFonts w:ascii="SimHei" w:hAnsi="SimHei" w:eastAsia="黑体" w:cs="SimHei"/>
              </w:rPr>
            </w:pPr>
            <w:r>
              <w:rPr>
                <w:rFonts w:ascii="SimHei" w:hAnsi="SimHei" w:eastAsia="黑体" w:cs="SimHei"/>
              </w:rPr>
              <w:t>副高级</w:t>
            </w:r>
            <w:r>
              <w:rPr>
                <w:rFonts w:ascii="SimHei" w:hAnsi="SimHei" w:eastAsia="黑体" w:cs="SimHei"/>
              </w:rPr>
              <w:t>A</w:t>
            </w:r>
          </w:p>
        </w:tc>
        <w:tc>
          <w:tcPr>
            <w:tcW w:w="173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一类岗</w:t>
            </w:r>
          </w:p>
        </w:tc>
        <w:tc>
          <w:tcPr>
            <w:tcW w:w="1643" w:type="dxa"/>
            <w:tcBorders>
              <w:top w:val="single" w:sz="4" w:space="0" w:color="000000"/>
              <w:left w:val="single" w:sz="4" w:space="0" w:color="000000"/>
              <w:bottom w:val="single" w:sz="4" w:space="0" w:color="000000"/>
              <w:right w:val="single" w:sz="12"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1.5</w:t>
            </w:r>
          </w:p>
        </w:tc>
      </w:tr>
      <w:tr>
        <w:trPr>
          <w:trHeight w:val="851" w:hRule="atLeast"/>
        </w:trPr>
        <w:tc>
          <w:tcPr>
            <w:tcW w:w="1996" w:type="dxa"/>
            <w:tcBorders>
              <w:top w:val="single" w:sz="4" w:space="0" w:color="000000"/>
              <w:left w:val="single" w:sz="12"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八级</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ind w:firstLine="236"/>
              <w:rPr>
                <w:rFonts w:ascii="SimHei" w:hAnsi="SimHei" w:eastAsia="黑体" w:cs="SimHei"/>
              </w:rPr>
            </w:pPr>
            <w:r>
              <w:rPr>
                <w:rFonts w:ascii="SimHei" w:hAnsi="SimHei" w:eastAsia="黑体" w:cs="SimHei"/>
              </w:rPr>
              <w:t>二级主管</w:t>
            </w:r>
          </w:p>
          <w:p>
            <w:pPr>
              <w:pStyle w:val="Normal"/>
              <w:spacing w:lineRule="atLeast" w:line="240"/>
              <w:ind w:firstLine="236"/>
              <w:rPr>
                <w:rFonts w:ascii="SimHei" w:hAnsi="SimHei" w:eastAsia="黑体" w:cs="SimHei"/>
              </w:rPr>
            </w:pPr>
            <w:r>
              <w:rPr>
                <w:rFonts w:ascii="SimHei" w:hAnsi="SimHei" w:eastAsia="黑体" w:cs="SimHei"/>
              </w:rPr>
              <w:t>副高级</w:t>
            </w:r>
            <w:r>
              <w:rPr>
                <w:rFonts w:ascii="SimHei" w:hAnsi="SimHei" w:eastAsia="黑体" w:cs="SimHei"/>
              </w:rPr>
              <w:t>B</w:t>
            </w:r>
            <w:r>
              <w:rPr>
                <w:rFonts w:ascii="SimHei" w:hAnsi="SimHei" w:eastAsia="黑体" w:cs="SimHei"/>
              </w:rPr>
              <w:t>、</w:t>
            </w:r>
          </w:p>
          <w:p>
            <w:pPr>
              <w:pStyle w:val="Normal"/>
              <w:spacing w:lineRule="atLeast" w:line="240"/>
              <w:ind w:firstLine="236"/>
              <w:rPr>
                <w:rFonts w:ascii="SimHei" w:hAnsi="SimHei" w:eastAsia="黑体" w:cs="SimHei"/>
              </w:rPr>
            </w:pPr>
            <w:r>
              <w:rPr>
                <w:rFonts w:ascii="SimHei" w:hAnsi="SimHei" w:eastAsia="黑体" w:cs="SimHei"/>
              </w:rPr>
              <w:t>中级</w:t>
            </w:r>
            <w:r>
              <w:rPr>
                <w:rFonts w:ascii="SimHei" w:hAnsi="SimHei" w:eastAsia="黑体" w:cs="SimHei"/>
              </w:rPr>
              <w:t>A</w:t>
            </w:r>
          </w:p>
        </w:tc>
        <w:tc>
          <w:tcPr>
            <w:tcW w:w="1736"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高级技师</w:t>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二类岗</w:t>
            </w:r>
          </w:p>
        </w:tc>
        <w:tc>
          <w:tcPr>
            <w:tcW w:w="1643" w:type="dxa"/>
            <w:tcBorders>
              <w:top w:val="single" w:sz="4" w:space="0" w:color="000000"/>
              <w:left w:val="single" w:sz="4" w:space="0" w:color="000000"/>
              <w:bottom w:val="single" w:sz="4" w:space="0" w:color="000000"/>
              <w:right w:val="single" w:sz="12"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1.2</w:t>
            </w:r>
          </w:p>
        </w:tc>
      </w:tr>
      <w:tr>
        <w:trPr>
          <w:trHeight w:val="851" w:hRule="atLeast"/>
        </w:trPr>
        <w:tc>
          <w:tcPr>
            <w:tcW w:w="1996" w:type="dxa"/>
            <w:tcBorders>
              <w:top w:val="single" w:sz="4" w:space="0" w:color="000000"/>
              <w:left w:val="single" w:sz="12"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九级</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ind w:firstLine="236"/>
              <w:rPr>
                <w:rFonts w:ascii="SimHei" w:hAnsi="SimHei" w:eastAsia="黑体" w:cs="SimHei"/>
              </w:rPr>
            </w:pPr>
            <w:r>
              <w:rPr>
                <w:rFonts w:ascii="SimHei" w:hAnsi="SimHei" w:eastAsia="黑体" w:cs="SimHei"/>
              </w:rPr>
              <w:t>一级业务员</w:t>
            </w:r>
          </w:p>
          <w:p>
            <w:pPr>
              <w:pStyle w:val="Normal"/>
              <w:spacing w:lineRule="atLeast" w:line="240"/>
              <w:ind w:firstLine="236"/>
              <w:rPr>
                <w:rFonts w:ascii="SimHei" w:hAnsi="SimHei" w:eastAsia="黑体" w:cs="SimHei"/>
              </w:rPr>
            </w:pPr>
            <w:r>
              <w:rPr>
                <w:rFonts w:ascii="SimHei" w:hAnsi="SimHei" w:eastAsia="黑体" w:cs="SimHei"/>
              </w:rPr>
              <w:t>中级</w:t>
            </w:r>
            <w:r>
              <w:rPr>
                <w:rFonts w:ascii="SimHei" w:hAnsi="SimHei" w:eastAsia="黑体" w:cs="SimHei"/>
              </w:rPr>
              <w:t>B</w:t>
            </w:r>
          </w:p>
        </w:tc>
        <w:tc>
          <w:tcPr>
            <w:tcW w:w="1736"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技师</w:t>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三类岗</w:t>
            </w:r>
          </w:p>
        </w:tc>
        <w:tc>
          <w:tcPr>
            <w:tcW w:w="1643" w:type="dxa"/>
            <w:tcBorders>
              <w:top w:val="single" w:sz="4" w:space="0" w:color="000000"/>
              <w:left w:val="single" w:sz="4" w:space="0" w:color="000000"/>
              <w:bottom w:val="single" w:sz="4" w:space="0" w:color="000000"/>
              <w:right w:val="single" w:sz="12"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1.1</w:t>
            </w:r>
          </w:p>
        </w:tc>
      </w:tr>
      <w:tr>
        <w:trPr>
          <w:trHeight w:val="851" w:hRule="atLeast"/>
        </w:trPr>
        <w:tc>
          <w:tcPr>
            <w:tcW w:w="1996" w:type="dxa"/>
            <w:tcBorders>
              <w:top w:val="single" w:sz="4" w:space="0" w:color="000000"/>
              <w:left w:val="single" w:sz="12"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十级</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中级</w:t>
            </w:r>
            <w:r>
              <w:rPr>
                <w:rFonts w:ascii="SimHei" w:hAnsi="SimHei" w:eastAsia="黑体" w:cs="SimHei"/>
              </w:rPr>
              <w:t>C</w:t>
            </w:r>
          </w:p>
        </w:tc>
        <w:tc>
          <w:tcPr>
            <w:tcW w:w="1736"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一类岗</w:t>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四类岗</w:t>
            </w:r>
          </w:p>
        </w:tc>
        <w:tc>
          <w:tcPr>
            <w:tcW w:w="1643" w:type="dxa"/>
            <w:tcBorders>
              <w:top w:val="single" w:sz="4" w:space="0" w:color="000000"/>
              <w:left w:val="single" w:sz="4" w:space="0" w:color="000000"/>
              <w:bottom w:val="single" w:sz="4" w:space="0" w:color="000000"/>
              <w:right w:val="single" w:sz="12"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0.9</w:t>
            </w:r>
          </w:p>
        </w:tc>
      </w:tr>
      <w:tr>
        <w:trPr>
          <w:trHeight w:val="851" w:hRule="atLeast"/>
        </w:trPr>
        <w:tc>
          <w:tcPr>
            <w:tcW w:w="1996" w:type="dxa"/>
            <w:tcBorders>
              <w:top w:val="single" w:sz="4" w:space="0" w:color="000000"/>
              <w:left w:val="single" w:sz="12"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十一级</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二级业务员</w:t>
            </w:r>
          </w:p>
          <w:p>
            <w:pPr>
              <w:pStyle w:val="Normal"/>
              <w:spacing w:lineRule="atLeast" w:line="240"/>
              <w:jc w:val="center"/>
              <w:rPr>
                <w:rFonts w:ascii="SimHei" w:hAnsi="SimHei" w:eastAsia="黑体" w:cs="SimHei"/>
              </w:rPr>
            </w:pPr>
            <w:r>
              <w:rPr>
                <w:rFonts w:ascii="SimHei" w:hAnsi="SimHei" w:eastAsia="黑体" w:cs="SimHei"/>
              </w:rPr>
              <w:t>助级</w:t>
            </w:r>
          </w:p>
        </w:tc>
        <w:tc>
          <w:tcPr>
            <w:tcW w:w="1736"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二类岗</w:t>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五类岗</w:t>
            </w:r>
          </w:p>
        </w:tc>
        <w:tc>
          <w:tcPr>
            <w:tcW w:w="1643" w:type="dxa"/>
            <w:tcBorders>
              <w:top w:val="single" w:sz="4" w:space="0" w:color="000000"/>
              <w:left w:val="single" w:sz="4" w:space="0" w:color="000000"/>
              <w:bottom w:val="single" w:sz="4" w:space="0" w:color="000000"/>
              <w:right w:val="single" w:sz="12"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0.8</w:t>
            </w:r>
          </w:p>
        </w:tc>
      </w:tr>
      <w:tr>
        <w:trPr>
          <w:trHeight w:val="851" w:hRule="atLeast"/>
        </w:trPr>
        <w:tc>
          <w:tcPr>
            <w:tcW w:w="1996" w:type="dxa"/>
            <w:tcBorders>
              <w:top w:val="single" w:sz="4" w:space="0" w:color="000000"/>
              <w:left w:val="single" w:sz="12"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十二级</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三级业务员</w:t>
            </w:r>
          </w:p>
          <w:p>
            <w:pPr>
              <w:pStyle w:val="Normal"/>
              <w:spacing w:lineRule="atLeast" w:line="240"/>
              <w:jc w:val="center"/>
              <w:rPr>
                <w:rFonts w:ascii="SimHei" w:hAnsi="SimHei" w:eastAsia="黑体" w:cs="SimHei"/>
              </w:rPr>
            </w:pPr>
            <w:r>
              <w:rPr>
                <w:rFonts w:ascii="SimHei" w:hAnsi="SimHei" w:eastAsia="黑体" w:cs="SimHei"/>
              </w:rPr>
              <w:t>员级</w:t>
            </w:r>
          </w:p>
        </w:tc>
        <w:tc>
          <w:tcPr>
            <w:tcW w:w="1736"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三类岗</w:t>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六类岗</w:t>
            </w:r>
          </w:p>
        </w:tc>
        <w:tc>
          <w:tcPr>
            <w:tcW w:w="1643" w:type="dxa"/>
            <w:tcBorders>
              <w:top w:val="single" w:sz="4" w:space="0" w:color="000000"/>
              <w:left w:val="single" w:sz="4" w:space="0" w:color="000000"/>
              <w:bottom w:val="single" w:sz="4" w:space="0" w:color="000000"/>
              <w:right w:val="single" w:sz="12"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0.7</w:t>
            </w:r>
          </w:p>
        </w:tc>
      </w:tr>
      <w:tr>
        <w:trPr>
          <w:trHeight w:val="851" w:hRule="atLeast"/>
        </w:trPr>
        <w:tc>
          <w:tcPr>
            <w:tcW w:w="1996" w:type="dxa"/>
            <w:tcBorders>
              <w:top w:val="single" w:sz="4" w:space="0" w:color="000000"/>
              <w:left w:val="single" w:sz="12"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十三级</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办事员</w:t>
            </w:r>
          </w:p>
        </w:tc>
        <w:tc>
          <w:tcPr>
            <w:tcW w:w="1736"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四类岗</w:t>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七类岗</w:t>
            </w:r>
          </w:p>
        </w:tc>
        <w:tc>
          <w:tcPr>
            <w:tcW w:w="1643" w:type="dxa"/>
            <w:tcBorders>
              <w:top w:val="single" w:sz="4" w:space="0" w:color="000000"/>
              <w:left w:val="single" w:sz="4" w:space="0" w:color="000000"/>
              <w:bottom w:val="single" w:sz="4" w:space="0" w:color="000000"/>
              <w:right w:val="single" w:sz="12"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0.6</w:t>
            </w:r>
          </w:p>
        </w:tc>
      </w:tr>
      <w:tr>
        <w:trPr>
          <w:trHeight w:val="851" w:hRule="atLeast"/>
        </w:trPr>
        <w:tc>
          <w:tcPr>
            <w:tcW w:w="1996" w:type="dxa"/>
            <w:tcBorders>
              <w:top w:val="single" w:sz="4" w:space="0" w:color="000000"/>
              <w:left w:val="single" w:sz="12" w:space="0" w:color="000000"/>
              <w:bottom w:val="single" w:sz="4" w:space="0" w:color="000000"/>
              <w:right w:val="single" w:sz="4" w:space="0" w:color="000000"/>
            </w:tcBorders>
            <w:vAlign w:val="center"/>
          </w:tcPr>
          <w:p>
            <w:pPr>
              <w:pStyle w:val="Normal"/>
              <w:spacing w:lineRule="atLeast" w:line="240"/>
              <w:jc w:val="center"/>
              <w:rPr/>
            </w:pPr>
            <w:r>
              <w:rPr>
                <w:rFonts w:ascii="SimHei" w:hAnsi="SimHei" w:eastAsia="黑体" w:cs="SimHei"/>
              </w:rPr>
              <w:t>十四级</w:t>
            </w:r>
          </w:p>
        </w:tc>
        <w:tc>
          <w:tcPr>
            <w:tcW w:w="17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rPr>
                <w:rFonts w:ascii="SimHei" w:hAnsi="SimHei" w:eastAsia="黑体" w:cs="SimHei"/>
              </w:rPr>
            </w:pPr>
            <w:r>
              <w:rPr>
                <w:rFonts w:ascii="SimHei" w:hAnsi="SimHei" w:eastAsia="黑体" w:cs="SimHei"/>
              </w:rPr>
            </w:r>
          </w:p>
        </w:tc>
        <w:tc>
          <w:tcPr>
            <w:tcW w:w="1736"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五类岗</w:t>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rFonts w:ascii="SimHei" w:hAnsi="SimHei" w:eastAsia="黑体" w:cs="SimHei"/>
              </w:rPr>
            </w:pPr>
            <w:r>
              <w:rPr>
                <w:rFonts w:ascii="SimHei" w:hAnsi="SimHei" w:eastAsia="黑体" w:cs="SimHei"/>
              </w:rPr>
            </w:r>
          </w:p>
        </w:tc>
        <w:tc>
          <w:tcPr>
            <w:tcW w:w="1643" w:type="dxa"/>
            <w:tcBorders>
              <w:top w:val="single" w:sz="4" w:space="0" w:color="000000"/>
              <w:left w:val="single" w:sz="4" w:space="0" w:color="000000"/>
              <w:bottom w:val="single" w:sz="4" w:space="0" w:color="000000"/>
              <w:right w:val="single" w:sz="12" w:space="0" w:color="000000"/>
            </w:tcBorders>
            <w:vAlign w:val="center"/>
          </w:tcPr>
          <w:p>
            <w:pPr>
              <w:pStyle w:val="Normal"/>
              <w:spacing w:lineRule="atLeast" w:line="240"/>
              <w:jc w:val="center"/>
              <w:rPr>
                <w:rFonts w:ascii="SimHei" w:hAnsi="SimHei" w:eastAsia="黑体" w:cs="SimHei"/>
              </w:rPr>
            </w:pPr>
            <w:r>
              <w:rPr>
                <w:rFonts w:ascii="SimHei" w:hAnsi="SimHei" w:eastAsia="黑体" w:cs="SimHei"/>
              </w:rPr>
              <w:t>0.6</w:t>
            </w:r>
          </w:p>
        </w:tc>
      </w:tr>
    </w:tbl>
    <w:p>
      <w:pPr>
        <w:sectPr>
          <w:type w:val="nextPage"/>
          <w:pgSz w:w="11906" w:h="16838"/>
          <w:pgMar w:left="1588" w:right="1474" w:header="0" w:top="2098" w:footer="0" w:bottom="1985" w:gutter="0"/>
          <w:pgNumType w:fmt="decimal"/>
          <w:formProt w:val="false"/>
          <w:textDirection w:val="lrTb"/>
          <w:docGrid w:type="linesAndChars" w:linePitch="327" w:charSpace="4294966271"/>
        </w:sectPr>
        <w:pStyle w:val="Normal"/>
        <w:rPr/>
      </w:pPr>
      <w:r>
        <w:rPr/>
      </w:r>
    </w:p>
    <w:p>
      <w:pPr>
        <w:pStyle w:val="TextBodyIndent"/>
        <w:ind w:firstLine="474"/>
        <w:rPr>
          <w:rFonts w:ascii="SimHei" w:hAnsi="SimHei" w:eastAsia="黑体" w:cs="SimHei"/>
        </w:rPr>
      </w:pPr>
      <w:r>
        <w:rPr>
          <w:rFonts w:ascii="SimHei" w:hAnsi="SimHei" w:eastAsia="黑体" w:cs="SimHei"/>
        </w:rPr>
        <w:t>（二）职称（技能）等级系数：按公司所聘职称（技能）等级确定。</w:t>
      </w:r>
    </w:p>
    <w:tbl>
      <w:tblPr>
        <w:tblW w:w="9060" w:type="dxa"/>
        <w:jc w:val="left"/>
        <w:tblInd w:w="0" w:type="dxa"/>
        <w:tblLayout w:type="fixed"/>
        <w:tblCellMar>
          <w:top w:w="0" w:type="dxa"/>
          <w:left w:w="108" w:type="dxa"/>
          <w:bottom w:w="0" w:type="dxa"/>
          <w:right w:w="108" w:type="dxa"/>
        </w:tblCellMar>
      </w:tblPr>
      <w:tblGrid>
        <w:gridCol w:w="1035"/>
        <w:gridCol w:w="5005"/>
        <w:gridCol w:w="3020"/>
      </w:tblGrid>
      <w:tr>
        <w:trPr/>
        <w:tc>
          <w:tcPr>
            <w:tcW w:w="103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序号</w:t>
            </w:r>
          </w:p>
        </w:tc>
        <w:tc>
          <w:tcPr>
            <w:tcW w:w="50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职称（技能）等级</w:t>
            </w:r>
          </w:p>
        </w:tc>
        <w:tc>
          <w:tcPr>
            <w:tcW w:w="30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职称（技能）等级系数</w:t>
            </w:r>
          </w:p>
        </w:tc>
      </w:tr>
      <w:tr>
        <w:trPr/>
        <w:tc>
          <w:tcPr>
            <w:tcW w:w="103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1</w:t>
            </w:r>
          </w:p>
        </w:tc>
        <w:tc>
          <w:tcPr>
            <w:tcW w:w="50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正高级职称</w:t>
            </w:r>
          </w:p>
        </w:tc>
        <w:tc>
          <w:tcPr>
            <w:tcW w:w="30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0.3</w:t>
            </w:r>
          </w:p>
        </w:tc>
      </w:tr>
      <w:tr>
        <w:trPr/>
        <w:tc>
          <w:tcPr>
            <w:tcW w:w="103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2</w:t>
            </w:r>
          </w:p>
        </w:tc>
        <w:tc>
          <w:tcPr>
            <w:tcW w:w="50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副高级职称、高级技师</w:t>
            </w:r>
          </w:p>
        </w:tc>
        <w:tc>
          <w:tcPr>
            <w:tcW w:w="30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0.25</w:t>
            </w:r>
          </w:p>
        </w:tc>
      </w:tr>
      <w:tr>
        <w:trPr/>
        <w:tc>
          <w:tcPr>
            <w:tcW w:w="103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3</w:t>
            </w:r>
          </w:p>
        </w:tc>
        <w:tc>
          <w:tcPr>
            <w:tcW w:w="50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中级职称、技师</w:t>
            </w:r>
          </w:p>
        </w:tc>
        <w:tc>
          <w:tcPr>
            <w:tcW w:w="30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0.2</w:t>
            </w:r>
          </w:p>
        </w:tc>
      </w:tr>
      <w:tr>
        <w:trPr/>
        <w:tc>
          <w:tcPr>
            <w:tcW w:w="103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4</w:t>
            </w:r>
          </w:p>
        </w:tc>
        <w:tc>
          <w:tcPr>
            <w:tcW w:w="50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助级职称、高级工</w:t>
            </w:r>
          </w:p>
        </w:tc>
        <w:tc>
          <w:tcPr>
            <w:tcW w:w="30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0.15</w:t>
            </w:r>
          </w:p>
        </w:tc>
      </w:tr>
      <w:tr>
        <w:trPr/>
        <w:tc>
          <w:tcPr>
            <w:tcW w:w="103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5</w:t>
            </w:r>
          </w:p>
        </w:tc>
        <w:tc>
          <w:tcPr>
            <w:tcW w:w="50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员级职称、中级工</w:t>
            </w:r>
          </w:p>
        </w:tc>
        <w:tc>
          <w:tcPr>
            <w:tcW w:w="30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0.1</w:t>
            </w:r>
          </w:p>
        </w:tc>
      </w:tr>
      <w:tr>
        <w:trPr/>
        <w:tc>
          <w:tcPr>
            <w:tcW w:w="103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6</w:t>
            </w:r>
          </w:p>
        </w:tc>
        <w:tc>
          <w:tcPr>
            <w:tcW w:w="50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初级工</w:t>
            </w:r>
          </w:p>
        </w:tc>
        <w:tc>
          <w:tcPr>
            <w:tcW w:w="30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0.05</w:t>
            </w:r>
          </w:p>
        </w:tc>
      </w:tr>
      <w:tr>
        <w:trPr/>
        <w:tc>
          <w:tcPr>
            <w:tcW w:w="103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7</w:t>
            </w:r>
          </w:p>
        </w:tc>
        <w:tc>
          <w:tcPr>
            <w:tcW w:w="50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未取得职称（技能）等级</w:t>
            </w:r>
          </w:p>
        </w:tc>
        <w:tc>
          <w:tcPr>
            <w:tcW w:w="30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0</w:t>
            </w:r>
          </w:p>
        </w:tc>
      </w:tr>
    </w:tbl>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其中：</w:t>
      </w:r>
    </w:p>
    <w:p>
      <w:pPr>
        <w:pStyle w:val="Normal"/>
        <w:ind w:firstLine="632"/>
        <w:rPr/>
      </w:pPr>
      <w:r>
        <w:rPr>
          <w:rFonts w:ascii="SimHei" w:hAnsi="SimHei" w:eastAsia="黑体" w:cs="SimHei"/>
          <w:color w:val="000000"/>
          <w:kern w:val="0"/>
          <w:sz w:val="32"/>
          <w:szCs w:val="32"/>
        </w:rPr>
        <w:t>1</w:t>
      </w:r>
      <w:r>
        <w:rPr>
          <w:rFonts w:ascii="SimHei" w:hAnsi="SimHei" w:eastAsia="黑体" w:cs="SimHei"/>
          <w:color w:val="000000"/>
          <w:kern w:val="0"/>
          <w:sz w:val="32"/>
          <w:szCs w:val="32"/>
        </w:rPr>
        <w:t>、内退、待岗、医疗期人员的岗位职级系数和职称（技能）等级系数按其办理内退、待岗、医疗期手续时的岗位职级、职称（技能）等级确定；对未参加套改岗位职级的内退、待岗、医疗期人员的岗位职级系数按十四级岗位职级系数确定。</w:t>
      </w:r>
    </w:p>
    <w:p>
      <w:pPr>
        <w:pStyle w:val="Normal"/>
        <w:ind w:firstLine="632"/>
        <w:rPr/>
      </w:pPr>
      <w:r>
        <w:rPr>
          <w:rFonts w:ascii="SimHei" w:hAnsi="SimHei" w:eastAsia="黑体" w:cs="SimHei"/>
          <w:color w:val="000000"/>
          <w:kern w:val="0"/>
          <w:sz w:val="32"/>
          <w:szCs w:val="32"/>
        </w:rPr>
        <w:t>2</w:t>
      </w:r>
      <w:r>
        <w:rPr>
          <w:rFonts w:ascii="SimHei" w:hAnsi="SimHei" w:eastAsia="黑体" w:cs="SimHei"/>
          <w:color w:val="000000"/>
          <w:kern w:val="0"/>
          <w:sz w:val="32"/>
          <w:szCs w:val="32"/>
        </w:rPr>
        <w:t>、对因年龄原因退出领导岗位的职工，经组织部门确认后，可享受原岗位职级系数待遇。</w:t>
      </w:r>
    </w:p>
    <w:p>
      <w:pPr>
        <w:pStyle w:val="Normal"/>
        <w:ind w:firstLine="632"/>
        <w:rPr/>
      </w:pPr>
      <w:r>
        <w:rPr>
          <w:rFonts w:ascii="SimHei" w:hAnsi="SimHei" w:eastAsia="黑体" w:cs="SimHei"/>
          <w:color w:val="000000"/>
          <w:kern w:val="0"/>
          <w:sz w:val="32"/>
          <w:szCs w:val="32"/>
        </w:rPr>
        <w:t>3</w:t>
      </w:r>
      <w:r>
        <w:rPr>
          <w:rFonts w:ascii="SimHei" w:hAnsi="SimHei" w:eastAsia="黑体" w:cs="SimHei"/>
          <w:color w:val="000000"/>
          <w:kern w:val="0"/>
          <w:sz w:val="32"/>
          <w:szCs w:val="32"/>
        </w:rPr>
        <w:t>、对具备高级技师、技师资格并在聘任期内的职工分别按八级、九级系数确定；</w:t>
      </w:r>
    </w:p>
    <w:p>
      <w:pPr>
        <w:pStyle w:val="Normal"/>
        <w:ind w:firstLine="632"/>
        <w:rPr/>
      </w:pPr>
      <w:r>
        <w:rPr>
          <w:rFonts w:ascii="SimHei" w:hAnsi="SimHei" w:eastAsia="黑体" w:cs="SimHei"/>
          <w:color w:val="000000"/>
          <w:kern w:val="0"/>
          <w:sz w:val="32"/>
          <w:szCs w:val="32"/>
        </w:rPr>
        <w:t>4</w:t>
      </w:r>
      <w:r>
        <w:rPr>
          <w:rFonts w:ascii="SimHei" w:hAnsi="SimHei" w:eastAsia="黑体" w:cs="SimHei"/>
          <w:color w:val="000000"/>
          <w:kern w:val="0"/>
          <w:sz w:val="32"/>
          <w:szCs w:val="32"/>
        </w:rPr>
        <w:t>、对获得相应等级职称（技能）资格但未被企业聘任的在岗职工，按实际聘任的等级职称（技能）系数执行；</w:t>
      </w:r>
    </w:p>
    <w:p>
      <w:pPr>
        <w:pStyle w:val="Normal"/>
        <w:ind w:firstLine="632"/>
        <w:rPr/>
      </w:pPr>
      <w:r>
        <w:rPr>
          <w:rFonts w:ascii="SimHei" w:hAnsi="SimHei" w:eastAsia="黑体" w:cs="SimHei"/>
          <w:color w:val="000000"/>
          <w:kern w:val="0"/>
          <w:sz w:val="32"/>
          <w:szCs w:val="32"/>
        </w:rPr>
        <w:t>5</w:t>
      </w:r>
      <w:r>
        <w:rPr>
          <w:rFonts w:ascii="SimHei" w:hAnsi="SimHei" w:eastAsia="黑体" w:cs="SimHei"/>
          <w:color w:val="000000"/>
          <w:kern w:val="0"/>
          <w:sz w:val="32"/>
          <w:szCs w:val="32"/>
        </w:rPr>
        <w:t>、由公司派出（借调）到公司以外企业的职工，经公司批准，可对照岗位职级系数表和职称（技能）系数表，享受相应岗位职级系数和职称（技能）系数待遇。</w:t>
      </w:r>
    </w:p>
    <w:p>
      <w:pPr>
        <w:pStyle w:val="Normal"/>
        <w:ind w:firstLine="632"/>
        <w:rPr/>
      </w:pPr>
      <w:r>
        <w:rPr>
          <w:rFonts w:ascii="SimHei" w:hAnsi="SimHei" w:eastAsia="黑体" w:cs="SimHei"/>
          <w:color w:val="000000"/>
          <w:kern w:val="0"/>
          <w:sz w:val="32"/>
          <w:szCs w:val="32"/>
        </w:rPr>
        <w:t>第十九条  企业补偿缴费的分配</w:t>
      </w:r>
    </w:p>
    <w:p>
      <w:pPr>
        <w:pStyle w:val="Normal"/>
        <w:ind w:firstLine="632"/>
        <w:rPr/>
      </w:pPr>
      <w:r>
        <w:rPr>
          <w:rFonts w:ascii="SimHei" w:hAnsi="SimHei" w:eastAsia="黑体" w:cs="SimHei"/>
          <w:color w:val="000000"/>
          <w:kern w:val="0"/>
          <w:sz w:val="32"/>
          <w:szCs w:val="32"/>
        </w:rPr>
        <w:t>（一</w:t>
      </w:r>
      <w:r>
        <w:rPr/>
        <w:t>）企业按下列标准对“中人”进行退休后统筹外补偿：</w:t>
      </w:r>
    </w:p>
    <w:tbl>
      <w:tblPr>
        <w:tblW w:w="9060" w:type="dxa"/>
        <w:jc w:val="left"/>
        <w:tblInd w:w="0" w:type="dxa"/>
        <w:tblLayout w:type="fixed"/>
        <w:tblCellMar>
          <w:top w:w="0" w:type="dxa"/>
          <w:left w:w="108" w:type="dxa"/>
          <w:bottom w:w="0" w:type="dxa"/>
          <w:right w:w="108" w:type="dxa"/>
        </w:tblCellMar>
      </w:tblPr>
      <w:tblGrid>
        <w:gridCol w:w="1653"/>
        <w:gridCol w:w="4841"/>
        <w:gridCol w:w="2566"/>
      </w:tblGrid>
      <w:tr>
        <w:trPr>
          <w:trHeight w:val="427" w:hRule="atLeast"/>
        </w:trPr>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退休年份</w:t>
            </w:r>
          </w:p>
        </w:tc>
        <w:tc>
          <w:tcPr>
            <w:tcW w:w="48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每人统筹外补偿月领取额</w:t>
            </w:r>
          </w:p>
        </w:tc>
        <w:tc>
          <w:tcPr>
            <w:tcW w:w="2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备注</w:t>
            </w:r>
          </w:p>
        </w:tc>
      </w:tr>
      <w:tr>
        <w:trPr>
          <w:trHeight w:val="112" w:hRule="atLeast"/>
        </w:trPr>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2006</w:t>
            </w:r>
            <w:r>
              <w:rPr>
                <w:rFonts w:ascii="SimHei" w:hAnsi="SimHei" w:eastAsia="黑体" w:cs="SimHei"/>
                <w:color w:val="000000"/>
                <w:kern w:val="0"/>
              </w:rPr>
              <w:t>年</w:t>
            </w:r>
          </w:p>
        </w:tc>
        <w:tc>
          <w:tcPr>
            <w:tcW w:w="48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80</w:t>
            </w:r>
            <w:r>
              <w:rPr>
                <w:rFonts w:ascii="SimHei" w:hAnsi="SimHei" w:eastAsia="黑体" w:cs="SimHei"/>
                <w:color w:val="000000"/>
                <w:kern w:val="0"/>
              </w:rPr>
              <w:t>元</w:t>
            </w:r>
          </w:p>
        </w:tc>
        <w:tc>
          <w:tcPr>
            <w:tcW w:w="2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color w:val="000000"/>
                <w:kern w:val="0"/>
              </w:rPr>
            </w:pPr>
            <w:r>
              <w:rPr>
                <w:rFonts w:ascii="SimHei" w:hAnsi="SimHei" w:eastAsia="黑体" w:cs="SimHei"/>
                <w:color w:val="000000"/>
                <w:kern w:val="0"/>
              </w:rPr>
            </w:r>
          </w:p>
        </w:tc>
      </w:tr>
      <w:tr>
        <w:trPr/>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2007</w:t>
            </w:r>
            <w:r>
              <w:rPr>
                <w:rFonts w:ascii="SimHei" w:hAnsi="SimHei" w:eastAsia="黑体" w:cs="SimHei"/>
                <w:color w:val="000000"/>
                <w:kern w:val="0"/>
              </w:rPr>
              <w:t>年</w:t>
            </w:r>
          </w:p>
        </w:tc>
        <w:tc>
          <w:tcPr>
            <w:tcW w:w="48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70</w:t>
            </w:r>
            <w:r>
              <w:rPr>
                <w:rFonts w:ascii="SimHei" w:hAnsi="SimHei" w:eastAsia="黑体" w:cs="SimHei"/>
                <w:color w:val="000000"/>
                <w:kern w:val="0"/>
              </w:rPr>
              <w:t>元</w:t>
            </w:r>
          </w:p>
        </w:tc>
        <w:tc>
          <w:tcPr>
            <w:tcW w:w="2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color w:val="000000"/>
                <w:kern w:val="0"/>
              </w:rPr>
            </w:pPr>
            <w:r>
              <w:rPr>
                <w:rFonts w:ascii="SimHei" w:hAnsi="SimHei" w:eastAsia="黑体" w:cs="SimHei"/>
                <w:color w:val="000000"/>
                <w:kern w:val="0"/>
              </w:rPr>
            </w:r>
          </w:p>
        </w:tc>
      </w:tr>
      <w:tr>
        <w:trPr/>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2008</w:t>
            </w:r>
            <w:r>
              <w:rPr>
                <w:rFonts w:ascii="SimHei" w:hAnsi="SimHei" w:eastAsia="黑体" w:cs="SimHei"/>
                <w:color w:val="000000"/>
                <w:kern w:val="0"/>
              </w:rPr>
              <w:t>年</w:t>
            </w:r>
          </w:p>
        </w:tc>
        <w:tc>
          <w:tcPr>
            <w:tcW w:w="48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60</w:t>
            </w:r>
            <w:r>
              <w:rPr>
                <w:rFonts w:ascii="SimHei" w:hAnsi="SimHei" w:eastAsia="黑体" w:cs="SimHei"/>
                <w:color w:val="000000"/>
                <w:kern w:val="0"/>
              </w:rPr>
              <w:t>元</w:t>
            </w:r>
          </w:p>
        </w:tc>
        <w:tc>
          <w:tcPr>
            <w:tcW w:w="2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color w:val="000000"/>
                <w:kern w:val="0"/>
              </w:rPr>
            </w:pPr>
            <w:r>
              <w:rPr>
                <w:rFonts w:ascii="SimHei" w:hAnsi="SimHei" w:eastAsia="黑体" w:cs="SimHei"/>
                <w:color w:val="000000"/>
                <w:kern w:val="0"/>
              </w:rPr>
            </w:r>
          </w:p>
        </w:tc>
      </w:tr>
      <w:tr>
        <w:trPr/>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2009</w:t>
            </w:r>
            <w:r>
              <w:rPr>
                <w:rFonts w:ascii="SimHei" w:hAnsi="SimHei" w:eastAsia="黑体" w:cs="SimHei"/>
                <w:color w:val="000000"/>
                <w:kern w:val="0"/>
              </w:rPr>
              <w:t>年</w:t>
            </w:r>
          </w:p>
        </w:tc>
        <w:tc>
          <w:tcPr>
            <w:tcW w:w="48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50</w:t>
            </w:r>
            <w:r>
              <w:rPr>
                <w:rFonts w:ascii="SimHei" w:hAnsi="SimHei" w:eastAsia="黑体" w:cs="SimHei"/>
                <w:color w:val="000000"/>
                <w:kern w:val="0"/>
              </w:rPr>
              <w:t>元</w:t>
            </w:r>
          </w:p>
        </w:tc>
        <w:tc>
          <w:tcPr>
            <w:tcW w:w="2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color w:val="000000"/>
                <w:kern w:val="0"/>
              </w:rPr>
            </w:pPr>
            <w:r>
              <w:rPr>
                <w:rFonts w:ascii="SimHei" w:hAnsi="SimHei" w:eastAsia="黑体" w:cs="SimHei"/>
                <w:color w:val="000000"/>
                <w:kern w:val="0"/>
              </w:rPr>
            </w:r>
          </w:p>
        </w:tc>
      </w:tr>
      <w:tr>
        <w:trPr/>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2010</w:t>
            </w:r>
            <w:r>
              <w:rPr>
                <w:rFonts w:ascii="SimHei" w:hAnsi="SimHei" w:eastAsia="黑体" w:cs="SimHei"/>
                <w:color w:val="000000"/>
                <w:kern w:val="0"/>
              </w:rPr>
              <w:t>年</w:t>
            </w:r>
          </w:p>
        </w:tc>
        <w:tc>
          <w:tcPr>
            <w:tcW w:w="48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40</w:t>
            </w:r>
            <w:r>
              <w:rPr>
                <w:rFonts w:ascii="SimHei" w:hAnsi="SimHei" w:eastAsia="黑体" w:cs="SimHei"/>
                <w:color w:val="000000"/>
                <w:kern w:val="0"/>
              </w:rPr>
              <w:t>元</w:t>
            </w:r>
          </w:p>
        </w:tc>
        <w:tc>
          <w:tcPr>
            <w:tcW w:w="2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color w:val="000000"/>
                <w:kern w:val="0"/>
              </w:rPr>
            </w:pPr>
            <w:r>
              <w:rPr>
                <w:rFonts w:ascii="SimHei" w:hAnsi="SimHei" w:eastAsia="黑体" w:cs="SimHei"/>
                <w:color w:val="000000"/>
                <w:kern w:val="0"/>
              </w:rPr>
            </w:r>
          </w:p>
        </w:tc>
      </w:tr>
      <w:tr>
        <w:trPr/>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2011</w:t>
            </w:r>
            <w:r>
              <w:rPr>
                <w:rFonts w:ascii="SimHei" w:hAnsi="SimHei" w:eastAsia="黑体" w:cs="SimHei"/>
                <w:color w:val="000000"/>
                <w:kern w:val="0"/>
              </w:rPr>
              <w:t>年</w:t>
            </w:r>
          </w:p>
        </w:tc>
        <w:tc>
          <w:tcPr>
            <w:tcW w:w="48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30</w:t>
            </w:r>
            <w:r>
              <w:rPr>
                <w:rFonts w:ascii="SimHei" w:hAnsi="SimHei" w:eastAsia="黑体" w:cs="SimHei"/>
                <w:color w:val="000000"/>
                <w:kern w:val="0"/>
              </w:rPr>
              <w:t>元</w:t>
            </w:r>
          </w:p>
        </w:tc>
        <w:tc>
          <w:tcPr>
            <w:tcW w:w="2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color w:val="000000"/>
                <w:kern w:val="0"/>
              </w:rPr>
            </w:pPr>
            <w:r>
              <w:rPr>
                <w:rFonts w:ascii="SimHei" w:hAnsi="SimHei" w:eastAsia="黑体" w:cs="SimHei"/>
                <w:color w:val="000000"/>
                <w:kern w:val="0"/>
              </w:rPr>
            </w:r>
          </w:p>
        </w:tc>
      </w:tr>
      <w:tr>
        <w:trPr/>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2012</w:t>
            </w:r>
            <w:r>
              <w:rPr>
                <w:rFonts w:ascii="SimHei" w:hAnsi="SimHei" w:eastAsia="黑体" w:cs="SimHei"/>
                <w:color w:val="000000"/>
                <w:kern w:val="0"/>
              </w:rPr>
              <w:t>年</w:t>
            </w:r>
          </w:p>
        </w:tc>
        <w:tc>
          <w:tcPr>
            <w:tcW w:w="48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20</w:t>
            </w:r>
            <w:r>
              <w:rPr>
                <w:rFonts w:ascii="SimHei" w:hAnsi="SimHei" w:eastAsia="黑体" w:cs="SimHei"/>
                <w:color w:val="000000"/>
                <w:kern w:val="0"/>
              </w:rPr>
              <w:t>元</w:t>
            </w:r>
          </w:p>
        </w:tc>
        <w:tc>
          <w:tcPr>
            <w:tcW w:w="2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color w:val="000000"/>
                <w:kern w:val="0"/>
              </w:rPr>
            </w:pPr>
            <w:r>
              <w:rPr>
                <w:rFonts w:ascii="SimHei" w:hAnsi="SimHei" w:eastAsia="黑体" w:cs="SimHei"/>
                <w:color w:val="000000"/>
                <w:kern w:val="0"/>
              </w:rPr>
            </w:r>
          </w:p>
        </w:tc>
      </w:tr>
      <w:tr>
        <w:trPr/>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2013</w:t>
            </w:r>
            <w:r>
              <w:rPr>
                <w:rFonts w:ascii="SimHei" w:hAnsi="SimHei" w:eastAsia="黑体" w:cs="SimHei"/>
                <w:color w:val="000000"/>
                <w:kern w:val="0"/>
              </w:rPr>
              <w:t>年</w:t>
            </w:r>
          </w:p>
        </w:tc>
        <w:tc>
          <w:tcPr>
            <w:tcW w:w="48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10</w:t>
            </w:r>
            <w:r>
              <w:rPr>
                <w:rFonts w:ascii="SimHei" w:hAnsi="SimHei" w:eastAsia="黑体" w:cs="SimHei"/>
                <w:color w:val="000000"/>
                <w:kern w:val="0"/>
              </w:rPr>
              <w:t>元</w:t>
            </w:r>
          </w:p>
        </w:tc>
        <w:tc>
          <w:tcPr>
            <w:tcW w:w="2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color w:val="000000"/>
                <w:kern w:val="0"/>
              </w:rPr>
            </w:pPr>
            <w:r>
              <w:rPr>
                <w:rFonts w:ascii="SimHei" w:hAnsi="SimHei" w:eastAsia="黑体" w:cs="SimHei"/>
                <w:color w:val="000000"/>
                <w:kern w:val="0"/>
              </w:rPr>
            </w:r>
          </w:p>
        </w:tc>
      </w:tr>
      <w:tr>
        <w:trPr/>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2014</w:t>
            </w:r>
            <w:r>
              <w:rPr>
                <w:rFonts w:ascii="SimHei" w:hAnsi="SimHei" w:eastAsia="黑体" w:cs="SimHei"/>
                <w:color w:val="000000"/>
                <w:kern w:val="0"/>
              </w:rPr>
              <w:t>年</w:t>
            </w:r>
          </w:p>
        </w:tc>
        <w:tc>
          <w:tcPr>
            <w:tcW w:w="48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0</w:t>
            </w:r>
          </w:p>
        </w:tc>
        <w:tc>
          <w:tcPr>
            <w:tcW w:w="256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color w:val="000000"/>
                <w:kern w:val="0"/>
              </w:rPr>
            </w:pPr>
            <w:r>
              <w:rPr>
                <w:rFonts w:ascii="SimHei" w:hAnsi="SimHei" w:eastAsia="黑体" w:cs="SimHei"/>
                <w:color w:val="000000"/>
                <w:kern w:val="0"/>
              </w:rPr>
            </w:r>
          </w:p>
        </w:tc>
      </w:tr>
    </w:tbl>
    <w:p>
      <w:pPr>
        <w:pStyle w:val="Normal"/>
        <w:ind w:firstLine="632"/>
        <w:rPr/>
      </w:pPr>
      <w:r>
        <w:rPr>
          <w:rFonts w:ascii="SimHei" w:hAnsi="SimHei" w:eastAsia="黑体" w:cs="SimHei"/>
          <w:color w:val="000000"/>
          <w:kern w:val="0"/>
          <w:sz w:val="32"/>
          <w:szCs w:val="32"/>
        </w:rPr>
        <w:t>（二）企业按下列标准对“中人”职工进行工龄缴费补偿：</w:t>
      </w:r>
    </w:p>
    <w:p>
      <w:pPr>
        <w:pStyle w:val="Normal"/>
        <w:ind w:firstLine="632"/>
        <w:rPr/>
      </w:pPr>
      <w:r>
        <w:rPr>
          <w:rFonts w:ascii="SimHei" w:hAnsi="SimHei" w:eastAsia="黑体" w:cs="SimHei"/>
          <w:color w:val="000000"/>
          <w:kern w:val="0"/>
          <w:sz w:val="32"/>
          <w:szCs w:val="32"/>
        </w:rPr>
        <w:t>“</w:t>
      </w:r>
      <w:r>
        <w:rPr>
          <w:rFonts w:ascii="SimHei" w:hAnsi="SimHei" w:eastAsia="黑体" w:cs="SimHei"/>
          <w:color w:val="000000"/>
          <w:kern w:val="0"/>
          <w:sz w:val="32"/>
          <w:szCs w:val="32"/>
        </w:rPr>
        <w:t>中人”职工工龄计算按局《一航局岗位薪级工资制试行办法》（中港一航局字〔</w:t>
      </w:r>
      <w:r>
        <w:rPr>
          <w:rFonts w:ascii="SimHei" w:hAnsi="SimHei" w:eastAsia="黑体" w:cs="SimHei"/>
          <w:color w:val="000000"/>
          <w:kern w:val="0"/>
          <w:sz w:val="32"/>
          <w:szCs w:val="32"/>
        </w:rPr>
        <w:t>2000</w:t>
      </w:r>
      <w:r>
        <w:rPr>
          <w:rFonts w:ascii="SimHei" w:hAnsi="SimHei" w:eastAsia="黑体" w:cs="SimHei"/>
          <w:color w:val="000000"/>
          <w:kern w:val="0"/>
          <w:sz w:val="32"/>
          <w:szCs w:val="32"/>
        </w:rPr>
        <w:t>〕</w:t>
      </w:r>
      <w:r>
        <w:rPr>
          <w:rFonts w:ascii="SimHei" w:hAnsi="SimHei" w:eastAsia="黑体" w:cs="SimHei"/>
          <w:color w:val="000000"/>
          <w:kern w:val="0"/>
          <w:sz w:val="32"/>
          <w:szCs w:val="32"/>
        </w:rPr>
        <w:t>17</w:t>
      </w:r>
      <w:r>
        <w:rPr>
          <w:rFonts w:ascii="SimHei" w:hAnsi="SimHei" w:eastAsia="黑体" w:cs="SimHei"/>
          <w:color w:val="000000"/>
          <w:kern w:val="0"/>
          <w:sz w:val="32"/>
          <w:szCs w:val="32"/>
        </w:rPr>
        <w:t>号）第八条第一款年功工资计算工龄规定执行，按自然年计算</w:t>
      </w:r>
      <w:r>
        <w:rPr>
          <w:rFonts w:ascii="SimHei" w:hAnsi="SimHei" w:eastAsia="黑体" w:cs="SimHei"/>
          <w:kern w:val="0"/>
          <w:sz w:val="32"/>
          <w:szCs w:val="32"/>
        </w:rPr>
        <w:t>；</w:t>
      </w:r>
      <w:r>
        <w:rPr>
          <w:rFonts w:ascii="SimHei" w:hAnsi="SimHei" w:eastAsia="黑体" w:cs="SimHei"/>
          <w:sz w:val="32"/>
          <w:szCs w:val="32"/>
        </w:rPr>
        <w:t>从社会上招收的各类专业人员，养老保险已转移到公司的，工龄按规定连续计算，未转移到公司的，工龄从与公司签劳动合同时起计算。</w:t>
      </w:r>
      <w:r>
        <w:rPr>
          <w:rFonts w:ascii="SimHei" w:hAnsi="SimHei" w:eastAsia="黑体" w:cs="SimHei"/>
          <w:kern w:val="0"/>
          <w:sz w:val="32"/>
          <w:szCs w:val="32"/>
        </w:rPr>
        <w:t>工龄系数按以下标准计算：</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r>
    </w:p>
    <w:tbl>
      <w:tblPr>
        <w:tblW w:w="9060" w:type="dxa"/>
        <w:jc w:val="left"/>
        <w:tblInd w:w="0" w:type="dxa"/>
        <w:tblLayout w:type="fixed"/>
        <w:tblCellMar>
          <w:top w:w="0" w:type="dxa"/>
          <w:left w:w="108" w:type="dxa"/>
          <w:bottom w:w="0" w:type="dxa"/>
          <w:right w:w="108" w:type="dxa"/>
        </w:tblCellMar>
      </w:tblPr>
      <w:tblGrid>
        <w:gridCol w:w="1962"/>
        <w:gridCol w:w="3914"/>
        <w:gridCol w:w="3184"/>
      </w:tblGrid>
      <w:tr>
        <w:trPr/>
        <w:tc>
          <w:tcPr>
            <w:tcW w:w="196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工龄年限</w:t>
            </w:r>
          </w:p>
        </w:tc>
        <w:tc>
          <w:tcPr>
            <w:tcW w:w="39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职工工龄系数</w:t>
            </w:r>
          </w:p>
        </w:tc>
        <w:tc>
          <w:tcPr>
            <w:tcW w:w="31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备注</w:t>
            </w:r>
          </w:p>
        </w:tc>
      </w:tr>
      <w:tr>
        <w:trPr/>
        <w:tc>
          <w:tcPr>
            <w:tcW w:w="196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1—9</w:t>
            </w:r>
            <w:r>
              <w:rPr>
                <w:rFonts w:ascii="SimHei" w:hAnsi="SimHei" w:eastAsia="黑体" w:cs="SimHei"/>
                <w:color w:val="000000"/>
                <w:kern w:val="0"/>
              </w:rPr>
              <w:t>年</w:t>
            </w:r>
          </w:p>
        </w:tc>
        <w:tc>
          <w:tcPr>
            <w:tcW w:w="39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0.005</w:t>
            </w:r>
          </w:p>
        </w:tc>
        <w:tc>
          <w:tcPr>
            <w:tcW w:w="31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累计工龄乘</w:t>
            </w:r>
            <w:r>
              <w:rPr>
                <w:rFonts w:ascii="SimHei" w:hAnsi="SimHei" w:eastAsia="黑体" w:cs="SimHei"/>
                <w:color w:val="000000"/>
                <w:kern w:val="0"/>
              </w:rPr>
              <w:t>0.005</w:t>
            </w:r>
          </w:p>
        </w:tc>
      </w:tr>
      <w:tr>
        <w:trPr/>
        <w:tc>
          <w:tcPr>
            <w:tcW w:w="196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10—19</w:t>
            </w:r>
            <w:r>
              <w:rPr>
                <w:rFonts w:ascii="SimHei" w:hAnsi="SimHei" w:eastAsia="黑体" w:cs="SimHei"/>
                <w:color w:val="000000"/>
                <w:kern w:val="0"/>
              </w:rPr>
              <w:t>年</w:t>
            </w:r>
          </w:p>
        </w:tc>
        <w:tc>
          <w:tcPr>
            <w:tcW w:w="39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0.01</w:t>
            </w:r>
          </w:p>
        </w:tc>
        <w:tc>
          <w:tcPr>
            <w:tcW w:w="31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累计工龄乘</w:t>
            </w:r>
            <w:r>
              <w:rPr>
                <w:rFonts w:ascii="SimHei" w:hAnsi="SimHei" w:eastAsia="黑体" w:cs="SimHei"/>
                <w:color w:val="000000"/>
                <w:kern w:val="0"/>
              </w:rPr>
              <w:t>0.01</w:t>
            </w:r>
          </w:p>
        </w:tc>
      </w:tr>
      <w:tr>
        <w:trPr/>
        <w:tc>
          <w:tcPr>
            <w:tcW w:w="196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20—29</w:t>
            </w:r>
            <w:r>
              <w:rPr>
                <w:rFonts w:ascii="SimHei" w:hAnsi="SimHei" w:eastAsia="黑体" w:cs="SimHei"/>
                <w:color w:val="000000"/>
                <w:kern w:val="0"/>
              </w:rPr>
              <w:t>年</w:t>
            </w:r>
          </w:p>
        </w:tc>
        <w:tc>
          <w:tcPr>
            <w:tcW w:w="39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0.02</w:t>
            </w:r>
          </w:p>
        </w:tc>
        <w:tc>
          <w:tcPr>
            <w:tcW w:w="31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累计工龄乘</w:t>
            </w:r>
            <w:r>
              <w:rPr>
                <w:rFonts w:ascii="SimHei" w:hAnsi="SimHei" w:eastAsia="黑体" w:cs="SimHei"/>
                <w:color w:val="000000"/>
                <w:kern w:val="0"/>
              </w:rPr>
              <w:t>0.02</w:t>
            </w:r>
          </w:p>
        </w:tc>
      </w:tr>
      <w:tr>
        <w:trPr/>
        <w:tc>
          <w:tcPr>
            <w:tcW w:w="196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30</w:t>
            </w:r>
            <w:r>
              <w:rPr>
                <w:rFonts w:ascii="SimHei" w:hAnsi="SimHei" w:eastAsia="黑体" w:cs="SimHei"/>
                <w:color w:val="000000"/>
                <w:kern w:val="0"/>
              </w:rPr>
              <w:t>年以上</w:t>
            </w:r>
          </w:p>
        </w:tc>
        <w:tc>
          <w:tcPr>
            <w:tcW w:w="39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0.04</w:t>
            </w:r>
          </w:p>
        </w:tc>
        <w:tc>
          <w:tcPr>
            <w:tcW w:w="31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累计工龄乘</w:t>
            </w:r>
            <w:r>
              <w:rPr>
                <w:rFonts w:ascii="SimHei" w:hAnsi="SimHei" w:eastAsia="黑体" w:cs="SimHei"/>
                <w:color w:val="000000"/>
                <w:kern w:val="0"/>
              </w:rPr>
              <w:t>0.04</w:t>
            </w:r>
          </w:p>
        </w:tc>
      </w:tr>
    </w:tbl>
    <w:p>
      <w:pPr>
        <w:pStyle w:val="Normal"/>
        <w:ind w:firstLine="632"/>
        <w:rPr/>
      </w:pPr>
      <w:r>
        <w:rPr>
          <w:rFonts w:ascii="SimHei" w:hAnsi="SimHei" w:eastAsia="黑体" w:cs="SimHei"/>
          <w:color w:val="000000"/>
          <w:kern w:val="0"/>
          <w:sz w:val="32"/>
          <w:szCs w:val="32"/>
        </w:rPr>
        <w:t>第二十条  特殊贡献缴费的分配</w:t>
      </w:r>
    </w:p>
    <w:p>
      <w:pPr>
        <w:pStyle w:val="Normal"/>
        <w:ind w:firstLine="632"/>
        <w:rPr/>
      </w:pPr>
      <w:r>
        <w:rPr>
          <w:rFonts w:ascii="SimHei" w:hAnsi="SimHei" w:eastAsia="黑体" w:cs="SimHei"/>
          <w:color w:val="000000"/>
          <w:kern w:val="0"/>
          <w:sz w:val="32"/>
          <w:szCs w:val="32"/>
        </w:rPr>
        <w:t>按照量入为出的原则，根据企业特殊贡献缴费基金的多少，确定对有突出贡献的职工进行奖励。奖励的范围、标准等由公司企业年金管理委员会制定，并报一航局公司审批后执行。</w:t>
      </w:r>
    </w:p>
    <w:p>
      <w:pPr>
        <w:pStyle w:val="Normal"/>
        <w:ind w:firstLine="632"/>
        <w:rPr>
          <w:rFonts w:ascii="SimHei" w:hAnsi="SimHei" w:eastAsia="黑体" w:cs="SimHei"/>
          <w:color w:val="000000"/>
          <w:kern w:val="0"/>
          <w:sz w:val="32"/>
          <w:szCs w:val="21"/>
        </w:rPr>
      </w:pPr>
      <w:r>
        <w:rPr>
          <w:rFonts w:ascii="SimHei" w:hAnsi="SimHei" w:eastAsia="黑体" w:cs="SimHei"/>
          <w:color w:val="000000"/>
          <w:kern w:val="0"/>
          <w:sz w:val="32"/>
          <w:szCs w:val="21"/>
        </w:rPr>
      </w:r>
    </w:p>
    <w:p>
      <w:pPr>
        <w:pStyle w:val="Normal"/>
        <w:ind w:firstLine="632"/>
        <w:rPr/>
      </w:pPr>
      <w:r>
        <w:rPr>
          <w:rFonts w:ascii="SimHei" w:hAnsi="SimHei" w:eastAsia="黑体" w:cs="SimHei"/>
          <w:color w:val="FF0000"/>
          <w:sz w:val="32"/>
          <w:szCs w:val="21"/>
        </w:rPr>
        <w:t>  </w:t>
      </w:r>
      <w:r>
        <w:rPr>
          <w:rFonts w:ascii="SimHei" w:hAnsi="SimHei" w:eastAsia="黑体" w:cs="SimHei"/>
          <w:color w:val="FF0000"/>
          <w:sz w:val="32"/>
          <w:szCs w:val="21"/>
        </w:rPr>
        <w:t xml:space="preserve">    </w:t>
      </w:r>
      <w:r>
        <w:rPr>
          <w:rFonts w:ascii="SimHei" w:hAnsi="SimHei" w:eastAsia="黑体" w:cs="SimHei"/>
          <w:color w:val="000000"/>
          <w:kern w:val="0"/>
          <w:sz w:val="32"/>
          <w:szCs w:val="32"/>
        </w:rPr>
        <w:t>第六章  企业年金的归属</w:t>
      </w:r>
    </w:p>
    <w:p>
      <w:pPr>
        <w:pStyle w:val="Normal"/>
        <w:ind w:firstLine="632"/>
        <w:rPr/>
      </w:pPr>
      <w:r>
        <w:rPr>
          <w:rFonts w:ascii="SimHei" w:hAnsi="SimHei" w:eastAsia="黑体" w:cs="SimHei"/>
          <w:color w:val="000000"/>
          <w:kern w:val="0"/>
          <w:sz w:val="32"/>
          <w:szCs w:val="32"/>
        </w:rPr>
        <w:t>第二十一条  职工个人缴费和企业特殊奖励缴费及其投资收益全部归属于职工个人。</w:t>
      </w:r>
    </w:p>
    <w:p>
      <w:pPr>
        <w:pStyle w:val="Normal"/>
        <w:ind w:firstLine="632"/>
        <w:rPr/>
      </w:pPr>
      <w:r>
        <w:rPr>
          <w:rFonts w:ascii="SimHei" w:hAnsi="SimHei" w:eastAsia="黑体" w:cs="SimHei"/>
          <w:color w:val="000000"/>
          <w:kern w:val="0"/>
          <w:sz w:val="32"/>
          <w:szCs w:val="32"/>
        </w:rPr>
        <w:t>第二十二条  在过渡期内，企业为“中人”退休职工支付的统筹外补偿费用划入企业公共帐户，不属职工个人资产。</w:t>
      </w:r>
    </w:p>
    <w:p>
      <w:pPr>
        <w:pStyle w:val="Normal"/>
        <w:ind w:firstLine="632"/>
        <w:rPr/>
      </w:pPr>
      <w:r>
        <w:rPr>
          <w:rFonts w:ascii="SimHei" w:hAnsi="SimHei" w:eastAsia="黑体" w:cs="SimHei"/>
          <w:color w:val="000000"/>
          <w:kern w:val="0"/>
          <w:sz w:val="32"/>
          <w:szCs w:val="32"/>
        </w:rPr>
        <w:t>第二十三条  职工个人帐户下的企业缴费部分及其投资收益根据企业当期缴费累积年限和职工个人在公司的服务年限逐年按比例归属职工个人，直至</w:t>
      </w:r>
      <w:r>
        <w:rPr>
          <w:rFonts w:ascii="SimHei" w:hAnsi="SimHei" w:eastAsia="黑体" w:cs="SimHei"/>
          <w:color w:val="000000"/>
          <w:kern w:val="0"/>
          <w:sz w:val="32"/>
          <w:szCs w:val="32"/>
        </w:rPr>
        <w:t>100%</w:t>
      </w:r>
      <w:r>
        <w:rPr/>
        <w:t>完全归属，具体归属规则如下：</w:t>
      </w:r>
    </w:p>
    <w:tbl>
      <w:tblPr>
        <w:tblW w:w="9060" w:type="dxa"/>
        <w:jc w:val="center"/>
        <w:tblInd w:w="0" w:type="dxa"/>
        <w:tblLayout w:type="fixed"/>
        <w:tblCellMar>
          <w:top w:w="0" w:type="dxa"/>
          <w:left w:w="108" w:type="dxa"/>
          <w:bottom w:w="0" w:type="dxa"/>
          <w:right w:w="108" w:type="dxa"/>
        </w:tblCellMar>
      </w:tblPr>
      <w:tblGrid>
        <w:gridCol w:w="4530"/>
        <w:gridCol w:w="4530"/>
      </w:tblGrid>
      <w:tr>
        <w:trPr/>
        <w:tc>
          <w:tcPr>
            <w:tcW w:w="45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当期缴费累积年限</w:t>
            </w:r>
          </w:p>
        </w:tc>
        <w:tc>
          <w:tcPr>
            <w:tcW w:w="45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归属比例</w:t>
            </w:r>
          </w:p>
        </w:tc>
      </w:tr>
      <w:tr>
        <w:trPr/>
        <w:tc>
          <w:tcPr>
            <w:tcW w:w="45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当期缴费累积年限≤</w:t>
            </w:r>
            <w:r>
              <w:rPr>
                <w:rFonts w:ascii="SimHei" w:hAnsi="SimHei" w:eastAsia="黑体" w:cs="SimHei"/>
                <w:color w:val="000000"/>
                <w:kern w:val="0"/>
              </w:rPr>
              <w:t>1</w:t>
            </w:r>
            <w:r>
              <w:rPr>
                <w:rFonts w:ascii="SimHei" w:hAnsi="SimHei" w:eastAsia="黑体" w:cs="SimHei"/>
                <w:color w:val="000000"/>
                <w:kern w:val="0"/>
              </w:rPr>
              <w:t>年</w:t>
            </w:r>
          </w:p>
        </w:tc>
        <w:tc>
          <w:tcPr>
            <w:tcW w:w="45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20%</w:t>
            </w:r>
          </w:p>
        </w:tc>
      </w:tr>
      <w:tr>
        <w:trPr/>
        <w:tc>
          <w:tcPr>
            <w:tcW w:w="45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1</w:t>
            </w:r>
            <w:r>
              <w:rPr>
                <w:rFonts w:ascii="SimHei" w:hAnsi="SimHei" w:eastAsia="黑体" w:cs="SimHei"/>
                <w:color w:val="000000"/>
                <w:kern w:val="0"/>
              </w:rPr>
              <w:t>年＜当期缴费累积年限≤</w:t>
            </w:r>
            <w:r>
              <w:rPr>
                <w:rFonts w:ascii="SimHei" w:hAnsi="SimHei" w:eastAsia="黑体" w:cs="SimHei"/>
                <w:color w:val="000000"/>
                <w:kern w:val="0"/>
              </w:rPr>
              <w:t>2</w:t>
            </w:r>
            <w:r>
              <w:rPr>
                <w:rFonts w:ascii="SimHei" w:hAnsi="SimHei" w:eastAsia="黑体" w:cs="SimHei"/>
                <w:color w:val="000000"/>
                <w:kern w:val="0"/>
              </w:rPr>
              <w:t>年</w:t>
            </w:r>
          </w:p>
        </w:tc>
        <w:tc>
          <w:tcPr>
            <w:tcW w:w="45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40%</w:t>
            </w:r>
          </w:p>
        </w:tc>
      </w:tr>
      <w:tr>
        <w:trPr/>
        <w:tc>
          <w:tcPr>
            <w:tcW w:w="45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2</w:t>
            </w:r>
            <w:r>
              <w:rPr>
                <w:rFonts w:ascii="SimHei" w:hAnsi="SimHei" w:eastAsia="黑体" w:cs="SimHei"/>
                <w:color w:val="000000"/>
                <w:kern w:val="0"/>
              </w:rPr>
              <w:t>年＜当期缴费累积年限≤</w:t>
            </w:r>
            <w:r>
              <w:rPr>
                <w:rFonts w:ascii="SimHei" w:hAnsi="SimHei" w:eastAsia="黑体" w:cs="SimHei"/>
                <w:color w:val="000000"/>
                <w:kern w:val="0"/>
              </w:rPr>
              <w:t>3</w:t>
            </w:r>
            <w:r>
              <w:rPr>
                <w:rFonts w:ascii="SimHei" w:hAnsi="SimHei" w:eastAsia="黑体" w:cs="SimHei"/>
                <w:color w:val="000000"/>
                <w:kern w:val="0"/>
              </w:rPr>
              <w:t>年</w:t>
            </w:r>
          </w:p>
        </w:tc>
        <w:tc>
          <w:tcPr>
            <w:tcW w:w="45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60%</w:t>
            </w:r>
          </w:p>
        </w:tc>
      </w:tr>
      <w:tr>
        <w:trPr/>
        <w:tc>
          <w:tcPr>
            <w:tcW w:w="45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3</w:t>
            </w:r>
            <w:r>
              <w:rPr>
                <w:rFonts w:ascii="SimHei" w:hAnsi="SimHei" w:eastAsia="黑体" w:cs="SimHei"/>
                <w:color w:val="000000"/>
                <w:kern w:val="0"/>
              </w:rPr>
              <w:t>年＜当期缴费累积年限≤</w:t>
            </w:r>
            <w:r>
              <w:rPr>
                <w:rFonts w:ascii="SimHei" w:hAnsi="SimHei" w:eastAsia="黑体" w:cs="SimHei"/>
                <w:color w:val="000000"/>
                <w:kern w:val="0"/>
              </w:rPr>
              <w:t>4</w:t>
            </w:r>
            <w:r>
              <w:rPr>
                <w:rFonts w:ascii="SimHei" w:hAnsi="SimHei" w:eastAsia="黑体" w:cs="SimHei"/>
                <w:color w:val="000000"/>
                <w:kern w:val="0"/>
              </w:rPr>
              <w:t>年</w:t>
            </w:r>
          </w:p>
        </w:tc>
        <w:tc>
          <w:tcPr>
            <w:tcW w:w="45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80%</w:t>
            </w:r>
          </w:p>
        </w:tc>
      </w:tr>
      <w:tr>
        <w:trPr/>
        <w:tc>
          <w:tcPr>
            <w:tcW w:w="45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当期缴费累积年限≥</w:t>
            </w:r>
            <w:r>
              <w:rPr>
                <w:rFonts w:ascii="SimHei" w:hAnsi="SimHei" w:eastAsia="黑体" w:cs="SimHei"/>
                <w:color w:val="000000"/>
                <w:kern w:val="0"/>
              </w:rPr>
              <w:t>4</w:t>
            </w:r>
            <w:r>
              <w:rPr>
                <w:rFonts w:ascii="SimHei" w:hAnsi="SimHei" w:eastAsia="黑体" w:cs="SimHei"/>
                <w:color w:val="000000"/>
                <w:kern w:val="0"/>
              </w:rPr>
              <w:t>年</w:t>
            </w:r>
          </w:p>
        </w:tc>
        <w:tc>
          <w:tcPr>
            <w:tcW w:w="45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kern w:val="0"/>
              </w:rPr>
            </w:pPr>
            <w:r>
              <w:rPr>
                <w:rFonts w:ascii="SimHei" w:hAnsi="SimHei" w:eastAsia="黑体" w:cs="SimHei"/>
                <w:color w:val="000000"/>
                <w:kern w:val="0"/>
              </w:rPr>
              <w:t>100%</w:t>
            </w:r>
          </w:p>
        </w:tc>
      </w:tr>
    </w:tbl>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企业缴费的归属期按年滚动计算，即当职工在企业服务期间，第一年的企业缴费及其投资收益到第</w:t>
      </w:r>
      <w:r>
        <w:rPr>
          <w:rFonts w:ascii="SimHei" w:hAnsi="SimHei" w:eastAsia="黑体" w:cs="SimHei"/>
          <w:color w:val="000000"/>
          <w:kern w:val="0"/>
          <w:sz w:val="32"/>
          <w:szCs w:val="32"/>
        </w:rPr>
        <w:t>5</w:t>
      </w:r>
      <w:r>
        <w:rPr>
          <w:rFonts w:ascii="SimHei" w:hAnsi="SimHei" w:eastAsia="黑体" w:cs="SimHei"/>
          <w:color w:val="000000"/>
          <w:kern w:val="0"/>
          <w:sz w:val="32"/>
          <w:szCs w:val="32"/>
        </w:rPr>
        <w:t>年时全部归属职工个人，第二年的企业缴费及其投资收益到第</w:t>
      </w:r>
      <w:r>
        <w:rPr>
          <w:rFonts w:ascii="SimHei" w:hAnsi="SimHei" w:eastAsia="黑体" w:cs="SimHei"/>
          <w:color w:val="000000"/>
          <w:kern w:val="0"/>
          <w:sz w:val="32"/>
          <w:szCs w:val="32"/>
        </w:rPr>
        <w:t>6</w:t>
      </w:r>
      <w:r>
        <w:rPr>
          <w:rFonts w:ascii="SimHei" w:hAnsi="SimHei" w:eastAsia="黑体" w:cs="SimHei"/>
          <w:color w:val="000000"/>
          <w:kern w:val="0"/>
          <w:sz w:val="32"/>
          <w:szCs w:val="32"/>
        </w:rPr>
        <w:t>年时全部归属职工个人，依次类推。</w:t>
      </w:r>
    </w:p>
    <w:p>
      <w:pPr>
        <w:pStyle w:val="Normal"/>
        <w:ind w:firstLine="632"/>
        <w:rPr/>
      </w:pPr>
      <w:r>
        <w:rPr>
          <w:rFonts w:ascii="SimHei" w:hAnsi="SimHei" w:eastAsia="黑体" w:cs="SimHei"/>
          <w:kern w:val="0"/>
          <w:sz w:val="32"/>
          <w:szCs w:val="32"/>
        </w:rPr>
        <w:t>第二十四条  职工有下列情形之一时，其个人账户下的企业缴费部分及其投资收益一次性全部归属职工个人</w:t>
      </w:r>
      <w:r>
        <w:rPr>
          <w:rFonts w:ascii="SimHei" w:hAnsi="SimHei" w:eastAsia="黑体" w:cs="SimHei"/>
          <w:sz w:val="32"/>
          <w:szCs w:val="21"/>
        </w:rPr>
        <w:t>：</w:t>
      </w:r>
      <w:r>
        <w:rPr>
          <w:rFonts w:ascii="SimHei" w:hAnsi="SimHei" w:eastAsia="黑体" w:cs="SimHei"/>
          <w:kern w:val="0"/>
          <w:sz w:val="32"/>
          <w:szCs w:val="32"/>
        </w:rPr>
        <w:t xml:space="preserve"> </w:t>
      </w:r>
    </w:p>
    <w:p>
      <w:pPr>
        <w:pStyle w:val="Normal"/>
        <w:ind w:firstLine="632"/>
        <w:rPr/>
      </w:pPr>
      <w:r>
        <w:rPr>
          <w:rFonts w:ascii="SimHei" w:hAnsi="SimHei" w:eastAsia="黑体" w:cs="SimHei"/>
          <w:kern w:val="0"/>
          <w:sz w:val="32"/>
          <w:szCs w:val="32"/>
        </w:rPr>
        <w:t>（一）按国家规定已办理退休手续并开始依法享受基本养老保险待遇的；</w:t>
      </w:r>
    </w:p>
    <w:p>
      <w:pPr>
        <w:pStyle w:val="Normal"/>
        <w:ind w:firstLine="632"/>
        <w:rPr/>
      </w:pPr>
      <w:r>
        <w:rPr>
          <w:rFonts w:ascii="SimHei" w:hAnsi="SimHei" w:eastAsia="黑体" w:cs="SimHei"/>
          <w:kern w:val="0"/>
          <w:sz w:val="32"/>
          <w:szCs w:val="32"/>
        </w:rPr>
        <w:t>（二）退休前身故或者被人民法院宣告死亡（失踪）的；</w:t>
      </w:r>
    </w:p>
    <w:p>
      <w:pPr>
        <w:pStyle w:val="Normal"/>
        <w:ind w:firstLine="632"/>
        <w:rPr/>
      </w:pPr>
      <w:r>
        <w:rPr>
          <w:rFonts w:ascii="SimHei" w:hAnsi="SimHei" w:eastAsia="黑体" w:cs="SimHei"/>
          <w:kern w:val="0"/>
          <w:sz w:val="32"/>
          <w:szCs w:val="32"/>
        </w:rPr>
        <w:t>（三）出境定居的；</w:t>
      </w:r>
    </w:p>
    <w:p>
      <w:pPr>
        <w:pStyle w:val="Normal"/>
        <w:ind w:firstLine="632"/>
        <w:rPr/>
      </w:pPr>
      <w:r>
        <w:rPr>
          <w:rFonts w:ascii="SimHei" w:hAnsi="SimHei" w:eastAsia="黑体" w:cs="SimHei"/>
          <w:kern w:val="0"/>
          <w:sz w:val="32"/>
          <w:szCs w:val="32"/>
        </w:rPr>
        <w:t>（四）符合国家《劳动合同法》第四十六条规定，企业终止或解除劳动合同并向劳动者支付经济补偿的；，</w:t>
      </w:r>
    </w:p>
    <w:p>
      <w:pPr>
        <w:pStyle w:val="Normal"/>
        <w:ind w:firstLine="632"/>
        <w:rPr/>
      </w:pPr>
      <w:r>
        <w:rPr>
          <w:rFonts w:ascii="SimHei" w:hAnsi="SimHei" w:eastAsia="黑体" w:cs="SimHei"/>
          <w:kern w:val="0"/>
          <w:sz w:val="32"/>
          <w:szCs w:val="32"/>
        </w:rPr>
        <w:t>（五）因组织调动离开公司的。</w:t>
      </w:r>
    </w:p>
    <w:p>
      <w:pPr>
        <w:pStyle w:val="Normal"/>
        <w:ind w:firstLine="632"/>
        <w:rPr/>
      </w:pPr>
      <w:r>
        <w:rPr>
          <w:rFonts w:ascii="SimHei" w:hAnsi="SimHei" w:eastAsia="黑体" w:cs="SimHei"/>
          <w:color w:val="000000"/>
          <w:kern w:val="0"/>
          <w:sz w:val="32"/>
          <w:szCs w:val="32"/>
        </w:rPr>
        <w:t>第二十五条  有下列情形之一，个人帐户下未归属的企业缴费部分及其投资收益部分不归属职工个人，全部划归企业年金的公共帐户。</w:t>
      </w:r>
    </w:p>
    <w:p>
      <w:pPr>
        <w:pStyle w:val="Normal"/>
        <w:ind w:firstLine="632"/>
        <w:rPr/>
      </w:pPr>
      <w:r>
        <w:rPr>
          <w:rFonts w:ascii="SimHei" w:hAnsi="SimHei" w:eastAsia="黑体" w:cs="SimHei"/>
          <w:color w:val="000000"/>
          <w:kern w:val="0"/>
          <w:sz w:val="32"/>
          <w:szCs w:val="32"/>
        </w:rPr>
        <w:t>（一）职工因违法违纪而被企业解除劳动合同的；</w:t>
      </w:r>
    </w:p>
    <w:p>
      <w:pPr>
        <w:pStyle w:val="Normal"/>
        <w:ind w:firstLine="632"/>
        <w:rPr/>
      </w:pPr>
      <w:r>
        <w:rPr>
          <w:rFonts w:ascii="SimHei" w:hAnsi="SimHei" w:eastAsia="黑体" w:cs="SimHei"/>
          <w:color w:val="000000"/>
          <w:kern w:val="0"/>
          <w:sz w:val="32"/>
          <w:szCs w:val="32"/>
        </w:rPr>
        <w:t>（二）职工与企业终止或解除劳动合同且不符合国家《劳动合同法》第四十六条规定向劳动者支付经济补偿的。</w:t>
      </w:r>
    </w:p>
    <w:p>
      <w:pPr>
        <w:pStyle w:val="Normal"/>
        <w:ind w:firstLine="632"/>
        <w:rPr/>
      </w:pPr>
      <w:r>
        <w:rPr>
          <w:rFonts w:ascii="SimHei" w:hAnsi="SimHei" w:eastAsia="黑体" w:cs="SimHei"/>
          <w:color w:val="000000"/>
          <w:kern w:val="0"/>
          <w:sz w:val="32"/>
          <w:szCs w:val="32"/>
        </w:rPr>
        <w:t>第二十六条  特殊情况由公司企业年金管理委员会确定该职工的个人帐户下企业缴费及其投资收益的归属。</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r>
    </w:p>
    <w:p>
      <w:pPr>
        <w:pStyle w:val="Normal"/>
        <w:ind w:firstLine="632"/>
        <w:jc w:val="center"/>
        <w:rPr>
          <w:rFonts w:ascii="SimHei" w:hAnsi="SimHei" w:eastAsia="黑体" w:cs="SimHei"/>
          <w:color w:val="000000"/>
          <w:kern w:val="0"/>
          <w:sz w:val="32"/>
          <w:szCs w:val="32"/>
        </w:rPr>
      </w:pPr>
      <w:r>
        <w:rPr>
          <w:rFonts w:ascii="SimHei" w:hAnsi="SimHei" w:eastAsia="黑体" w:cs="SimHei"/>
          <w:color w:val="000000"/>
          <w:kern w:val="0"/>
          <w:sz w:val="32"/>
          <w:szCs w:val="32"/>
        </w:rPr>
        <w:t>第七章  账户管理</w:t>
      </w:r>
    </w:p>
    <w:p>
      <w:pPr>
        <w:pStyle w:val="Normal"/>
        <w:ind w:firstLine="632"/>
        <w:rPr/>
      </w:pPr>
      <w:r>
        <w:rPr>
          <w:rFonts w:ascii="SimHei" w:hAnsi="SimHei" w:eastAsia="黑体" w:cs="SimHei"/>
          <w:color w:val="000000"/>
          <w:kern w:val="0"/>
          <w:sz w:val="32"/>
          <w:szCs w:val="32"/>
        </w:rPr>
        <w:t>第二十七条  本实施细则实行完全积累制度，采用个人账户方式进行管理。由具备资格</w:t>
      </w:r>
      <w:r>
        <w:rPr>
          <w:rFonts w:ascii="SimHei" w:hAnsi="SimHei" w:eastAsia="黑体" w:cs="SimHei"/>
          <w:color w:val="000000"/>
          <w:kern w:val="0"/>
          <w:sz w:val="32"/>
          <w:szCs w:val="32"/>
        </w:rPr>
        <w:t>(</w:t>
      </w:r>
      <w:r>
        <w:rPr>
          <w:rFonts w:ascii="SimHei" w:hAnsi="SimHei" w:eastAsia="黑体" w:cs="SimHei"/>
          <w:color w:val="000000"/>
          <w:kern w:val="0"/>
          <w:sz w:val="32"/>
          <w:szCs w:val="32"/>
        </w:rPr>
        <w:t>劳动保障部认定</w:t>
      </w:r>
      <w:r>
        <w:rPr>
          <w:rFonts w:ascii="SimHei" w:hAnsi="SimHei" w:eastAsia="黑体" w:cs="SimHei"/>
          <w:color w:val="000000"/>
          <w:kern w:val="0"/>
          <w:sz w:val="32"/>
          <w:szCs w:val="32"/>
        </w:rPr>
        <w:t>)</w:t>
      </w:r>
      <w:r>
        <w:rPr>
          <w:rFonts w:ascii="SimHei" w:hAnsi="SimHei" w:eastAsia="黑体" w:cs="SimHei"/>
          <w:color w:val="000000"/>
          <w:kern w:val="0"/>
          <w:sz w:val="32"/>
          <w:szCs w:val="32"/>
        </w:rPr>
        <w:t>的账户管理人为公司开设企业公共帐户和参加计划的职工开立个人账户。</w:t>
      </w:r>
    </w:p>
    <w:p>
      <w:pPr>
        <w:pStyle w:val="Normal"/>
        <w:ind w:firstLine="632"/>
        <w:rPr/>
      </w:pPr>
      <w:r>
        <w:rPr>
          <w:rFonts w:ascii="SimHei" w:hAnsi="SimHei" w:eastAsia="黑体" w:cs="SimHei"/>
          <w:color w:val="000000"/>
          <w:kern w:val="0"/>
          <w:sz w:val="32"/>
          <w:szCs w:val="32"/>
        </w:rPr>
        <w:t>第二十八条</w:t>
      </w:r>
      <w:r>
        <mc:AlternateContent>
          <mc:Choice Requires="wps">
            <w:drawing>
              <wp:anchor behindDoc="0" distT="4445" distB="4445" distL="119380" distR="119380" simplePos="0" locked="0" layoutInCell="0" allowOverlap="1" relativeHeight="2">
                <wp:simplePos x="0" y="0"/>
                <wp:positionH relativeFrom="column">
                  <wp:posOffset>6797040</wp:posOffset>
                </wp:positionH>
                <wp:positionV relativeFrom="paragraph">
                  <wp:posOffset>318770</wp:posOffset>
                </wp:positionV>
                <wp:extent cx="217805" cy="1270"/>
                <wp:effectExtent l="0" t="0" r="0" b="0"/>
                <wp:wrapNone/>
                <wp:docPr id="2" name=""/>
                <a:graphic xmlns:a="http://schemas.openxmlformats.org/drawingml/2006/main">
                  <a:graphicData uri="http://schemas.microsoft.com/office/word/2010/wordprocessingShape">
                    <wps:wsp>
                      <wps:cNvSpPr/>
                      <wps:spPr>
                        <a:xfrm flipH="1">
                          <a:off x="0" y="0"/>
                          <a:ext cx="2170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535.2pt,25.1pt" to="552.25pt,25.1pt" stroked="t" style="position:absolute;flip:x">
                <v:stroke color="black" weight="9360" joinstyle="miter" endcap="flat"/>
                <v:fill o:detectmouseclick="t" on="false"/>
                <w10:wrap type="none"/>
              </v:line>
            </w:pict>
          </mc:Fallback>
        </mc:AlternateContent>
      </w:r>
      <w:r>
        <w:rPr>
          <w:rFonts w:ascii="SimHei" w:hAnsi="SimHei" w:eastAsia="黑体" w:cs="SimHei"/>
          <w:color w:val="000000"/>
          <w:kern w:val="0"/>
          <w:sz w:val="32"/>
          <w:szCs w:val="32"/>
        </w:rPr>
        <w:t xml:space="preserve">  企业公共帐户用于归集企业缴纳的资金及其投资收益。</w:t>
      </w:r>
    </w:p>
    <w:p>
      <w:pPr>
        <w:pStyle w:val="Normal"/>
        <w:ind w:firstLine="632"/>
        <w:rPr/>
      </w:pPr>
      <w:r>
        <w:rPr>
          <w:rFonts w:ascii="SimHei" w:hAnsi="SimHei" w:eastAsia="黑体" w:cs="SimHei"/>
          <w:color w:val="000000"/>
          <w:kern w:val="0"/>
          <w:sz w:val="32"/>
          <w:szCs w:val="32"/>
        </w:rPr>
        <w:t>第二十九条  职工个人账户下设企业缴费子账户和个人缴费子账户。企业划入部分计入职工个人账户下的企业缴费子账户；个人缴费部分计入职工个人账户下的个人缴费子账户。</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第三十条  企业年金基金的投资运营收益，按净收益率分别计入企业公共账户和职工个人账户。</w:t>
      </w:r>
    </w:p>
    <w:p>
      <w:pPr>
        <w:pStyle w:val="Normal"/>
        <w:ind w:firstLine="632"/>
        <w:rPr/>
      </w:pPr>
      <w:r>
        <w:rPr>
          <w:rFonts w:ascii="SimHei" w:hAnsi="SimHei" w:eastAsia="黑体" w:cs="SimHei"/>
          <w:sz w:val="32"/>
          <w:szCs w:val="21"/>
        </w:rPr>
        <w:t>第二十一</w:t>
      </w:r>
      <w:r>
        <w:rPr>
          <w:rFonts w:ascii="SimHei" w:hAnsi="SimHei" w:eastAsia="黑体" w:cs="SimHei"/>
          <w:kern w:val="0"/>
          <w:sz w:val="32"/>
          <w:szCs w:val="32"/>
        </w:rPr>
        <w:t>条  个人账户的转移</w:t>
      </w:r>
    </w:p>
    <w:p>
      <w:pPr>
        <w:pStyle w:val="Normal"/>
        <w:ind w:firstLine="632"/>
        <w:rPr/>
      </w:pPr>
      <w:r>
        <w:rPr>
          <w:rFonts w:ascii="SimHei" w:hAnsi="SimHei" w:eastAsia="黑体" w:cs="SimHei"/>
          <w:kern w:val="0"/>
          <w:sz w:val="32"/>
          <w:szCs w:val="32"/>
        </w:rPr>
        <w:t>（一）职工与企业终止、解除劳动合同后，如新就业单位已经建立企业年金，则个人帐户应转移至新就业单位；如新就业单位未建立企业年金的，须填写《离职人员企业年金代管协议》，其个人帐户可在本企业继续保留，期间的个人账户管理费等相关费用由职工个人承担，并从个人帐户中代扣代缴。</w:t>
      </w:r>
    </w:p>
    <w:p>
      <w:pPr>
        <w:pStyle w:val="Normal"/>
        <w:ind w:firstLine="632"/>
        <w:rPr/>
      </w:pPr>
      <w:r>
        <w:rPr>
          <w:rFonts w:ascii="SimHei" w:hAnsi="SimHei" w:eastAsia="黑体" w:cs="SimHei"/>
          <w:kern w:val="0"/>
          <w:sz w:val="32"/>
          <w:szCs w:val="32"/>
        </w:rPr>
        <w:t>（二）对暂停交纳企业年金的职工，在停止缴费期间，其个人帐户可在本企业继续保留。</w:t>
      </w:r>
    </w:p>
    <w:p>
      <w:pPr>
        <w:pStyle w:val="Normal"/>
        <w:ind w:firstLine="632"/>
        <w:rPr>
          <w:rFonts w:ascii="SimHei" w:hAnsi="SimHei" w:eastAsia="黑体" w:cs="SimHei"/>
          <w:kern w:val="0"/>
          <w:sz w:val="32"/>
          <w:szCs w:val="32"/>
        </w:rPr>
      </w:pPr>
      <w:r>
        <w:rPr>
          <w:rFonts w:ascii="SimHei" w:hAnsi="SimHei" w:eastAsia="黑体" w:cs="SimHei"/>
          <w:kern w:val="0"/>
          <w:sz w:val="32"/>
          <w:szCs w:val="32"/>
        </w:rPr>
        <w:t>因上述原因在本企业保留企业年金个人帐户关系的，待其具备条件时予以转移，或待其本人达到企业年金待遇支付条件时一次性领取。</w:t>
      </w:r>
    </w:p>
    <w:p>
      <w:pPr>
        <w:pStyle w:val="Normal"/>
        <w:ind w:firstLine="632"/>
        <w:rPr/>
      </w:pPr>
      <w:r>
        <w:rPr>
          <w:rFonts w:ascii="SimHei" w:hAnsi="SimHei" w:eastAsia="黑体" w:cs="SimHei"/>
          <w:kern w:val="0"/>
          <w:sz w:val="32"/>
          <w:szCs w:val="32"/>
        </w:rPr>
        <w:t>（三）职工如需转移企业年金个人帐户，应填写企业年金转移申请表，报公司企业年金管理委员会审核同意后，提交受托人，由受托人指令托管人和账户管理人进行相关账户转移操作。</w:t>
      </w:r>
    </w:p>
    <w:p>
      <w:pPr>
        <w:pStyle w:val="Normal"/>
        <w:ind w:firstLine="632"/>
        <w:rPr/>
      </w:pPr>
      <w:r>
        <w:rPr>
          <w:rFonts w:ascii="SimHei" w:hAnsi="SimHei" w:eastAsia="黑体" w:cs="SimHei"/>
          <w:color w:val="000000"/>
          <w:kern w:val="0"/>
          <w:sz w:val="32"/>
          <w:szCs w:val="32"/>
        </w:rPr>
        <w:t>第三十二条  职工个人帐户的注销</w:t>
      </w:r>
    </w:p>
    <w:p>
      <w:pPr>
        <w:pStyle w:val="Normal"/>
        <w:ind w:firstLine="632"/>
        <w:rPr/>
      </w:pPr>
      <w:r>
        <w:rPr>
          <w:rFonts w:ascii="SimHei" w:hAnsi="SimHei" w:eastAsia="黑体" w:cs="SimHei"/>
          <w:color w:val="000000"/>
          <w:kern w:val="0"/>
          <w:sz w:val="32"/>
          <w:szCs w:val="32"/>
        </w:rPr>
        <w:t>（一）职工符合企业年金领取条件，在领取完其个人账户积累额后，职工个人账户将被注销；</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（二）职工与企业终止或解除劳动合同并将个人账户转移至新就业单位的。</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r>
    </w:p>
    <w:p>
      <w:pPr>
        <w:pStyle w:val="Normal"/>
        <w:ind w:firstLine="632"/>
        <w:jc w:val="center"/>
        <w:rPr>
          <w:rFonts w:ascii="SimHei" w:hAnsi="SimHei" w:eastAsia="黑体" w:cs="SimHei"/>
          <w:color w:val="000000"/>
          <w:kern w:val="0"/>
          <w:sz w:val="32"/>
          <w:szCs w:val="32"/>
        </w:rPr>
      </w:pPr>
      <w:r>
        <w:rPr>
          <w:rFonts w:ascii="SimHei" w:hAnsi="SimHei" w:eastAsia="黑体" w:cs="SimHei"/>
          <w:color w:val="000000"/>
          <w:kern w:val="0"/>
          <w:sz w:val="32"/>
          <w:szCs w:val="32"/>
        </w:rPr>
        <w:t>第八章  待遇计发和支付方式</w:t>
      </w:r>
    </w:p>
    <w:p>
      <w:pPr>
        <w:pStyle w:val="Normal"/>
        <w:ind w:firstLine="632"/>
        <w:rPr/>
      </w:pPr>
      <w:r>
        <w:rPr>
          <w:rFonts w:ascii="SimHei" w:hAnsi="SimHei" w:eastAsia="黑体" w:cs="SimHei"/>
          <w:kern w:val="0"/>
          <w:sz w:val="32"/>
          <w:szCs w:val="32"/>
        </w:rPr>
        <w:t>第三十三条  职工符合下列条件可以申请领取年金</w:t>
      </w:r>
      <w:r>
        <w:rPr>
          <w:rFonts w:ascii="SimHei" w:hAnsi="SimHei" w:eastAsia="黑体" w:cs="SimHei"/>
          <w:sz w:val="32"/>
          <w:szCs w:val="21"/>
        </w:rPr>
        <w:t>：</w:t>
      </w:r>
      <w:r>
        <w:rPr>
          <w:rFonts w:ascii="SimHei" w:hAnsi="SimHei" w:eastAsia="黑体" w:cs="SimHei"/>
          <w:kern w:val="0"/>
          <w:sz w:val="32"/>
          <w:szCs w:val="32"/>
        </w:rPr>
        <w:t xml:space="preserve"> </w:t>
      </w:r>
    </w:p>
    <w:p>
      <w:pPr>
        <w:pStyle w:val="Normal"/>
        <w:ind w:firstLine="632"/>
        <w:rPr/>
      </w:pPr>
      <w:r>
        <w:rPr>
          <w:rFonts w:ascii="SimHei" w:hAnsi="SimHei" w:eastAsia="黑体" w:cs="SimHei"/>
          <w:kern w:val="0"/>
          <w:sz w:val="32"/>
          <w:szCs w:val="32"/>
        </w:rPr>
        <w:t>（一）按国家规定已办理退休手续并开始依法享受基本养老保险待遇的；</w:t>
      </w:r>
    </w:p>
    <w:p>
      <w:pPr>
        <w:pStyle w:val="Normal"/>
        <w:ind w:firstLine="632"/>
        <w:rPr/>
      </w:pPr>
      <w:r>
        <w:rPr>
          <w:rFonts w:ascii="SimHei" w:hAnsi="SimHei" w:eastAsia="黑体" w:cs="SimHei"/>
          <w:kern w:val="0"/>
          <w:sz w:val="32"/>
          <w:szCs w:val="32"/>
        </w:rPr>
        <w:t>（二）退休前身故或者被人民法院宣告死亡（失踪）的；</w:t>
      </w:r>
    </w:p>
    <w:p>
      <w:pPr>
        <w:pStyle w:val="Normal"/>
        <w:ind w:firstLine="632"/>
        <w:rPr>
          <w:rFonts w:ascii="SimHei" w:hAnsi="SimHei" w:eastAsia="黑体" w:cs="SimHei"/>
          <w:kern w:val="0"/>
          <w:sz w:val="32"/>
          <w:szCs w:val="32"/>
        </w:rPr>
      </w:pPr>
      <w:r>
        <w:rPr>
          <w:rFonts w:ascii="SimHei" w:hAnsi="SimHei" w:eastAsia="黑体" w:cs="SimHei"/>
          <w:kern w:val="0"/>
          <w:sz w:val="32"/>
          <w:szCs w:val="32"/>
        </w:rPr>
        <w:t>（三）出境定居的；</w:t>
      </w:r>
    </w:p>
    <w:p>
      <w:pPr>
        <w:pStyle w:val="Normal"/>
        <w:ind w:firstLine="632"/>
        <w:rPr/>
      </w:pPr>
      <w:r>
        <w:rPr>
          <w:rFonts w:ascii="SimHei" w:hAnsi="SimHei" w:eastAsia="黑体" w:cs="SimHei"/>
          <w:kern w:val="0"/>
          <w:sz w:val="32"/>
          <w:szCs w:val="32"/>
        </w:rPr>
        <w:t>第三十四条  年金待遇支付方式</w:t>
      </w:r>
    </w:p>
    <w:p>
      <w:pPr>
        <w:pStyle w:val="Normal"/>
        <w:ind w:firstLine="632"/>
        <w:rPr>
          <w:rFonts w:ascii="SimHei" w:hAnsi="SimHei" w:eastAsia="黑体" w:cs="SimHei"/>
          <w:kern w:val="0"/>
          <w:sz w:val="32"/>
          <w:szCs w:val="32"/>
        </w:rPr>
      </w:pPr>
      <w:r>
        <w:rPr>
          <w:rFonts w:ascii="SimHei" w:hAnsi="SimHei" w:eastAsia="黑体" w:cs="SimHei"/>
          <w:kern w:val="0"/>
          <w:sz w:val="32"/>
          <w:szCs w:val="32"/>
        </w:rPr>
        <w:t>企业年金待遇按职工个人账户累计额计发。</w:t>
      </w:r>
    </w:p>
    <w:p>
      <w:pPr>
        <w:pStyle w:val="Normal"/>
        <w:ind w:firstLine="632"/>
        <w:rPr/>
      </w:pPr>
      <w:r>
        <w:rPr>
          <w:rFonts w:ascii="SimHei" w:hAnsi="SimHei" w:eastAsia="黑体" w:cs="SimHei"/>
          <w:kern w:val="0"/>
          <w:sz w:val="32"/>
          <w:szCs w:val="32"/>
        </w:rPr>
        <w:t>（一）符合本实施细则第三十四条第（一）项规定的，原则上应采取按月领取的方式（特殊情况经公司或公司企业年金管理委员会批准可选择一次性领取方式）。即由职工本人提出领取方式申请，须填写《职工企业年金领取申请书》，经公司企业年金管理委员会批准，提交受托人，由受托人指令托管人按照约定方式支付。</w:t>
      </w:r>
    </w:p>
    <w:p>
      <w:pPr>
        <w:pStyle w:val="Normal"/>
        <w:ind w:firstLine="632"/>
        <w:rPr>
          <w:rFonts w:ascii="SimHei" w:hAnsi="SimHei" w:eastAsia="黑体" w:cs="SimHei"/>
          <w:kern w:val="0"/>
          <w:sz w:val="32"/>
          <w:szCs w:val="32"/>
        </w:rPr>
      </w:pPr>
      <w:r>
        <w:rPr>
          <w:rFonts w:ascii="SimHei" w:hAnsi="SimHei" w:eastAsia="黑体" w:cs="SimHei"/>
          <w:kern w:val="0"/>
          <w:sz w:val="32"/>
          <w:szCs w:val="32"/>
        </w:rPr>
        <w:t>（二）符合本实施细则第三十四条第（二）、（三）项规定的，由职工个人</w:t>
      </w:r>
      <w:r>
        <w:rPr>
          <w:rFonts w:ascii="SimHei" w:hAnsi="SimHei" w:eastAsia="黑体" w:cs="SimHei"/>
          <w:kern w:val="0"/>
          <w:sz w:val="32"/>
          <w:szCs w:val="32"/>
        </w:rPr>
        <w:t>(</w:t>
      </w:r>
      <w:r>
        <w:rPr>
          <w:rFonts w:ascii="SimHei" w:hAnsi="SimHei" w:eastAsia="黑体" w:cs="SimHei"/>
          <w:kern w:val="0"/>
          <w:sz w:val="32"/>
          <w:szCs w:val="32"/>
        </w:rPr>
        <w:t>或受益人和法定继承人</w:t>
      </w:r>
      <w:r>
        <w:rPr>
          <w:rFonts w:ascii="SimHei" w:hAnsi="SimHei" w:eastAsia="黑体" w:cs="SimHei"/>
          <w:kern w:val="0"/>
          <w:sz w:val="32"/>
          <w:szCs w:val="32"/>
        </w:rPr>
        <w:t>)</w:t>
      </w:r>
      <w:r>
        <w:rPr>
          <w:rFonts w:ascii="SimHei" w:hAnsi="SimHei" w:eastAsia="黑体" w:cs="SimHei"/>
          <w:kern w:val="0"/>
          <w:sz w:val="32"/>
          <w:szCs w:val="32"/>
        </w:rPr>
        <w:t>提出申请，须填写《职工企业年金领取申请书》，提供相关证明材料</w:t>
      </w:r>
      <w:r>
        <w:rPr>
          <w:rFonts w:ascii="SimHei" w:hAnsi="SimHei" w:eastAsia="黑体" w:cs="SimHei"/>
          <w:kern w:val="0"/>
          <w:sz w:val="32"/>
          <w:szCs w:val="32"/>
        </w:rPr>
        <w:t>(</w:t>
      </w:r>
      <w:r>
        <w:rPr>
          <w:rFonts w:ascii="SimHei" w:hAnsi="SimHei" w:eastAsia="黑体" w:cs="SimHei"/>
          <w:kern w:val="0"/>
          <w:sz w:val="32"/>
          <w:szCs w:val="32"/>
        </w:rPr>
        <w:t>退休前身故或者被人民法院宣告死亡或者失踪的应由公安机关、法院或死亡所在医院出具相关证明</w:t>
      </w:r>
      <w:r>
        <w:rPr>
          <w:rFonts w:ascii="SimHei" w:hAnsi="SimHei" w:eastAsia="黑体" w:cs="SimHei"/>
          <w:kern w:val="0"/>
          <w:sz w:val="32"/>
          <w:szCs w:val="32"/>
        </w:rPr>
        <w:t>)</w:t>
      </w:r>
      <w:r>
        <w:rPr>
          <w:rFonts w:ascii="SimHei" w:hAnsi="SimHei" w:eastAsia="黑体" w:cs="SimHei"/>
          <w:kern w:val="0"/>
          <w:sz w:val="32"/>
          <w:szCs w:val="32"/>
        </w:rPr>
        <w:t>，经公司企业年金管理委员会审核后，提交受托人，由受托人指令托管人一次性支付。</w:t>
      </w:r>
    </w:p>
    <w:p>
      <w:pPr>
        <w:pStyle w:val="Normal"/>
        <w:ind w:firstLine="632"/>
        <w:rPr/>
      </w:pPr>
      <w:r>
        <w:rPr>
          <w:rFonts w:ascii="SimHei" w:hAnsi="SimHei" w:eastAsia="黑体" w:cs="SimHei"/>
          <w:kern w:val="0"/>
          <w:sz w:val="32"/>
          <w:szCs w:val="32"/>
        </w:rPr>
        <w:t>第三十五条  受益人的指定</w:t>
      </w:r>
    </w:p>
    <w:p>
      <w:pPr>
        <w:pStyle w:val="Normal"/>
        <w:ind w:firstLine="632"/>
        <w:rPr>
          <w:rFonts w:ascii="SimHei" w:hAnsi="SimHei" w:eastAsia="黑体" w:cs="SimHei"/>
          <w:kern w:val="0"/>
          <w:sz w:val="32"/>
          <w:szCs w:val="32"/>
        </w:rPr>
      </w:pPr>
      <w:r>
        <w:rPr>
          <w:rFonts w:ascii="SimHei" w:hAnsi="SimHei" w:eastAsia="黑体" w:cs="SimHei"/>
          <w:kern w:val="0"/>
          <w:sz w:val="32"/>
          <w:szCs w:val="32"/>
        </w:rPr>
        <w:t>本实施细则中所指受益人为参加企业年金计划员工</w:t>
      </w:r>
      <w:r>
        <w:rPr>
          <w:rFonts w:ascii="SimHei" w:hAnsi="SimHei" w:eastAsia="黑体" w:cs="SimHei"/>
          <w:sz w:val="32"/>
          <w:szCs w:val="21"/>
        </w:rPr>
        <w:t>填写《个人参加企业年金计划申请</w:t>
      </w:r>
      <w:r>
        <w:rPr>
          <w:rFonts w:ascii="SimHei" w:hAnsi="SimHei" w:eastAsia="黑体" w:cs="SimHei"/>
          <w:sz w:val="32"/>
          <w:szCs w:val="21"/>
        </w:rPr>
        <w:t>书</w:t>
      </w:r>
      <w:r>
        <w:rPr>
          <w:rFonts w:ascii="SimHei" w:hAnsi="SimHei" w:eastAsia="黑体" w:cs="SimHei"/>
          <w:sz w:val="32"/>
          <w:szCs w:val="21"/>
        </w:rPr>
        <w:t>》</w:t>
      </w:r>
      <w:r>
        <w:rPr>
          <w:rFonts w:ascii="SimHei" w:hAnsi="SimHei" w:eastAsia="黑体" w:cs="SimHei"/>
          <w:sz w:val="32"/>
          <w:szCs w:val="21"/>
        </w:rPr>
        <w:t>中指定的收益人或法定继承人。</w:t>
      </w:r>
    </w:p>
    <w:p>
      <w:pPr>
        <w:pStyle w:val="Normal"/>
        <w:ind w:firstLine="632"/>
        <w:jc w:val="center"/>
        <w:rPr>
          <w:rFonts w:ascii="SimHei" w:hAnsi="SimHei" w:eastAsia="黑体" w:cs="SimHei"/>
          <w:color w:val="000000"/>
          <w:kern w:val="0"/>
          <w:sz w:val="32"/>
          <w:szCs w:val="32"/>
        </w:rPr>
      </w:pPr>
      <w:r>
        <w:rPr>
          <w:rFonts w:ascii="SimHei" w:hAnsi="SimHei" w:eastAsia="黑体" w:cs="SimHei"/>
          <w:color w:val="000000"/>
          <w:kern w:val="0"/>
          <w:sz w:val="32"/>
          <w:szCs w:val="32"/>
        </w:rPr>
      </w:r>
    </w:p>
    <w:p>
      <w:pPr>
        <w:pStyle w:val="Normal"/>
        <w:jc w:val="center"/>
        <w:rPr/>
      </w:pPr>
      <w:r>
        <w:rPr>
          <w:rFonts w:ascii="SimHei" w:hAnsi="SimHei" w:eastAsia="黑体" w:cs="SimHei"/>
          <w:color w:val="000000"/>
          <w:kern w:val="0"/>
          <w:sz w:val="32"/>
          <w:szCs w:val="32"/>
        </w:rPr>
        <w:t>第九章  组织管理和监督</w:t>
      </w:r>
    </w:p>
    <w:p>
      <w:pPr>
        <w:pStyle w:val="Normal"/>
        <w:ind w:firstLine="632"/>
        <w:rPr/>
      </w:pPr>
      <w:r>
        <w:rPr>
          <w:rFonts w:ascii="SimHei" w:hAnsi="SimHei" w:eastAsia="黑体" w:cs="SimHei"/>
          <w:color w:val="000000"/>
          <w:kern w:val="0"/>
          <w:sz w:val="32"/>
          <w:szCs w:val="32"/>
        </w:rPr>
        <w:t>第三十六条  公司成立企业年金管理委员会，负责与上级企业年金管理委员会、受托人及其他企业年金管理人的沟通协调，定期向公司职工代表大会汇报企业年金的实施情况。</w:t>
      </w:r>
    </w:p>
    <w:p>
      <w:pPr>
        <w:pStyle w:val="Normal"/>
        <w:ind w:firstLine="632"/>
        <w:rPr/>
      </w:pPr>
      <w:r>
        <w:rPr>
          <w:rFonts w:ascii="SimHei" w:hAnsi="SimHei" w:eastAsia="黑体" w:cs="SimHei"/>
          <w:color w:val="000000"/>
          <w:kern w:val="0"/>
          <w:sz w:val="32"/>
          <w:szCs w:val="32"/>
        </w:rPr>
        <w:t>第三十七条  职工通过公司委托中交股份与受托人签订规范的受托管理合同，并委托受托人与其他管理人签订相关管理合同。</w:t>
      </w:r>
    </w:p>
    <w:p>
      <w:pPr>
        <w:pStyle w:val="Normal"/>
        <w:ind w:firstLine="632"/>
        <w:rPr/>
      </w:pPr>
      <w:r>
        <w:rPr>
          <w:rFonts w:ascii="SimHei" w:hAnsi="SimHei" w:eastAsia="黑体" w:cs="SimHei"/>
          <w:color w:val="000000"/>
          <w:kern w:val="0"/>
          <w:sz w:val="32"/>
          <w:szCs w:val="32"/>
        </w:rPr>
        <w:t>第三十八条  基金财产的管理费用</w:t>
      </w:r>
    </w:p>
    <w:p>
      <w:pPr>
        <w:pStyle w:val="Normal"/>
        <w:ind w:firstLine="632"/>
        <w:rPr/>
      </w:pPr>
      <w:r>
        <w:rPr>
          <w:rFonts w:ascii="SimHei" w:hAnsi="SimHei" w:eastAsia="黑体" w:cs="SimHei"/>
          <w:color w:val="000000"/>
          <w:kern w:val="0"/>
          <w:sz w:val="32"/>
          <w:szCs w:val="32"/>
        </w:rPr>
        <w:t>（一）受托费：受托人收取的受托费从本实施细则所设立的企业年金基金财产中列支，具体标准根据中交股份签订的《企业年金基金受托管理合同》的约定执行。</w:t>
      </w:r>
    </w:p>
    <w:p>
      <w:pPr>
        <w:pStyle w:val="Normal"/>
        <w:ind w:firstLine="632"/>
        <w:rPr/>
      </w:pPr>
      <w:r>
        <w:rPr>
          <w:rFonts w:ascii="SimHei" w:hAnsi="SimHei" w:eastAsia="黑体" w:cs="SimHei"/>
          <w:color w:val="000000"/>
          <w:kern w:val="0"/>
          <w:sz w:val="32"/>
          <w:szCs w:val="32"/>
        </w:rPr>
        <w:t>（二）账户管理费：具体标准根据中交股份签订的《企业年金基金账户管理合同》的约定执行。</w:t>
      </w:r>
    </w:p>
    <w:p>
      <w:pPr>
        <w:pStyle w:val="Normal"/>
        <w:ind w:firstLine="632"/>
        <w:rPr/>
      </w:pPr>
      <w:r>
        <w:rPr>
          <w:rFonts w:ascii="SimHei" w:hAnsi="SimHei" w:eastAsia="黑体" w:cs="SimHei"/>
          <w:color w:val="000000"/>
          <w:kern w:val="0"/>
          <w:sz w:val="32"/>
          <w:szCs w:val="32"/>
        </w:rPr>
        <w:t>（三）托管费：托管人收取的托管费由托管人从本实施细则所设立的企业年金基金财产中列支，具体标准根据中交股份签订的《企业年金基金托管合同》的约定执行。</w:t>
      </w:r>
    </w:p>
    <w:p>
      <w:pPr>
        <w:pStyle w:val="Normal"/>
        <w:ind w:firstLine="632"/>
        <w:rPr/>
      </w:pPr>
      <w:r>
        <w:rPr>
          <w:rFonts w:ascii="SimHei" w:hAnsi="SimHei" w:eastAsia="黑体" w:cs="SimHei"/>
          <w:color w:val="000000"/>
          <w:kern w:val="0"/>
          <w:sz w:val="32"/>
          <w:szCs w:val="32"/>
        </w:rPr>
        <w:t>（四）投资管理费：投资管理人收取的投资管理费从本实施细则所设立的企业年金基金财产中列支，具体标准根据中交股份签订的《企业年金基金投资管理合同》的约定执行。</w:t>
      </w:r>
    </w:p>
    <w:p>
      <w:pPr>
        <w:pStyle w:val="Normal"/>
        <w:ind w:firstLine="632"/>
        <w:rPr/>
      </w:pPr>
      <w:r>
        <w:rPr>
          <w:rFonts w:ascii="SimHei" w:hAnsi="SimHei" w:eastAsia="黑体" w:cs="SimHei"/>
          <w:color w:val="000000"/>
          <w:kern w:val="0"/>
          <w:sz w:val="32"/>
          <w:szCs w:val="32"/>
        </w:rPr>
        <w:t>第三十九条  本实施细则的制订和实施受中交一航局企业年金管理委员会的指导和监管。</w:t>
      </w:r>
    </w:p>
    <w:p>
      <w:pPr>
        <w:pStyle w:val="Normal"/>
        <w:ind w:firstLine="632"/>
        <w:jc w:val="center"/>
        <w:rPr>
          <w:rFonts w:ascii="SimHei" w:hAnsi="SimHei" w:eastAsia="黑体" w:cs="SimHei"/>
          <w:color w:val="000000"/>
          <w:kern w:val="0"/>
          <w:sz w:val="32"/>
          <w:szCs w:val="32"/>
        </w:rPr>
      </w:pPr>
      <w:r>
        <w:rPr>
          <w:rFonts w:ascii="SimHei" w:hAnsi="SimHei" w:eastAsia="黑体" w:cs="SimHei"/>
          <w:color w:val="000000"/>
          <w:kern w:val="0"/>
          <w:sz w:val="32"/>
          <w:szCs w:val="32"/>
        </w:rPr>
      </w:r>
    </w:p>
    <w:p>
      <w:pPr>
        <w:pStyle w:val="Normal"/>
        <w:jc w:val="center"/>
        <w:rPr/>
      </w:pPr>
      <w:r>
        <w:rPr>
          <w:rFonts w:ascii="SimHei" w:hAnsi="SimHei" w:eastAsia="黑体" w:cs="SimHei"/>
          <w:color w:val="000000"/>
          <w:kern w:val="0"/>
          <w:sz w:val="32"/>
          <w:szCs w:val="32"/>
        </w:rPr>
        <w:t>第十章  风险管控</w:t>
      </w:r>
    </w:p>
    <w:p>
      <w:pPr>
        <w:pStyle w:val="Normal"/>
        <w:ind w:firstLine="632"/>
        <w:rPr/>
      </w:pPr>
      <w:r>
        <w:rPr>
          <w:rFonts w:ascii="SimHei" w:hAnsi="SimHei" w:eastAsia="黑体" w:cs="SimHei"/>
          <w:color w:val="000000"/>
          <w:kern w:val="0"/>
          <w:sz w:val="32"/>
          <w:szCs w:val="32"/>
        </w:rPr>
        <w:t>第四十条  企业、受托人、账户管理人、托管人、投资管理人等机构应将企业年金基金财产与其固有财产分别管理、分别记账、并与其管理的其他受托财产分别管理、分别记账，不得挪作其它用途。</w:t>
      </w:r>
    </w:p>
    <w:p>
      <w:pPr>
        <w:pStyle w:val="Normal"/>
        <w:ind w:firstLine="632"/>
        <w:rPr/>
      </w:pPr>
      <w:r>
        <w:rPr>
          <w:rFonts w:ascii="SimHei" w:hAnsi="SimHei" w:eastAsia="黑体" w:cs="SimHei"/>
          <w:color w:val="000000"/>
          <w:kern w:val="0"/>
          <w:sz w:val="32"/>
          <w:szCs w:val="32"/>
        </w:rPr>
        <w:t>第四十一条  受托人在充分考虑年金基金财产的安全性和流动性的前提下，遵循谨慎、分散风险和专业化管理的原则，严格按照有关法律法规制定投资政策。</w:t>
      </w:r>
    </w:p>
    <w:p>
      <w:pPr>
        <w:pStyle w:val="Normal"/>
        <w:ind w:firstLine="632"/>
        <w:rPr/>
      </w:pPr>
      <w:r>
        <w:rPr>
          <w:rFonts w:ascii="SimHei" w:hAnsi="SimHei" w:eastAsia="黑体" w:cs="SimHei"/>
          <w:color w:val="000000"/>
          <w:kern w:val="0"/>
          <w:sz w:val="32"/>
          <w:szCs w:val="32"/>
        </w:rPr>
        <w:t>第四十二条  企业年金账户管理人、托管人和投资管理人按照规定定期向受托人报告企业年金管理运营情况，受托人定期向委托人报告企业年金基金管理情况。</w:t>
      </w:r>
    </w:p>
    <w:p>
      <w:pPr>
        <w:pStyle w:val="Normal"/>
        <w:ind w:firstLine="632"/>
        <w:rPr/>
      </w:pPr>
      <w:r>
        <w:rPr>
          <w:rFonts w:ascii="SimHei" w:hAnsi="SimHei" w:eastAsia="黑体" w:cs="SimHei"/>
          <w:color w:val="000000"/>
          <w:kern w:val="0"/>
          <w:sz w:val="32"/>
          <w:szCs w:val="32"/>
        </w:rPr>
        <w:t>第四十三条  在受托管理合同与其他管理合同中明确年金基金管理信息披露制度，确保公司年金基金运营管理的安全性。</w:t>
      </w:r>
    </w:p>
    <w:p>
      <w:pPr>
        <w:pStyle w:val="Normal"/>
        <w:ind w:firstLine="632"/>
        <w:rPr/>
      </w:pPr>
      <w:r>
        <w:rPr>
          <w:rFonts w:ascii="SimHei" w:hAnsi="SimHei" w:eastAsia="黑体" w:cs="SimHei"/>
          <w:color w:val="000000"/>
          <w:kern w:val="0"/>
          <w:sz w:val="32"/>
          <w:szCs w:val="32"/>
        </w:rPr>
        <w:t>第四十四条  职工通过中交股份的企业年金管理委员会监督受托管理合同的履行情况和受托人与其它年金管理机构签订的委托管理合同的执行情况。</w:t>
      </w:r>
    </w:p>
    <w:p>
      <w:pPr>
        <w:pStyle w:val="Normal"/>
        <w:ind w:firstLine="632"/>
        <w:jc w:val="center"/>
        <w:rPr>
          <w:rFonts w:ascii="SimHei" w:hAnsi="SimHei" w:eastAsia="黑体" w:cs="SimHei"/>
          <w:color w:val="000000"/>
          <w:kern w:val="0"/>
          <w:sz w:val="32"/>
          <w:szCs w:val="32"/>
        </w:rPr>
      </w:pPr>
      <w:r>
        <w:rPr>
          <w:rFonts w:ascii="SimHei" w:hAnsi="SimHei" w:eastAsia="黑体" w:cs="SimHei"/>
          <w:color w:val="000000"/>
          <w:kern w:val="0"/>
          <w:sz w:val="32"/>
          <w:szCs w:val="32"/>
        </w:rPr>
      </w:r>
    </w:p>
    <w:p>
      <w:pPr>
        <w:pStyle w:val="Normal"/>
        <w:jc w:val="center"/>
        <w:rPr/>
      </w:pPr>
      <w:r>
        <w:rPr>
          <w:rFonts w:ascii="SimHei" w:hAnsi="SimHei" w:eastAsia="黑体" w:cs="SimHei"/>
          <w:color w:val="000000"/>
          <w:kern w:val="0"/>
          <w:sz w:val="32"/>
          <w:szCs w:val="32"/>
        </w:rPr>
        <w:t>第十一章  修改和终止</w:t>
      </w:r>
    </w:p>
    <w:p>
      <w:pPr>
        <w:pStyle w:val="Normal"/>
        <w:ind w:firstLine="632"/>
        <w:rPr/>
      </w:pPr>
      <w:r>
        <w:rPr>
          <w:rFonts w:ascii="SimHei" w:hAnsi="SimHei" w:eastAsia="黑体" w:cs="SimHei"/>
          <w:color w:val="000000"/>
          <w:kern w:val="0"/>
          <w:sz w:val="32"/>
          <w:szCs w:val="32"/>
        </w:rPr>
        <w:t>第四十五条  出现下列情况之一时，对本实施细则进行修改：</w:t>
      </w:r>
    </w:p>
    <w:p>
      <w:pPr>
        <w:pStyle w:val="Normal"/>
        <w:ind w:firstLine="632"/>
        <w:rPr/>
      </w:pPr>
      <w:r>
        <w:rPr>
          <w:rFonts w:ascii="SimHei" w:hAnsi="SimHei" w:eastAsia="黑体" w:cs="SimHei"/>
          <w:color w:val="000000"/>
          <w:kern w:val="0"/>
          <w:sz w:val="32"/>
          <w:szCs w:val="32"/>
        </w:rPr>
        <w:t>（一）半数以上职工或公司企业年金管理委员会三分之二以上的成员提议修改；</w:t>
      </w:r>
    </w:p>
    <w:p>
      <w:pPr>
        <w:pStyle w:val="Normal"/>
        <w:ind w:firstLine="632"/>
        <w:rPr/>
      </w:pPr>
      <w:r>
        <w:rPr>
          <w:rFonts w:ascii="SimHei" w:hAnsi="SimHei" w:eastAsia="黑体" w:cs="SimHei"/>
          <w:color w:val="000000"/>
          <w:kern w:val="0"/>
          <w:sz w:val="32"/>
          <w:szCs w:val="32"/>
        </w:rPr>
        <w:t>（二）企业的经营状况出现重大变化；</w:t>
      </w:r>
    </w:p>
    <w:p>
      <w:pPr>
        <w:pStyle w:val="Normal"/>
        <w:ind w:firstLine="632"/>
        <w:rPr/>
      </w:pPr>
      <w:r>
        <w:rPr>
          <w:rFonts w:ascii="SimHei" w:hAnsi="SimHei" w:eastAsia="黑体" w:cs="SimHei"/>
          <w:color w:val="000000"/>
          <w:kern w:val="0"/>
          <w:sz w:val="32"/>
          <w:szCs w:val="32"/>
        </w:rPr>
        <w:t>（三）本实施细则的某些条款被上级主管部门判定为不符合国家相关政策。</w:t>
      </w:r>
    </w:p>
    <w:p>
      <w:pPr>
        <w:pStyle w:val="Normal"/>
        <w:ind w:firstLine="632"/>
        <w:rPr/>
      </w:pPr>
      <w:r>
        <w:rPr>
          <w:rFonts w:ascii="SimHei" w:hAnsi="SimHei" w:eastAsia="黑体" w:cs="SimHei"/>
          <w:color w:val="000000"/>
          <w:kern w:val="0"/>
          <w:sz w:val="32"/>
          <w:szCs w:val="32"/>
        </w:rPr>
        <w:t>第四十六条  出现下列情况之一时，本实施细则终止：</w:t>
      </w:r>
    </w:p>
    <w:p>
      <w:pPr>
        <w:pStyle w:val="Normal"/>
        <w:ind w:firstLine="632"/>
        <w:rPr/>
      </w:pPr>
      <w:r>
        <w:rPr>
          <w:rFonts w:ascii="SimHei" w:hAnsi="SimHei" w:eastAsia="黑体" w:cs="SimHei"/>
          <w:color w:val="000000"/>
          <w:kern w:val="0"/>
          <w:sz w:val="32"/>
          <w:szCs w:val="32"/>
        </w:rPr>
        <w:t>（一）企业破产；</w:t>
      </w:r>
    </w:p>
    <w:p>
      <w:pPr>
        <w:pStyle w:val="Normal"/>
        <w:ind w:firstLine="632"/>
        <w:rPr/>
      </w:pPr>
      <w:r>
        <w:rPr>
          <w:rFonts w:ascii="SimHei" w:hAnsi="SimHei" w:eastAsia="黑体" w:cs="SimHei"/>
          <w:color w:val="000000"/>
          <w:kern w:val="0"/>
          <w:sz w:val="32"/>
          <w:szCs w:val="32"/>
        </w:rPr>
        <w:t>（二）本实施细则被上级主管部门判定为不符合国家相关政策；</w:t>
      </w:r>
    </w:p>
    <w:p>
      <w:pPr>
        <w:pStyle w:val="Normal"/>
        <w:ind w:firstLine="632"/>
        <w:rPr/>
      </w:pPr>
      <w:r>
        <w:rPr>
          <w:rFonts w:ascii="SimHei" w:hAnsi="SimHei" w:eastAsia="黑体" w:cs="SimHei"/>
          <w:color w:val="000000"/>
          <w:kern w:val="0"/>
          <w:sz w:val="32"/>
          <w:szCs w:val="32"/>
        </w:rPr>
        <w:t>（三）国家有关法规政策发生重大变化，导致本实施细则无法继续实施。</w:t>
      </w:r>
    </w:p>
    <w:p>
      <w:pPr>
        <w:pStyle w:val="Normal"/>
        <w:ind w:firstLine="632"/>
        <w:rPr>
          <w:rFonts w:ascii="SimHei" w:hAnsi="SimHei" w:eastAsia="黑体" w:cs="SimHei"/>
          <w:color w:val="000000"/>
          <w:kern w:val="0"/>
          <w:sz w:val="32"/>
          <w:szCs w:val="32"/>
        </w:rPr>
      </w:pPr>
      <w:r>
        <w:rPr>
          <w:rFonts w:ascii="SimHei" w:hAnsi="SimHei" w:eastAsia="黑体" w:cs="SimHei"/>
          <w:color w:val="000000"/>
          <w:kern w:val="0"/>
          <w:sz w:val="32"/>
          <w:szCs w:val="32"/>
        </w:rPr>
        <w:t>本实施细则终止时，已经建立的企业年金账户</w:t>
      </w:r>
      <w:r>
        <w:rPr>
          <w:rFonts w:ascii="SimHei" w:hAnsi="SimHei" w:eastAsia="黑体" w:cs="SimHei"/>
          <w:color w:val="000000"/>
          <w:kern w:val="0"/>
          <w:sz w:val="32"/>
          <w:szCs w:val="32"/>
        </w:rPr>
        <w:t>(</w:t>
      </w:r>
      <w:r>
        <w:rPr>
          <w:rFonts w:ascii="SimHei" w:hAnsi="SimHei" w:eastAsia="黑体" w:cs="SimHei"/>
          <w:color w:val="000000"/>
          <w:kern w:val="0"/>
          <w:sz w:val="32"/>
          <w:szCs w:val="32"/>
        </w:rPr>
        <w:t>包括企业公共帐户和职工个人帐户</w:t>
      </w:r>
      <w:r>
        <w:rPr>
          <w:rFonts w:ascii="SimHei" w:hAnsi="SimHei" w:eastAsia="黑体" w:cs="SimHei"/>
          <w:color w:val="000000"/>
          <w:kern w:val="0"/>
          <w:sz w:val="32"/>
          <w:szCs w:val="32"/>
        </w:rPr>
        <w:t>)</w:t>
      </w:r>
      <w:r>
        <w:rPr>
          <w:rFonts w:ascii="SimHei" w:hAnsi="SimHei" w:eastAsia="黑体" w:cs="SimHei"/>
          <w:color w:val="000000"/>
          <w:kern w:val="0"/>
          <w:sz w:val="32"/>
          <w:szCs w:val="32"/>
        </w:rPr>
        <w:t>仍然有效，账户金额不受影响，其具体管理将服从国家相关规定。</w:t>
      </w:r>
    </w:p>
    <w:p>
      <w:pPr>
        <w:pStyle w:val="Normal"/>
        <w:jc w:val="center"/>
        <w:rPr>
          <w:rFonts w:ascii="SimHei" w:hAnsi="SimHei" w:eastAsia="黑体" w:cs="SimHei"/>
          <w:color w:val="000000"/>
          <w:kern w:val="0"/>
          <w:sz w:val="32"/>
          <w:szCs w:val="32"/>
        </w:rPr>
      </w:pPr>
      <w:r>
        <w:rPr>
          <w:rFonts w:ascii="SimHei" w:hAnsi="SimHei" w:eastAsia="黑体" w:cs="SimHei"/>
          <w:color w:val="000000"/>
          <w:kern w:val="0"/>
          <w:sz w:val="32"/>
          <w:szCs w:val="32"/>
        </w:rPr>
      </w:r>
    </w:p>
    <w:p>
      <w:pPr>
        <w:pStyle w:val="Normal"/>
        <w:jc w:val="center"/>
        <w:rPr/>
      </w:pPr>
      <w:r>
        <w:rPr>
          <w:rFonts w:ascii="SimHei" w:hAnsi="SimHei" w:eastAsia="黑体" w:cs="SimHei"/>
          <w:color w:val="000000"/>
          <w:kern w:val="0"/>
          <w:sz w:val="32"/>
          <w:szCs w:val="32"/>
        </w:rPr>
        <w:t>第十二章  附则</w:t>
      </w:r>
    </w:p>
    <w:p>
      <w:pPr>
        <w:pStyle w:val="Normal"/>
        <w:ind w:firstLine="632"/>
        <w:rPr/>
      </w:pPr>
      <w:r>
        <w:rPr>
          <w:rFonts w:ascii="SimHei" w:hAnsi="SimHei" w:eastAsia="黑体" w:cs="SimHei"/>
          <w:color w:val="000000"/>
          <w:kern w:val="0"/>
          <w:sz w:val="32"/>
          <w:szCs w:val="32"/>
        </w:rPr>
        <w:t>第四十七条  本实施细则由公司企业年金管理委员会负责解释。</w:t>
      </w:r>
    </w:p>
    <w:p>
      <w:pPr>
        <w:pStyle w:val="Normal"/>
        <w:ind w:firstLine="632"/>
        <w:rPr/>
      </w:pPr>
      <w:r>
        <w:rPr>
          <w:rFonts w:ascii="SimHei" w:hAnsi="SimHei" w:eastAsia="黑体" w:cs="SimHei"/>
          <w:color w:val="000000"/>
          <w:kern w:val="0"/>
          <w:sz w:val="32"/>
          <w:szCs w:val="32"/>
        </w:rPr>
        <w:t xml:space="preserve">第四十八条  </w:t>
      </w:r>
      <w:r>
        <w:rPr>
          <w:rFonts w:ascii="SimHei" w:hAnsi="SimHei" w:eastAsia="黑体" w:cs="SimHei"/>
          <w:sz w:val="32"/>
          <w:szCs w:val="32"/>
        </w:rPr>
        <w:t>本实施细则</w:t>
      </w:r>
      <w:r>
        <w:rPr>
          <w:rFonts w:ascii="SimHei" w:hAnsi="SimHei" w:eastAsia="黑体" w:cs="SimHei"/>
          <w:color w:val="000000"/>
          <w:kern w:val="0"/>
          <w:sz w:val="32"/>
          <w:szCs w:val="32"/>
        </w:rPr>
        <w:t>应按民主程序提交职工代表大会或代表组长联席会议讨论通过，报送中交一航局企业年金管理委员会批准后实施。</w:t>
      </w:r>
    </w:p>
    <w:p>
      <w:pPr>
        <w:pStyle w:val="Normal"/>
        <w:ind w:firstLine="632"/>
        <w:rPr/>
      </w:pPr>
      <w:r>
        <w:rPr>
          <w:rFonts w:ascii="SimHei" w:hAnsi="SimHei" w:eastAsia="黑体" w:cs="SimHei"/>
          <w:color w:val="000000"/>
          <w:kern w:val="0"/>
          <w:sz w:val="32"/>
          <w:szCs w:val="32"/>
        </w:rPr>
        <w:t>第四十九条  职工对本实施细则产生异议或争议时，由公司企业年金管理委员会与职工协商解决，协商不成，职工可通过工会、人力资源部向上一级年金管理委员会反映，或向劳动争议仲裁机构申请仲裁。</w:t>
      </w:r>
    </w:p>
    <w:p>
      <w:pPr>
        <w:pStyle w:val="Normal"/>
        <w:ind w:firstLine="632"/>
        <w:rPr/>
      </w:pPr>
      <w:r>
        <w:rPr>
          <w:rFonts w:ascii="SimHei" w:hAnsi="SimHei" w:eastAsia="黑体" w:cs="SimHei"/>
          <w:color w:val="000000"/>
          <w:kern w:val="0"/>
          <w:sz w:val="32"/>
          <w:szCs w:val="32"/>
        </w:rPr>
        <w:t>第五十条  本实施细则自</w:t>
      </w:r>
      <w:r>
        <w:rPr>
          <w:rFonts w:ascii="SimHei" w:hAnsi="SimHei" w:eastAsia="黑体" w:cs="SimHei"/>
          <w:color w:val="000000"/>
          <w:kern w:val="0"/>
          <w:sz w:val="32"/>
          <w:szCs w:val="32"/>
        </w:rPr>
        <w:t>2006</w:t>
      </w:r>
      <w:r>
        <w:rPr>
          <w:rFonts w:ascii="SimHei" w:hAnsi="SimHei" w:eastAsia="黑体" w:cs="SimHei"/>
          <w:color w:val="000000"/>
          <w:kern w:val="0"/>
          <w:sz w:val="32"/>
          <w:szCs w:val="32"/>
        </w:rPr>
        <w:t>年</w:t>
      </w:r>
      <w:r>
        <w:rPr>
          <w:rFonts w:ascii="SimHei" w:hAnsi="SimHei" w:eastAsia="黑体" w:cs="SimHei"/>
          <w:color w:val="000000"/>
          <w:kern w:val="0"/>
          <w:sz w:val="32"/>
          <w:szCs w:val="32"/>
        </w:rPr>
        <w:t>1</w:t>
      </w:r>
      <w:r>
        <w:rPr>
          <w:rFonts w:ascii="SimHei" w:hAnsi="SimHei" w:eastAsia="黑体" w:cs="SimHei"/>
          <w:color w:val="000000"/>
          <w:kern w:val="0"/>
          <w:sz w:val="32"/>
          <w:szCs w:val="32"/>
        </w:rPr>
        <w:t>月</w:t>
      </w:r>
      <w:r>
        <w:rPr>
          <w:rFonts w:ascii="SimHei" w:hAnsi="SimHei" w:eastAsia="黑体" w:cs="SimHei"/>
          <w:color w:val="000000"/>
          <w:kern w:val="0"/>
          <w:sz w:val="32"/>
          <w:szCs w:val="32"/>
        </w:rPr>
        <w:t>1</w:t>
      </w:r>
      <w:r>
        <w:rPr>
          <w:rFonts w:ascii="SimHei" w:hAnsi="SimHei" w:eastAsia="黑体" w:cs="SimHei"/>
          <w:color w:val="000000"/>
          <w:kern w:val="0"/>
          <w:sz w:val="32"/>
          <w:szCs w:val="32"/>
        </w:rPr>
        <w:t>日起开始实施</w:t>
      </w:r>
      <w:r>
        <w:rPr>
          <w:rFonts w:ascii="SimHei" w:hAnsi="SimHei" w:eastAsia="黑体" w:cs="SimHei"/>
          <w:color w:val="000000"/>
          <w:kern w:val="0"/>
          <w:sz w:val="33"/>
        </w:rPr>
        <w:t>。</w:t>
      </w:r>
    </w:p>
    <w:p>
      <w:pPr>
        <w:pStyle w:val="Normal"/>
        <w:rPr>
          <w:rFonts w:ascii="SimHei" w:hAnsi="SimHei" w:eastAsia="黑体" w:cs="SimHei"/>
          <w:color w:val="000080"/>
          <w:sz w:val="32"/>
          <w:szCs w:val="21"/>
        </w:rPr>
      </w:pPr>
      <w:r>
        <w:rPr>
          <w:rFonts w:ascii="SimHei" w:hAnsi="SimHei" w:eastAsia="黑体" w:cs="SimHei"/>
          <w:color w:val="000080"/>
          <w:sz w:val="32"/>
          <w:szCs w:val="21"/>
        </w:rPr>
      </w:r>
    </w:p>
    <w:p>
      <w:pPr>
        <w:pStyle w:val="Normal"/>
        <w:rPr>
          <w:rFonts w:ascii="SimHei" w:hAnsi="SimHei" w:eastAsia="黑体" w:cs="SimHei"/>
          <w:color w:val="000080"/>
          <w:sz w:val="32"/>
          <w:szCs w:val="21"/>
        </w:rPr>
      </w:pPr>
      <w:r>
        <w:rPr>
          <w:rFonts w:ascii="SimHei" w:hAnsi="SimHei" w:eastAsia="黑体" w:cs="SimHei"/>
          <w:color w:val="000080"/>
          <w:sz w:val="32"/>
          <w:szCs w:val="21"/>
        </w:rPr>
      </w:r>
    </w:p>
    <w:p>
      <w:pPr>
        <w:pStyle w:val="Normal"/>
        <w:rPr>
          <w:rFonts w:ascii="SimHei" w:hAnsi="SimHei" w:eastAsia="黑体" w:cs="SimHei"/>
          <w:color w:val="000080"/>
          <w:sz w:val="32"/>
          <w:szCs w:val="21"/>
        </w:rPr>
      </w:pPr>
      <w:r>
        <w:rPr>
          <w:rFonts w:ascii="SimHei" w:hAnsi="SimHei" w:eastAsia="黑体" w:cs="SimHei"/>
          <w:color w:val="000080"/>
          <w:sz w:val="32"/>
          <w:szCs w:val="21"/>
        </w:rPr>
      </w:r>
    </w:p>
    <w:p>
      <w:pPr>
        <w:pStyle w:val="Normal"/>
        <w:rPr>
          <w:rFonts w:ascii="SimHei" w:hAnsi="SimHei" w:eastAsia="黑体" w:cs="SimHei"/>
          <w:color w:val="000080"/>
          <w:sz w:val="32"/>
          <w:szCs w:val="21"/>
        </w:rPr>
      </w:pPr>
      <w:r>
        <w:rPr>
          <w:rFonts w:ascii="SimHei" w:hAnsi="SimHei" w:eastAsia="黑体" w:cs="SimHei"/>
          <w:color w:val="000080"/>
          <w:sz w:val="32"/>
          <w:szCs w:val="21"/>
        </w:rPr>
      </w:r>
    </w:p>
    <w:p>
      <w:pPr>
        <w:pStyle w:val="Normal"/>
        <w:rPr>
          <w:rFonts w:ascii="SimHei" w:hAnsi="SimHei" w:eastAsia="黑体" w:cs="SimHei"/>
          <w:color w:val="000080"/>
          <w:sz w:val="32"/>
          <w:szCs w:val="21"/>
        </w:rPr>
      </w:pPr>
      <w:r>
        <w:rPr>
          <w:rFonts w:ascii="SimHei" w:hAnsi="SimHei" w:eastAsia="黑体" w:cs="SimHei"/>
          <w:color w:val="000080"/>
          <w:sz w:val="32"/>
          <w:szCs w:val="21"/>
        </w:rPr>
      </w:r>
    </w:p>
    <w:sectPr>
      <w:type w:val="nextPage"/>
      <w:pgSz w:w="11906" w:h="16838"/>
      <w:pgMar w:left="1588" w:right="1474" w:header="0" w:top="2098" w:footer="0" w:bottom="1985" w:gutter="0"/>
      <w:pgNumType w:fmt="decimal"/>
      <w:formProt w:val="false"/>
      <w:textDirection w:val="lrTb"/>
      <w:docGrid w:type="linesAndChars" w:linePitch="289" w:charSpace="429496627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仿宋_GB2312">
    <w:charset w:val="86"/>
    <w:family w:val="modern"/>
    <w:pitch w:val="default"/>
  </w:font>
  <w:font w:name="宋体">
    <w:altName w:val="SimSun"/>
    <w:charset w:val="86"/>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chineseCountingThousand"/>
      <w:lvlText w:val="（%1）"/>
      <w:lvlJc w:val="left"/>
      <w:pPr>
        <w:tabs>
          <w:tab w:val="num" w:pos="1665"/>
        </w:tabs>
        <w:ind w:left="1665" w:hanging="1080"/>
      </w:pPr>
      <w:rPr>
        <w:lang w:val="en-US"/>
      </w:rPr>
    </w:lvl>
  </w:abstractNum>
  <w:abstractNum w:abstractNumId="2">
    <w:lvl w:ilvl="0">
      <w:start w:val="2"/>
      <w:numFmt w:val="chineseCountingThousand"/>
      <w:lvlText w:val="第%1章"/>
      <w:lvlJc w:val="left"/>
      <w:pPr>
        <w:tabs>
          <w:tab w:val="num" w:pos="1455"/>
        </w:tabs>
        <w:ind w:left="1455" w:hanging="1455"/>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4"/>
      <w:szCs w:val="24"/>
      <w:lang w:val="en-US" w:eastAsia="zh-CN"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lang w:val="en-U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Style14">
    <w:name w:val="默认段落字体"/>
    <w:qFormat/>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TextBodyIndent">
    <w:name w:val="Body Text Indent"/>
    <w:basedOn w:val="Normal"/>
    <w:pPr>
      <w:ind w:firstLine="632"/>
    </w:pPr>
    <w:rPr>
      <w:rFonts w:ascii="SimHei" w:hAnsi="SimHei" w:eastAsia="黑体" w:cs="SimHei"/>
      <w:color w:val="000000"/>
      <w:kern w:val="0"/>
      <w:sz w:val="32"/>
      <w:szCs w:val="3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393</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2008-11-05T09:10:00Z</dcterms:created>
  <dc:creator>Lenovo User</dc:creator>
  <dc:description/>
  <cp:keywords> </cp:keywords>
  <dc:language>en-US</dc:language>
  <cp:lastModifiedBy>USER</cp:lastModifiedBy>
  <dcterms:modified xsi:type="dcterms:W3CDTF">2008-11-10T08:33:00Z</dcterms:modified>
  <cp:revision>18</cp:revision>
  <dc:subject/>
  <dc:title>一航局三公司企业年金实施细则 </dc:title>
</cp:coreProperties>
</file>