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FFFFFF" w:val="clear"/>
        <w:spacing w:before="120" w:after="120"/>
        <w:rPr/>
      </w:pPr>
      <w:r>
        <w:rPr/>
        <w:t>内部招聘管理制度</w:t>
      </w:r>
    </w:p>
    <w:p>
      <w:pPr>
        <w:pStyle w:val="Heading2"/>
        <w:widowControl w:val="false"/>
        <w:rPr>
          <w:lang w:eastAsia="zh-CN"/>
        </w:rPr>
      </w:pPr>
      <w:r>
        <w:rPr>
          <w:lang w:eastAsia="zh-CN"/>
        </w:rPr>
        <w:t>范围</w:t>
      </w:r>
    </w:p>
    <w:p>
      <w:pPr>
        <w:pStyle w:val="Normal"/>
        <w:keepNext w:val="true"/>
        <w:keepLines/>
        <w:rPr/>
      </w:pPr>
      <w:r>
        <w:rPr/>
        <w:t>从公司内部员工中进行招聘的过程，根据岗位描述和公司用人标准进行初选、面试，协调内部调动工作，并办理交接调动手续和员工档案信息管理的工作</w:t>
      </w:r>
    </w:p>
    <w:p>
      <w:pPr>
        <w:pStyle w:val="Heading2"/>
        <w:rPr>
          <w:lang w:eastAsia="zh-CN"/>
        </w:rPr>
      </w:pPr>
      <w:r>
        <w:rPr>
          <w:lang w:eastAsia="zh-CN"/>
        </w:rPr>
        <w:t>控制目标</w:t>
      </w:r>
    </w:p>
    <w:p>
      <w:pPr>
        <w:pStyle w:val="Heading3"/>
        <w:rPr/>
      </w:pPr>
      <w:r>
        <w:rPr/>
        <w:t>确保内部招聘工作的准确、及时、有效和规范，提高内部招聘质量和效率，保证合理的招聘成本，降低人才甄用风险</w:t>
      </w:r>
    </w:p>
    <w:p>
      <w:pPr>
        <w:pStyle w:val="Heading3"/>
        <w:rPr/>
      </w:pPr>
      <w:r>
        <w:rPr/>
        <w:t>确保在涉及不同用人部门的招聘工作中协调各部门、管理者的关系，规范招聘行为，以招到合乎岗位要求、高质量的人员</w:t>
      </w:r>
    </w:p>
    <w:p>
      <w:pPr>
        <w:pStyle w:val="Heading3"/>
        <w:rPr/>
      </w:pPr>
      <w:r>
        <w:rPr/>
        <w:t>确保招聘录用人员的特点符合公司的内部薪酬体系和外部市场的水平</w:t>
      </w:r>
    </w:p>
    <w:p>
      <w:pPr>
        <w:pStyle w:val="Heading2"/>
        <w:rPr>
          <w:lang w:eastAsia="zh-CN"/>
        </w:rPr>
      </w:pPr>
      <w:r>
        <w:rPr>
          <w:lang w:eastAsia="zh-CN"/>
        </w:rPr>
        <w:t>主要控制点</w:t>
      </w:r>
    </w:p>
    <w:p>
      <w:pPr>
        <w:pStyle w:val="Heading3"/>
        <w:rPr/>
      </w:pPr>
      <w:r>
        <w:rPr/>
        <w:t>人力资源部人事主管审阅招聘管理员拟定的招聘宣传资料</w:t>
      </w:r>
    </w:p>
    <w:p>
      <w:pPr>
        <w:pStyle w:val="Heading3"/>
        <w:rPr/>
      </w:pPr>
      <w:r>
        <w:rPr/>
        <w:t>招聘管理员查询应聘人员信息</w:t>
      </w:r>
    </w:p>
    <w:p>
      <w:pPr>
        <w:pStyle w:val="Heading3"/>
        <w:rPr/>
      </w:pPr>
      <w:r>
        <w:rPr/>
        <w:t>如果调入部门和调出部门意见有分歧，由人力资源部经理协调，并由总经理审核决定是否调动</w:t>
      </w:r>
    </w:p>
    <w:p>
      <w:pPr>
        <w:pStyle w:val="Heading2"/>
        <w:rPr>
          <w:lang w:eastAsia="zh-CN"/>
        </w:rPr>
      </w:pPr>
      <w:r>
        <w:rPr>
          <w:lang w:eastAsia="zh-CN"/>
        </w:rPr>
        <w:t>特定政策</w:t>
      </w:r>
    </w:p>
    <w:p>
      <w:pPr>
        <w:pStyle w:val="Heading3"/>
        <w:rPr/>
      </w:pPr>
      <w:r>
        <w:rPr/>
        <w:t>坚持亲属回避原则</w:t>
      </w:r>
      <w:r>
        <w:rPr/>
        <w:t>,</w:t>
      </w:r>
      <w:r>
        <w:rPr/>
        <w:t>为防止裙带关系的滋生，一般员工两代以内的直系亲属、管理干部三代以内的直系亲属和两代以内的旁系亲属应执行回避制度，不允许在同部门工作或存在直接领导关系</w:t>
      </w:r>
    </w:p>
    <w:p>
      <w:pPr>
        <w:pStyle w:val="Heading3"/>
        <w:rPr/>
      </w:pPr>
      <w:r>
        <w:rPr/>
        <w:t>内部招聘中，由人力资源部作为第三方协调可能出现的部门间意见分歧，并由公司总经理进行最终的决策</w:t>
      </w:r>
    </w:p>
    <w:p>
      <w:pPr>
        <w:pStyle w:val="Heading3"/>
        <w:rPr/>
      </w:pPr>
      <w:r>
        <w:rPr/>
        <w:t>各部门对初选合格者进行笔试和面试时，人力资源部招聘管理员应对各部门的面试人员提供必要的协调、辅导与方法性的培训</w:t>
      </w:r>
    </w:p>
    <w:p>
      <w:pPr>
        <w:pStyle w:val="Heading3"/>
        <w:rPr/>
      </w:pPr>
      <w:r>
        <w:rPr/>
        <w:t>内部招聘原则上需应聘人员在公司工作一年以上</w:t>
      </w:r>
    </w:p>
    <w:p>
      <w:pPr>
        <w:pStyle w:val="Heading3"/>
        <w:rPr/>
      </w:pPr>
      <w:r>
        <w:rPr/>
        <w:t>招聘录用人员的岗位级别由人力资源部与用人部门经理共同确定，部门经理级别岗位需由总经理和分管副总经理批准确认；初步薪酬待遇由人力资源部薪资管理员与用人部门经理根据公司薪酬体系共同确认</w:t>
      </w:r>
    </w:p>
    <w:p>
      <w:pPr>
        <w:pStyle w:val="Heading3"/>
        <w:rPr/>
      </w:pPr>
      <w:r>
        <w:rPr/>
        <w:t>竞争上岗员工试用期为</w:t>
      </w:r>
      <w:r>
        <w:rPr/>
        <w:t>1</w:t>
      </w:r>
      <w:r>
        <w:rPr/>
        <w:t>－</w:t>
      </w:r>
      <w:r>
        <w:rPr/>
        <w:t>3</w:t>
      </w:r>
      <w:r>
        <w:rPr/>
        <w:t>个月</w:t>
      </w:r>
    </w:p>
    <w:p>
      <w:pPr>
        <w:pStyle w:val="Heading2"/>
        <w:rPr/>
      </w:pPr>
      <w:r>
        <w:rPr>
          <w:lang w:eastAsia="zh-CN"/>
        </w:rPr>
        <w:t>内部招聘流程说明</w:t>
      </w:r>
      <w:r>
        <w:rPr/>
        <w:t>C-11-02-001</w:t>
      </w:r>
    </w:p>
    <w:tbl>
      <w:tblPr>
        <w:tblW w:w="8730" w:type="dxa"/>
        <w:jc w:val="start"/>
        <w:tblInd w:w="558" w:type="dxa"/>
        <w:tblLayout w:type="fixed"/>
        <w:tblCellMar>
          <w:top w:w="0" w:type="dxa"/>
          <w:start w:w="108" w:type="dxa"/>
          <w:bottom w:w="0" w:type="dxa"/>
          <w:end w:w="108" w:type="dxa"/>
        </w:tblCellMar>
      </w:tblPr>
      <w:tblGrid>
        <w:gridCol w:w="900"/>
        <w:gridCol w:w="1710"/>
        <w:gridCol w:w="6120"/>
      </w:tblGrid>
      <w:tr>
        <w:trPr>
          <w:tblHeader w:val="true"/>
          <w:trHeight w:val="548" w:hRule="atLeast"/>
        </w:trPr>
        <w:tc>
          <w:tcPr>
            <w:tcW w:w="900" w:type="dxa"/>
            <w:tcBorders>
              <w:top w:val="single" w:sz="4" w:space="0" w:color="000000"/>
              <w:start w:val="single" w:sz="4" w:space="0" w:color="000000"/>
              <w:bottom w:val="single" w:sz="4" w:space="0" w:color="000000"/>
              <w:end w:val="single" w:sz="4" w:space="0" w:color="000000"/>
            </w:tcBorders>
          </w:tcPr>
          <w:p>
            <w:pPr>
              <w:pStyle w:val="TextBody"/>
              <w:spacing w:before="240" w:after="120"/>
              <w:rPr>
                <w:lang w:eastAsia="zh-CN"/>
              </w:rPr>
            </w:pPr>
            <w:r>
              <w:rPr>
                <w:lang w:eastAsia="zh-CN"/>
              </w:rPr>
              <w:t>步骤</w:t>
            </w:r>
          </w:p>
        </w:tc>
        <w:tc>
          <w:tcPr>
            <w:tcW w:w="1710" w:type="dxa"/>
            <w:tcBorders>
              <w:top w:val="single" w:sz="4" w:space="0" w:color="000000"/>
              <w:start w:val="single" w:sz="4" w:space="0" w:color="000000"/>
              <w:bottom w:val="single" w:sz="4" w:space="0" w:color="000000"/>
              <w:end w:val="single" w:sz="4" w:space="0" w:color="000000"/>
            </w:tcBorders>
          </w:tcPr>
          <w:p>
            <w:pPr>
              <w:pStyle w:val="TextBody"/>
              <w:spacing w:before="240" w:after="120"/>
              <w:rPr>
                <w:lang w:eastAsia="zh-CN"/>
              </w:rPr>
            </w:pPr>
            <w:r>
              <w:rPr>
                <w:lang w:eastAsia="zh-CN"/>
              </w:rPr>
              <w:t>涉及部门</w:t>
            </w:r>
          </w:p>
        </w:tc>
        <w:tc>
          <w:tcPr>
            <w:tcW w:w="6120" w:type="dxa"/>
            <w:tcBorders>
              <w:top w:val="single" w:sz="4" w:space="0" w:color="000000"/>
              <w:start w:val="single" w:sz="4" w:space="0" w:color="000000"/>
              <w:bottom w:val="single" w:sz="4" w:space="0" w:color="000000"/>
              <w:end w:val="single" w:sz="4" w:space="0" w:color="000000"/>
            </w:tcBorders>
          </w:tcPr>
          <w:p>
            <w:pPr>
              <w:pStyle w:val="TextBody"/>
              <w:spacing w:before="240" w:after="120"/>
              <w:rPr>
                <w:lang w:eastAsia="zh-CN"/>
              </w:rPr>
            </w:pPr>
            <w:r>
              <w:rPr>
                <w:lang w:eastAsia="zh-CN"/>
              </w:rPr>
              <w:t>步骤说明</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根据人员需求计划、人员调整计划和岗位描述与相关部门协调确定每一轮面试的内容、时间、地点、参加人数和筛选人数</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拟定招聘宣传稿，内容包括招聘原因、空缺岗位、人数、岗位职责、职务、初步薪酬（根据薪酬福利计划）及能力模型、具体要求等，并提交人力资源部人事主管审批</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人力资源部人事主管</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对招聘宣传材料所包含信息的完全性、准确性以及与公司风格的一致性进行审核</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如果人事主管不同意该项招聘宣传资料内容，则招聘管理员修改招聘宣传稿</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如果经理同意该项招聘宣传资料，则招聘管理员在神马报、神马电视台、宣传栏等内部宣传媒介上发布招聘广告</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strike/>
                <w:lang w:eastAsia="zh-CN"/>
              </w:rPr>
            </w:pPr>
            <w:r>
              <w:rPr>
                <w:lang w:eastAsia="zh-CN"/>
              </w:rPr>
              <w:t>接待应聘者，收集应聘材料，要求所有应聘者填写统一的应聘登记表，提交相关应聘材料，查询员工信息档案库，寻找应聘者的员工信息，以便对应聘人员信息的真实性和完整性作初步鉴定</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strike/>
                <w:lang w:eastAsia="zh-CN"/>
              </w:rPr>
            </w:pPr>
            <w:r>
              <w:rPr>
                <w:strike/>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根据岗位描述和公司用人标准，针对资历条件对报名人员进行初选</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如果初试不通过，则在一周内将信息反馈应聘者，结束对该应聘者的招聘工作</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如果初试通过，则汇总初选合格名单，通知初选合格人员参加面试的时间、地点，进入招聘面试流程，汇总面试合格名单</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pPr>
            <w:r>
              <w:rPr>
                <w:lang w:eastAsia="zh-CN"/>
              </w:rPr>
              <w:t>根据面试结果，向面试合格员工所在部门发出员工内部调动申请表，并通知调出部门填写调出意见，通知调入部门</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调出部门经理</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出具员工调出意见</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各调出部门</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对于同意调动的员工，转步骤</w:t>
            </w:r>
            <w:r>
              <w:rPr>
                <w:lang w:eastAsia="zh-CN"/>
              </w:rPr>
              <w:t>9.2</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各调出部门</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如果调出部门不同意员工调出，反馈人力资源部</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人力资源部经理</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人力资源经理与调出调入部门经理协调商定处理办法并提交总经理</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总经理</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总经理审批内部调动申请表，对是否调动作出最终决定</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人力资源部招聘管理员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如果总经理不同意员工调动，回复调入部门通知员工，对招聘不足的岗位进行社会招聘</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人力资源部劳动用工管理员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对于同意调动的员工，劳动用工管理员开具员工内部调动通知单，填写员工调动的时间、调出部门止薪日期、调入部门起薪日期、调动前该员工工资水平和调动后工资水平</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人力资源部绩效薪酬主管</w:t>
            </w:r>
          </w:p>
          <w:p>
            <w:pPr>
              <w:pStyle w:val="Style6"/>
              <w:numPr>
                <w:ilvl w:val="0"/>
                <w:numId w:val="0"/>
              </w:numPr>
              <w:spacing w:before="120" w:after="120"/>
              <w:ind w:start="0" w:hanging="0"/>
              <w:rPr>
                <w:lang w:eastAsia="zh-CN"/>
              </w:rPr>
            </w:pPr>
            <w:r>
              <w:rPr>
                <w:lang w:eastAsia="zh-CN"/>
              </w:rPr>
              <w:t>人力资源部经理</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人力资源部绩效薪酬主管查看调动时间、调动前后薪资水平的准确性，并交人力资源部经理在内部调动通知单上签字</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人力资源部劳动用工管理员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将员工内部调动通知单下发到调出部门和调入部门，人力资源部留存一份</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各调出部门</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收到员工内部调动通知单后，拟定调出员工工作及物品移交清单，通知调出员工办理移交手续</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员工</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员工办理工作交接及物品移交手续，签署员工离职会签单</w:t>
            </w:r>
          </w:p>
        </w:tc>
      </w:tr>
      <w:tr>
        <w:trPr>
          <w:trHeight w:val="1130" w:hRule="atLeast"/>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人力资源部劳动用工管理员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 xml:space="preserve">根据员工离职会签单办理调动手续 </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人力资源部薪资管理员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根据公司的薪酬福利计划和员工调入岗位级别决定是否调整员工工资，如需调整，则开具员工调资表</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人力资源部绩效薪酬主管</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审核员工调资表的准确性以及与公司薪酬福利计划的一致性，并出具同意或调整的意见</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人力资源部绩效薪酬主管</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如果人力资源部绩效薪酬主管认可员工调资表，则交薪资管理员调整社保信息</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1"/>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人力资源部薪资管理员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如果人力资源部绩效薪酬主管不认可员工调资表，则退回薪资管理员重新编制</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人力资源部薪资管理员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根据调动手续更新员工社会保险信息</w:t>
            </w:r>
          </w:p>
        </w:tc>
      </w:tr>
      <w:tr>
        <w:trPr/>
        <w:tc>
          <w:tcPr>
            <w:tcW w:w="900" w:type="dxa"/>
            <w:tcBorders>
              <w:top w:val="single" w:sz="4" w:space="0" w:color="000000"/>
              <w:start w:val="single" w:sz="4" w:space="0" w:color="000000"/>
              <w:bottom w:val="single" w:sz="4" w:space="0" w:color="000000"/>
              <w:end w:val="single" w:sz="4" w:space="0" w:color="000000"/>
            </w:tcBorders>
          </w:tcPr>
          <w:p>
            <w:pPr>
              <w:pStyle w:val="Style6"/>
              <w:numPr>
                <w:ilvl w:val="0"/>
                <w:numId w:val="2"/>
              </w:numPr>
              <w:snapToGrid w:val="false"/>
              <w:spacing w:before="120" w:after="120"/>
              <w:rPr>
                <w:lang w:eastAsia="zh-CN"/>
              </w:rPr>
            </w:pPr>
            <w:r>
              <w:rPr>
                <w:lang w:eastAsia="zh-CN"/>
              </w:rPr>
            </w:r>
          </w:p>
        </w:tc>
        <w:tc>
          <w:tcPr>
            <w:tcW w:w="171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人力资源部人事信息档案管理员</w:t>
            </w:r>
          </w:p>
        </w:tc>
        <w:tc>
          <w:tcPr>
            <w:tcW w:w="6120" w:type="dxa"/>
            <w:tcBorders>
              <w:top w:val="single" w:sz="4" w:space="0" w:color="000000"/>
              <w:start w:val="single" w:sz="4" w:space="0" w:color="000000"/>
              <w:bottom w:val="single" w:sz="4" w:space="0" w:color="000000"/>
              <w:end w:val="single" w:sz="4" w:space="0" w:color="000000"/>
            </w:tcBorders>
          </w:tcPr>
          <w:p>
            <w:pPr>
              <w:pStyle w:val="Style6"/>
              <w:numPr>
                <w:ilvl w:val="0"/>
                <w:numId w:val="0"/>
              </w:numPr>
              <w:spacing w:before="120" w:after="120"/>
              <w:ind w:start="0" w:hanging="0"/>
              <w:rPr>
                <w:lang w:eastAsia="zh-CN"/>
              </w:rPr>
            </w:pPr>
            <w:r>
              <w:rPr>
                <w:lang w:eastAsia="zh-CN"/>
              </w:rPr>
              <w:t>更新员工信息档案库相关信息并存档</w:t>
            </w:r>
          </w:p>
        </w:tc>
      </w:tr>
    </w:tbl>
    <w:p>
      <w:pPr>
        <w:pStyle w:val="Normal"/>
        <w:jc w:val="center"/>
        <w:rPr/>
      </w:pPr>
      <w:r>
        <w:rPr>
          <w:sz w:val="24"/>
        </w:rPr>
        <w:t>查看更多管理制度的相关资料敬请登录：</w:t>
      </w:r>
      <w:hyperlink r:id="rId2">
        <w:r>
          <w:rPr>
            <w:rStyle w:val="InternetLink"/>
            <w:sz w:val="24"/>
          </w:rPr>
          <w:t>www.manaren.com</w:t>
        </w:r>
      </w:hyperlink>
      <w:r>
        <w:rPr>
          <w:sz w:val="24"/>
        </w:rPr>
        <w:t xml:space="preserve"> </w:t>
      </w:r>
    </w:p>
    <w:sectPr>
      <w:headerReference w:type="default" r:id="rId3"/>
      <w:footerReference w:type="default" r:id="rId4"/>
      <w:type w:val="nextPage"/>
      <w:pgSz w:w="11906" w:h="16838"/>
      <w:pgMar w:left="1134" w:right="1134"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Arial Narrow">
    <w:charset w:val="00" w:characterSet="windows-1252"/>
    <w:family w:val="swiss"/>
    <w:pitch w:val="variable"/>
  </w:font>
  <w:font w:name="Monotype Sorts">
    <w:altName w:val="Egoist Corbeau"/>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Cs w:val="24"/>
      </w:rPr>
    </w:pPr>
    <w:r>
      <w:rPr>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decimal"/>
      <w:lvlText w:val="%2"/>
      <w:lvlJc w:val="start"/>
      <w:pPr>
        <w:tabs>
          <w:tab w:val="num" w:pos="576"/>
        </w:tabs>
        <w:ind w:start="576" w:hanging="576"/>
      </w:pPr>
      <w:rPr>
        <w:sz w:val="24"/>
        <w:i w:val="false"/>
        <w:b/>
        <w:rFonts w:ascii="SimHei" w:hAnsi="SimHei" w:eastAsia="黑体" w:cs="SimHei"/>
      </w:rPr>
    </w:lvl>
    <w:lvl w:ilvl="2">
      <w:start w:val="1"/>
      <w:pStyle w:val="Heading3"/>
      <w:numFmt w:val="decimal"/>
      <w:lvlText w:val="%1%2.%3"/>
      <w:lvlJc w:val="start"/>
      <w:pPr>
        <w:tabs>
          <w:tab w:val="num" w:pos="576"/>
        </w:tabs>
        <w:ind w:start="576" w:hanging="576"/>
      </w:pPr>
      <w:rPr>
        <w:sz w:val="24"/>
        <w:i w:val="false"/>
        <w:b w:val="false"/>
        <w:rFonts w:ascii="SimHei" w:hAnsi="SimHei" w:eastAsia="黑体" w:cs="SimHei"/>
      </w:rPr>
    </w:lvl>
    <w:lvl w:ilvl="3">
      <w:start w:val="1"/>
      <w:pStyle w:val="Heading4"/>
      <w:numFmt w:val="bullet"/>
      <w:lvlText w:val=""/>
      <w:lvlJc w:val="start"/>
      <w:pPr>
        <w:tabs>
          <w:tab w:val="num" w:pos="1224"/>
        </w:tabs>
        <w:ind w:start="1224" w:hanging="648"/>
      </w:pPr>
      <w:rPr>
        <w:rFonts w:ascii="SimHei" w:hAnsi="SimHei" w:eastAsia="黑体" w:cs="SimHei"/>
        <w:sz w:val="24"/>
        <w:i w:val="false"/>
        <w:b w:val="false"/>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504"/>
        </w:tabs>
        <w:ind w:start="504" w:hanging="504"/>
      </w:pPr>
      <w:rPr/>
    </w:lvl>
    <w:lvl w:ilvl="1">
      <w:start w:val="1"/>
      <w:numFmt w:val="decimal"/>
      <w:lvlText w:val="%1.%2"/>
      <w:lvlJc w:val="start"/>
      <w:pPr>
        <w:tabs>
          <w:tab w:val="num" w:pos="504"/>
        </w:tabs>
        <w:ind w:start="504" w:hanging="504"/>
      </w:pPr>
      <w:rPr/>
    </w:lvl>
    <w:lvl w:ilvl="2">
      <w:start w:val="1"/>
      <w:numFmt w:val="decimal"/>
      <w:lvlText w:val="%1.%2.%3"/>
      <w:lvlJc w:val="start"/>
      <w:pPr>
        <w:tabs>
          <w:tab w:val="num" w:pos="1512"/>
        </w:tabs>
        <w:ind w:start="1512" w:hanging="1512"/>
      </w:pPr>
      <w:rPr/>
    </w:lvl>
    <w:lvl w:ilvl="3">
      <w:start w:val="1"/>
      <w:numFmt w:val="decimal"/>
      <w:lvlText w:val="%1.%2.%3.%4"/>
      <w:lvlJc w:val="start"/>
      <w:pPr>
        <w:tabs>
          <w:tab w:val="num" w:pos="2232"/>
        </w:tabs>
        <w:ind w:start="2232" w:hanging="2232"/>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1">
    <w:name w:val="Heading 1"/>
    <w:basedOn w:val="Normal"/>
    <w:next w:val="Normal"/>
    <w:qFormat/>
    <w:pPr>
      <w:keepNext w:val="true"/>
      <w:keepLines/>
      <w:shd w:fill="FFFFFF" w:val="clear"/>
      <w:tabs>
        <w:tab w:val="clear" w:pos="420"/>
        <w:tab w:val="left" w:pos="1134" w:leader="none"/>
      </w:tabs>
      <w:spacing w:lineRule="atLeast" w:line="300" w:before="120" w:after="120"/>
      <w:jc w:val="center"/>
      <w:outlineLvl w:val="0"/>
    </w:pPr>
    <w:rPr>
      <w:rFonts w:ascii="SimHei" w:hAnsi="SimHei" w:eastAsia="黑体" w:cs="SimHei"/>
      <w:b/>
      <w:kern w:val="0"/>
      <w:sz w:val="28"/>
      <w:szCs w:val="20"/>
    </w:rPr>
  </w:style>
  <w:style w:type="paragraph" w:styleId="Heading2">
    <w:name w:val="Heading 2"/>
    <w:basedOn w:val="Normal"/>
    <w:next w:val="Normal"/>
    <w:qFormat/>
    <w:pPr>
      <w:keepNext w:val="true"/>
      <w:keepLines/>
      <w:widowControl/>
      <w:numPr>
        <w:ilvl w:val="1"/>
        <w:numId w:val="1"/>
      </w:numPr>
      <w:tabs>
        <w:tab w:val="clear" w:pos="420"/>
        <w:tab w:val="left" w:pos="576" w:leader="none"/>
        <w:tab w:val="left" w:pos="1134" w:leader="none"/>
      </w:tabs>
      <w:spacing w:lineRule="auto" w:line="360" w:before="240" w:after="120"/>
      <w:jc w:val="start"/>
      <w:outlineLvl w:val="1"/>
    </w:pPr>
    <w:rPr>
      <w:rFonts w:ascii="SimHei" w:hAnsi="SimHei" w:eastAsia="黑体" w:cs="SimHei"/>
      <w:b/>
      <w:kern w:val="0"/>
      <w:sz w:val="24"/>
      <w:szCs w:val="20"/>
    </w:rPr>
  </w:style>
  <w:style w:type="paragraph" w:styleId="Heading3">
    <w:name w:val="Heading 3"/>
    <w:basedOn w:val="Normal"/>
    <w:next w:val="Normal"/>
    <w:qFormat/>
    <w:pPr>
      <w:keepNext w:val="true"/>
      <w:keepLines/>
      <w:widowControl/>
      <w:numPr>
        <w:ilvl w:val="2"/>
        <w:numId w:val="1"/>
      </w:numPr>
      <w:tabs>
        <w:tab w:val="clear" w:pos="420"/>
        <w:tab w:val="left" w:pos="576" w:leader="none"/>
        <w:tab w:val="left" w:pos="1134" w:leader="none"/>
      </w:tabs>
      <w:spacing w:lineRule="auto" w:line="360" w:before="120" w:after="120"/>
      <w:jc w:val="start"/>
      <w:outlineLvl w:val="2"/>
    </w:pPr>
    <w:rPr>
      <w:rFonts w:ascii="SimHei" w:hAnsi="SimHei" w:eastAsia="黑体" w:cs="SimHei"/>
      <w:kern w:val="0"/>
      <w:sz w:val="24"/>
      <w:szCs w:val="20"/>
    </w:rPr>
  </w:style>
  <w:style w:type="paragraph" w:styleId="Heading4">
    <w:name w:val="Heading 4"/>
    <w:basedOn w:val="Normal"/>
    <w:next w:val="Normal"/>
    <w:qFormat/>
    <w:pPr>
      <w:keepNext w:val="true"/>
      <w:keepLines/>
      <w:widowControl/>
      <w:numPr>
        <w:ilvl w:val="3"/>
        <w:numId w:val="1"/>
      </w:numPr>
      <w:tabs>
        <w:tab w:val="clear" w:pos="420"/>
        <w:tab w:val="left" w:pos="1224" w:leader="none"/>
      </w:tabs>
      <w:spacing w:lineRule="auto" w:line="360" w:before="240" w:after="60"/>
      <w:jc w:val="start"/>
      <w:outlineLvl w:val="3"/>
    </w:pPr>
    <w:rPr>
      <w:rFonts w:ascii="SimHei" w:hAnsi="SimHei" w:eastAsia="黑体" w:cs="SimHei"/>
      <w:kern w:val="0"/>
      <w:sz w:val="24"/>
      <w:szCs w:val="20"/>
    </w:rPr>
  </w:style>
  <w:style w:type="paragraph" w:styleId="Heading5">
    <w:name w:val="Heading 5"/>
    <w:basedOn w:val="Normal"/>
    <w:next w:val="Normal"/>
    <w:qFormat/>
    <w:pPr>
      <w:keepNext w:val="true"/>
      <w:keepLines/>
      <w:widowControl/>
      <w:numPr>
        <w:ilvl w:val="4"/>
        <w:numId w:val="1"/>
      </w:numPr>
      <w:tabs>
        <w:tab w:val="clear" w:pos="420"/>
        <w:tab w:val="left" w:pos="1008" w:leader="none"/>
      </w:tabs>
      <w:spacing w:before="120" w:after="120"/>
      <w:jc w:val="center"/>
      <w:outlineLvl w:val="4"/>
    </w:pPr>
    <w:rPr>
      <w:rFonts w:ascii="SimHei" w:hAnsi="SimHei" w:eastAsia="黑体" w:cs="SimHei"/>
      <w:b/>
      <w:color w:val="0000FF"/>
      <w:kern w:val="0"/>
      <w:sz w:val="18"/>
      <w:szCs w:val="20"/>
    </w:rPr>
  </w:style>
  <w:style w:type="paragraph" w:styleId="Heading6">
    <w:name w:val="Heading 6"/>
    <w:basedOn w:val="Normal"/>
    <w:next w:val="Normal"/>
    <w:qFormat/>
    <w:pPr>
      <w:keepNext w:val="true"/>
      <w:keepLines/>
      <w:widowControl/>
      <w:numPr>
        <w:ilvl w:val="5"/>
        <w:numId w:val="1"/>
      </w:numPr>
      <w:tabs>
        <w:tab w:val="clear" w:pos="420"/>
        <w:tab w:val="left" w:pos="1152" w:leader="none"/>
      </w:tabs>
      <w:spacing w:before="240" w:after="60"/>
      <w:jc w:val="start"/>
      <w:outlineLvl w:val="5"/>
    </w:pPr>
    <w:rPr>
      <w:i/>
      <w:kern w:val="0"/>
      <w:sz w:val="22"/>
      <w:szCs w:val="20"/>
    </w:rPr>
  </w:style>
  <w:style w:type="paragraph" w:styleId="Heading7">
    <w:name w:val="Heading 7"/>
    <w:basedOn w:val="Normal"/>
    <w:next w:val="Normal"/>
    <w:qFormat/>
    <w:pPr>
      <w:keepNext w:val="true"/>
      <w:keepLines/>
      <w:widowControl/>
      <w:numPr>
        <w:ilvl w:val="6"/>
        <w:numId w:val="1"/>
      </w:numPr>
      <w:tabs>
        <w:tab w:val="clear" w:pos="420"/>
        <w:tab w:val="left" w:pos="1296" w:leader="none"/>
      </w:tabs>
      <w:spacing w:before="240" w:after="60"/>
      <w:jc w:val="start"/>
      <w:outlineLvl w:val="6"/>
    </w:pPr>
    <w:rPr>
      <w:rFonts w:ascii="SimHei" w:hAnsi="SimHei" w:eastAsia="黑体" w:cs="SimHei"/>
      <w:kern w:val="0"/>
      <w:sz w:val="20"/>
      <w:szCs w:val="20"/>
    </w:rPr>
  </w:style>
  <w:style w:type="paragraph" w:styleId="Heading8">
    <w:name w:val="Heading 8"/>
    <w:basedOn w:val="Normal"/>
    <w:next w:val="Normal"/>
    <w:qFormat/>
    <w:pPr>
      <w:keepNext w:val="true"/>
      <w:keepLines/>
      <w:widowControl/>
      <w:numPr>
        <w:ilvl w:val="7"/>
        <w:numId w:val="1"/>
      </w:numPr>
      <w:tabs>
        <w:tab w:val="clear" w:pos="420"/>
        <w:tab w:val="left" w:pos="1440" w:leader="none"/>
      </w:tabs>
      <w:spacing w:before="240" w:after="60"/>
      <w:jc w:val="start"/>
      <w:outlineLvl w:val="7"/>
    </w:pPr>
    <w:rPr>
      <w:rFonts w:ascii="SimHei" w:hAnsi="SimHei" w:eastAsia="黑体" w:cs="SimHei"/>
      <w:i/>
      <w:kern w:val="0"/>
      <w:sz w:val="20"/>
      <w:szCs w:val="20"/>
    </w:rPr>
  </w:style>
  <w:style w:type="paragraph" w:styleId="Heading9">
    <w:name w:val="Heading 9"/>
    <w:basedOn w:val="Normal"/>
    <w:next w:val="Normal"/>
    <w:qFormat/>
    <w:pPr>
      <w:keepNext w:val="true"/>
      <w:keepLines/>
      <w:widowControl/>
      <w:numPr>
        <w:ilvl w:val="8"/>
        <w:numId w:val="1"/>
      </w:numPr>
      <w:tabs>
        <w:tab w:val="clear" w:pos="420"/>
        <w:tab w:val="left" w:pos="1584" w:leader="none"/>
      </w:tabs>
      <w:spacing w:before="240" w:after="60"/>
      <w:jc w:val="start"/>
      <w:outlineLvl w:val="8"/>
    </w:pPr>
    <w:rPr>
      <w:rFonts w:ascii="SimHei" w:hAnsi="SimHei" w:eastAsia="黑体" w:cs="SimHei"/>
      <w:b/>
      <w:i/>
      <w:kern w:val="0"/>
      <w:sz w:val="18"/>
      <w:szCs w:val="20"/>
    </w:rPr>
  </w:style>
  <w:style w:type="character" w:styleId="WW8Num1z0">
    <w:name w:val="WW8Num1z0"/>
    <w:qFormat/>
    <w:rPr>
      <w:rFonts w:ascii="SimHei" w:hAnsi="SimHei" w:eastAsia="黑体" w:cs="SimHei"/>
      <w:b/>
      <w:i w:val="false"/>
      <w:sz w:val="28"/>
    </w:rPr>
  </w:style>
  <w:style w:type="character" w:styleId="WW8Num1z1">
    <w:name w:val="WW8Num1z1"/>
    <w:qFormat/>
    <w:rPr>
      <w:rFonts w:ascii="SimHei" w:hAnsi="SimHei" w:eastAsia="黑体" w:cs="SimHei"/>
      <w:b/>
      <w:i w:val="false"/>
      <w:sz w:val="24"/>
    </w:rPr>
  </w:style>
  <w:style w:type="character" w:styleId="WW8Num1z2">
    <w:name w:val="WW8Num1z2"/>
    <w:qFormat/>
    <w:rPr>
      <w:rFonts w:ascii="SimHei" w:hAnsi="SimHei" w:eastAsia="黑体" w:cs="SimHei"/>
      <w:b w:val="false"/>
      <w:i w:val="false"/>
      <w:sz w:val="24"/>
    </w:rPr>
  </w:style>
  <w:style w:type="character" w:styleId="WW8Num1z3">
    <w:name w:val="WW8Num1z3"/>
    <w:qFormat/>
    <w:rPr>
      <w:rFonts w:ascii="SimHei" w:hAnsi="SimHei" w:eastAsia="黑体" w:cs="SimHei"/>
      <w:b w:val="false"/>
      <w:i w:val="false"/>
      <w:sz w:val="24"/>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3">
    <w:name w:val="WW8Num2z3"/>
    <w:qFormat/>
    <w:rPr/>
  </w:style>
  <w:style w:type="character" w:styleId="Style5">
    <w:name w:val="默认段落字体"/>
    <w:qFormat/>
    <w:rPr/>
  </w:style>
  <w:style w:type="character" w:styleId="InternetLink">
    <w:name w:val="Hyperlink"/>
    <w:basedOn w:val="Style5"/>
    <w:rPr>
      <w:color w:val="0000FF"/>
      <w:u w:val="single"/>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keepNext w:val="true"/>
      <w:keepLines/>
      <w:widowControl/>
      <w:tabs>
        <w:tab w:val="clear" w:pos="420"/>
        <w:tab w:val="left" w:pos="1134" w:leader="none"/>
      </w:tabs>
      <w:spacing w:lineRule="auto" w:line="360" w:before="240" w:after="120"/>
      <w:jc w:val="center"/>
    </w:pPr>
    <w:rPr>
      <w:rFonts w:ascii="SimHei" w:hAnsi="SimHei" w:eastAsia="黑体" w:cs="SimHei"/>
      <w:b/>
      <w:kern w:val="0"/>
      <w:sz w:val="24"/>
      <w:szCs w:val="20"/>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6">
    <w:name w:val="列表项目符号"/>
    <w:basedOn w:val="Normal"/>
    <w:qFormat/>
    <w:pPr>
      <w:keepNext w:val="true"/>
      <w:keepLines/>
      <w:widowControl/>
      <w:numPr>
        <w:ilvl w:val="0"/>
        <w:numId w:val="2"/>
      </w:numPr>
      <w:tabs>
        <w:tab w:val="clear" w:pos="420"/>
        <w:tab w:val="left" w:pos="284" w:leader="none"/>
        <w:tab w:val="left" w:pos="504" w:leader="none"/>
        <w:tab w:val="left" w:pos="1134" w:leader="none"/>
      </w:tabs>
      <w:spacing w:lineRule="auto" w:line="360" w:before="120" w:after="120"/>
      <w:jc w:val="start"/>
    </w:pPr>
    <w:rPr>
      <w:rFonts w:ascii="SimHei" w:hAnsi="SimHei" w:eastAsia="黑体" w:cs="SimHei"/>
      <w:kern w:val="0"/>
      <w:sz w:val="24"/>
      <w:szCs w:val="20"/>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nare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2006-03-15T02:49:00Z</dcterms:created>
  <dc:creator>cai.zhu</dc:creator>
  <dc:description/>
  <cp:keywords> </cp:keywords>
  <dc:language>en-US</dc:language>
  <cp:lastModifiedBy>zj.fanhm</cp:lastModifiedBy>
  <dcterms:modified xsi:type="dcterms:W3CDTF">2018-04-18T15:31:00Z</dcterms:modified>
  <cp:revision>5</cp:revision>
  <dc:subject/>
  <dc:title>内部招聘管理制度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