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64"/>
          <w:szCs w:val="64"/>
        </w:rPr>
      </w:pPr>
      <w:r>
        <w:rPr>
          <w:rFonts w:ascii="SimHei" w:hAnsi="SimHei" w:eastAsia="黑体" w:cs="SimHei"/>
          <w:b/>
          <w:kern w:val="0"/>
          <w:sz w:val="64"/>
          <w:szCs w:val="64"/>
        </w:rPr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64"/>
          <w:szCs w:val="64"/>
        </w:rPr>
      </w:pPr>
      <w:r>
        <w:rPr>
          <w:rFonts w:ascii="SimHei" w:hAnsi="SimHei" w:eastAsia="黑体" w:cs="SimHei"/>
          <w:b/>
          <w:kern w:val="0"/>
          <w:sz w:val="64"/>
          <w:szCs w:val="64"/>
        </w:rPr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64"/>
          <w:szCs w:val="64"/>
        </w:rPr>
      </w:pPr>
      <w:r>
        <w:rPr>
          <w:rFonts w:ascii="SimHei" w:hAnsi="SimHei" w:eastAsia="黑体" w:cs="SimHei"/>
          <w:b/>
          <w:kern w:val="0"/>
          <w:sz w:val="64"/>
          <w:szCs w:val="64"/>
        </w:rPr>
        <w:t>XXX</w:t>
      </w:r>
      <w:r>
        <w:rPr>
          <w:rFonts w:ascii="SimHei" w:hAnsi="SimHei" w:eastAsia="黑体" w:cs="SimHei"/>
          <w:b/>
          <w:kern w:val="0"/>
          <w:sz w:val="64"/>
          <w:szCs w:val="64"/>
        </w:rPr>
        <w:t>科技公司</w:t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20"/>
          <w:szCs w:val="20"/>
        </w:rPr>
      </w:pPr>
      <w:r>
        <w:rPr>
          <w:rFonts w:ascii="SimHei" w:hAnsi="SimHei" w:eastAsia="黑体" w:cs="SimHei"/>
          <w:b/>
          <w:kern w:val="0"/>
          <w:sz w:val="20"/>
          <w:szCs w:val="20"/>
        </w:rPr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64"/>
          <w:szCs w:val="64"/>
        </w:rPr>
      </w:pPr>
      <w:r>
        <w:rPr>
          <w:rFonts w:ascii="SimHei" w:hAnsi="SimHei" w:eastAsia="黑体" w:cs="SimHei"/>
          <w:b/>
          <w:kern w:val="0"/>
          <w:sz w:val="64"/>
          <w:szCs w:val="64"/>
        </w:rPr>
        <w:t>招聘录用管理办法</w:t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b/>
          <w:b/>
          <w:kern w:val="0"/>
          <w:sz w:val="24"/>
          <w:szCs w:val="64"/>
        </w:rPr>
      </w:pPr>
      <w:r>
        <w:rPr>
          <w:rFonts w:ascii="SimHei" w:hAnsi="SimHei" w:eastAsia="黑体" w:cs="SimHei"/>
          <w:b/>
          <w:kern w:val="0"/>
          <w:sz w:val="24"/>
          <w:szCs w:val="64"/>
        </w:rPr>
      </w:r>
    </w:p>
    <w:p>
      <w:pPr>
        <w:pStyle w:val="Normal"/>
        <w:ind w:start="420" w:hanging="0"/>
        <w:jc w:val="center"/>
        <w:rPr>
          <w:rFonts w:ascii="SimHei" w:hAnsi="SimHei" w:eastAsia="黑体" w:cs="SimHei"/>
          <w:sz w:val="24"/>
        </w:rPr>
      </w:pPr>
      <w:r>
        <w:rPr>
          <w:rFonts w:ascii="SimHei" w:hAnsi="SimHei" w:eastAsia="黑体" w:cs="SimHei"/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ind w:start="42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start="42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start="42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start="42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420" w:hanging="0"/>
        <w:jc w:val="center"/>
        <w:rPr/>
      </w:pPr>
      <w:r>
        <w:rPr/>
        <w:t>目</w:t>
      </w:r>
      <w:r>
        <w:rPr>
          <w:rFonts w:ascii="SimHei" w:hAnsi="SimHei" w:eastAsia="黑体" w:cs="SimHei"/>
        </w:rPr>
        <w:t xml:space="preserve">   </w:t>
      </w:r>
      <w:r>
        <w:rPr/>
        <w:t>录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r>
            <w:fldChar w:fldCharType="begin"/>
          </w:r>
          <w:r>
            <w:rPr>
              <w:rStyle w:val="IndexLink"/>
              <w:sz w:val="28"/>
              <w:szCs w:val="32"/>
              <w:bCs/>
              <w:lang w:val="en-US" w:eastAsia="en-US"/>
            </w:rPr>
            <w:instrText> TOC \o "1-3" \h \z </w:instrText>
          </w:r>
          <w:r>
            <w:rPr>
              <w:rStyle w:val="IndexLink"/>
              <w:sz w:val="28"/>
              <w:szCs w:val="32"/>
              <w:bCs/>
              <w:lang w:val="en-US" w:eastAsia="en-US"/>
            </w:rPr>
            <w:fldChar w:fldCharType="separate"/>
          </w:r>
          <w:hyperlink w:anchor="__RefHeading___Toc79204665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1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目的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66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2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范围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67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3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原则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68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4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进入准则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69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5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退出准则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0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6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交付产品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1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7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本文使用者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2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8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过程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2"/>
            <w:tabs>
              <w:tab w:val="clear" w:pos="420"/>
              <w:tab w:val="left" w:pos="126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3">
            <w:r>
              <w:rPr>
                <w:rStyle w:val="IndexLink"/>
                <w:sz w:val="28"/>
                <w:lang w:val="en-US" w:eastAsia="en-US"/>
              </w:rPr>
              <w:t>8.1</w:t>
              <w:tab/>
            </w:r>
            <w:r>
              <w:rPr>
                <w:rStyle w:val="IndexLink"/>
                <w:sz w:val="28"/>
                <w:lang w:val="en-US" w:eastAsia="en-US"/>
              </w:rPr>
              <w:t>阶段</w:t>
            </w:r>
            <w:r>
              <w:rPr>
                <w:rStyle w:val="IndexLink"/>
                <w:sz w:val="28"/>
                <w:lang w:val="en-US" w:eastAsia="en-US"/>
              </w:rPr>
              <w:tab/>
              <w:t>4</w:t>
            </w:r>
          </w:hyperlink>
        </w:p>
        <w:p>
          <w:pPr>
            <w:pStyle w:val="Contents2"/>
            <w:tabs>
              <w:tab w:val="clear" w:pos="420"/>
              <w:tab w:val="left" w:pos="126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4">
            <w:r>
              <w:rPr>
                <w:rStyle w:val="IndexLink"/>
                <w:sz w:val="28"/>
                <w:lang w:val="en-US" w:eastAsia="en-US"/>
              </w:rPr>
              <w:t>8.2</w:t>
              <w:tab/>
            </w:r>
            <w:r>
              <w:rPr>
                <w:rStyle w:val="IndexLink"/>
                <w:sz w:val="28"/>
                <w:lang w:val="en-US" w:eastAsia="en-US"/>
              </w:rPr>
              <w:t>描述</w:t>
            </w:r>
            <w:r>
              <w:rPr>
                <w:rStyle w:val="IndexLink"/>
                <w:sz w:val="28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5">
            <w:r>
              <w:rPr>
                <w:rStyle w:val="IndexLink"/>
                <w:sz w:val="28"/>
                <w:szCs w:val="30"/>
                <w:lang w:val="en-US" w:eastAsia="en-US"/>
              </w:rPr>
              <w:t>8.2.1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收集简历</w:t>
            </w:r>
            <w:r>
              <w:rPr>
                <w:rStyle w:val="IndexLink"/>
                <w:sz w:val="28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6">
            <w:r>
              <w:rPr>
                <w:rStyle w:val="IndexLink"/>
                <w:sz w:val="28"/>
                <w:szCs w:val="30"/>
                <w:lang w:val="en-US" w:eastAsia="en-US"/>
              </w:rPr>
              <w:t>8.2.2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分析简历</w:t>
            </w:r>
            <w:r>
              <w:rPr>
                <w:rStyle w:val="IndexLink"/>
                <w:sz w:val="28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7">
            <w:r>
              <w:rPr>
                <w:rStyle w:val="IndexLink"/>
                <w:sz w:val="28"/>
                <w:szCs w:val="30"/>
                <w:lang w:val="en-US" w:eastAsia="en-US"/>
              </w:rPr>
              <w:t>8.2.3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工作准备</w:t>
            </w:r>
            <w:r>
              <w:rPr>
                <w:rStyle w:val="IndexLink"/>
                <w:sz w:val="28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8">
            <w:r>
              <w:rPr>
                <w:rStyle w:val="IndexLink"/>
                <w:sz w:val="28"/>
                <w:szCs w:val="30"/>
                <w:lang w:val="en-US" w:eastAsia="en-US"/>
              </w:rPr>
              <w:t>8.2.4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接待应聘者</w:t>
            </w:r>
            <w:r>
              <w:rPr>
                <w:rStyle w:val="IndexLink"/>
                <w:sz w:val="28"/>
                <w:lang w:val="en-US" w:eastAsia="en-US"/>
              </w:rPr>
              <w:tab/>
              <w:t>5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79">
            <w:r>
              <w:rPr>
                <w:rStyle w:val="IndexLink"/>
                <w:sz w:val="28"/>
                <w:szCs w:val="30"/>
                <w:lang w:val="en-US" w:eastAsia="en-US"/>
              </w:rPr>
              <w:t>8.2.5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进行面试</w:t>
            </w:r>
            <w:r>
              <w:rPr>
                <w:rStyle w:val="IndexLink"/>
                <w:sz w:val="28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80">
            <w:r>
              <w:rPr>
                <w:rStyle w:val="IndexLink"/>
                <w:sz w:val="28"/>
                <w:szCs w:val="30"/>
                <w:lang w:val="en-US" w:eastAsia="en-US"/>
              </w:rPr>
              <w:t>8.2.6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面试报告</w:t>
            </w:r>
            <w:r>
              <w:rPr>
                <w:rStyle w:val="IndexLink"/>
                <w:sz w:val="28"/>
                <w:lang w:val="en-US" w:eastAsia="en-US"/>
              </w:rPr>
              <w:tab/>
              <w:t>6</w:t>
            </w:r>
          </w:hyperlink>
        </w:p>
        <w:p>
          <w:pPr>
            <w:pStyle w:val="Contents3"/>
            <w:tabs>
              <w:tab w:val="clear" w:pos="420"/>
              <w:tab w:val="left" w:pos="168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81">
            <w:r>
              <w:rPr>
                <w:rStyle w:val="IndexLink"/>
                <w:sz w:val="28"/>
                <w:szCs w:val="30"/>
                <w:lang w:val="en-US" w:eastAsia="en-US"/>
              </w:rPr>
              <w:t>8.2.7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sz w:val="28"/>
                <w:szCs w:val="30"/>
                <w:lang w:val="en-US" w:eastAsia="en-US"/>
              </w:rPr>
              <w:t>资料入库</w:t>
            </w:r>
            <w:r>
              <w:rPr>
                <w:rStyle w:val="IndexLink"/>
                <w:sz w:val="28"/>
                <w:lang w:val="en-US" w:eastAsia="en-US"/>
              </w:rPr>
              <w:tab/>
              <w:t>6</w:t>
            </w:r>
          </w:hyperlink>
        </w:p>
        <w:p>
          <w:pPr>
            <w:pStyle w:val="Contents1"/>
            <w:tabs>
              <w:tab w:val="left" w:pos="420" w:leader="none"/>
              <w:tab w:val="right" w:pos="8296" w:leader="dot"/>
            </w:tabs>
            <w:rPr>
              <w:sz w:val="28"/>
              <w:lang w:val="en-US" w:eastAsia="en-US"/>
            </w:rPr>
          </w:pPr>
          <w:hyperlink w:anchor="__RefHeading___Toc79204682"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9</w:t>
            </w:r>
            <w:r>
              <w:rPr>
                <w:rStyle w:val="IndexLink"/>
                <w:sz w:val="28"/>
                <w:lang w:val="en-US" w:eastAsia="en-US"/>
              </w:rPr>
              <w:tab/>
            </w:r>
            <w:r>
              <w:rPr>
                <w:rStyle w:val="IndexLink"/>
                <w:bCs/>
                <w:sz w:val="28"/>
                <w:szCs w:val="32"/>
                <w:lang w:val="en-US" w:eastAsia="en-US"/>
              </w:rPr>
              <w:t>附录</w:t>
            </w:r>
            <w:r>
              <w:rPr>
                <w:rStyle w:val="IndexLink"/>
                <w:sz w:val="28"/>
                <w:lang w:val="en-US" w:eastAsia="en-US"/>
              </w:rPr>
              <w:tab/>
              <w:t>6</w:t>
            </w:r>
          </w:hyperlink>
          <w:r>
            <w:rPr>
              <w:rStyle w:val="IndexLink"/>
              <w:sz w:val="28"/>
              <w:lang w:val="en-US" w:eastAsia="en-US"/>
            </w:rPr>
            <w:fldChar w:fldCharType="end"/>
          </w:r>
        </w:p>
      </w:sdtContent>
    </w:sdt>
    <w:p>
      <w:pPr>
        <w:pStyle w:val="Normal"/>
        <w:ind w:start="420" w:hanging="0"/>
        <w:jc w:val="center"/>
        <w:rPr>
          <w:sz w:val="28"/>
          <w:lang w:val="en-US" w:eastAsia="en-US"/>
        </w:rPr>
      </w:pPr>
      <w:r>
        <w:rPr>
          <w:sz w:val="28"/>
          <w:lang w:val="en-US" w:eastAsia="en-US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start="420" w:hanging="0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rPr>
          <w:sz w:val="28"/>
        </w:rPr>
      </w:pPr>
      <w:r>
        <w:rPr>
          <w:sz w:val="28"/>
        </w:rPr>
        <w:t>总则</w:t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4"/>
        </w:rPr>
      </w:pPr>
      <w:r>
        <w:rPr>
          <w:rFonts w:ascii="SimHei" w:hAnsi="SimHei" w:eastAsia="黑体" w:cs="SimHei"/>
          <w:sz w:val="28"/>
          <w:szCs w:val="24"/>
        </w:rPr>
        <w:t>目的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规范公司的招聘工作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保障公司人力资源配置满足公司战略规划和业务发展需求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4"/>
        </w:rPr>
      </w:pPr>
      <w:r>
        <w:rPr>
          <w:rFonts w:ascii="SimHei" w:hAnsi="SimHei" w:eastAsia="黑体" w:cs="SimHei"/>
          <w:sz w:val="28"/>
          <w:szCs w:val="24"/>
        </w:rPr>
        <w:t>原则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计划：依据公司人力资源规划制订招聘计划；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有效：用适用方式选择合适人才；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责任：人力资源部门与用人部门共同承担；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宣传：利用一切机会积极宣传公司；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同化：对新进员工进行同化教育，使其尽快进入工作角色；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1"/>
          <w:lang w:eastAsia="zh-CN"/>
        </w:rPr>
        <w:t>考核：试用期过程中严格考核，保证入司员工素质。</w:t>
      </w:r>
    </w:p>
    <w:p>
      <w:pPr>
        <w:pStyle w:val="TextBody"/>
        <w:spacing w:lineRule="auto" w:line="360" w:before="0" w:after="0"/>
        <w:ind w:start="420" w:hanging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4"/>
        </w:rPr>
      </w:pPr>
      <w:r>
        <w:rPr>
          <w:rFonts w:ascii="SimHei" w:hAnsi="SimHei" w:eastAsia="黑体" w:cs="SimHei"/>
          <w:sz w:val="28"/>
          <w:szCs w:val="24"/>
        </w:rPr>
        <w:t>范围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公司全体员工</w:t>
      </w:r>
    </w:p>
    <w:p>
      <w:pPr>
        <w:pStyle w:val="TextBody"/>
        <w:spacing w:lineRule="auto" w:line="360" w:before="0" w:after="0"/>
        <w:ind w:start="210"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1"/>
        <w:rPr>
          <w:sz w:val="28"/>
        </w:rPr>
      </w:pPr>
      <w:r>
        <w:rPr>
          <w:sz w:val="28"/>
        </w:rPr>
        <w:t>组织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人力资源部门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策划招聘策略；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审核、实施与监控招聘计划；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组织实施招聘活动；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评定招聘人的综合素质；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组织年度总结。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用人部门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拟定与协助实施本部门招聘计划；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评定招聘人的专业素质；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同化新员工。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招聘小组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由人力资源部门牵头组成招聘小组；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完成招聘小组范围内的工作。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参见《招聘小组工作规程》</w:t>
      </w:r>
    </w:p>
    <w:p>
      <w:pPr>
        <w:pStyle w:val="TextBody"/>
        <w:spacing w:lineRule="auto" w:line="360" w:before="0" w:after="0"/>
        <w:ind w:start="210"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1"/>
        <w:rPr>
          <w:sz w:val="28"/>
        </w:rPr>
      </w:pPr>
      <w:r>
        <w:rPr>
          <w:sz w:val="28"/>
        </w:rPr>
        <w:t>流程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 xml:space="preserve">招聘计划  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招聘计划的设计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招聘渠道的选择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 xml:space="preserve">招聘成本的分析  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 xml:space="preserve">招聘流程 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招聘流程的设计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初 选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面试考核及审批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设 计报 酬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反馈及录用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1"/>
          <w:lang w:eastAsia="zh-CN"/>
        </w:rPr>
        <w:t>招聘后续工作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新员工试用考核及同化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招聘评估与检讨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1"/>
        <w:rPr>
          <w:sz w:val="28"/>
          <w:szCs w:val="21"/>
        </w:rPr>
      </w:pPr>
      <w:r>
        <w:rPr>
          <w:sz w:val="28"/>
        </w:rPr>
        <w:t>描述</w:t>
      </w:r>
    </w:p>
    <w:p>
      <w:pPr>
        <w:pStyle w:val="Heading2"/>
        <w:rPr>
          <w:sz w:val="28"/>
        </w:rPr>
      </w:pPr>
      <w:r>
        <w:rPr>
          <w:sz w:val="28"/>
        </w:rPr>
        <w:t>准备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熟悉《公司人力资源年度规划》</w:t>
      </w:r>
    </w:p>
    <w:p>
      <w:pPr>
        <w:pStyle w:val="Style9"/>
        <w:spacing w:lineRule="auto" w:line="24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1"/>
        </w:rPr>
      </w:pPr>
      <w:r>
        <w:rPr>
          <w:sz w:val="28"/>
        </w:rPr>
        <w:t>编制招聘计划</w:t>
      </w:r>
    </w:p>
    <w:p>
      <w:pPr>
        <w:pStyle w:val="Heading3"/>
        <w:spacing w:lineRule="auto" w:line="360"/>
        <w:rPr>
          <w:sz w:val="28"/>
        </w:rPr>
      </w:pPr>
      <w:r>
        <w:rPr>
          <w:sz w:val="28"/>
        </w:rPr>
        <w:t>编制原则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定编原则：是对招聘计划的量的要求。以公司年度人资规划为前提，结合目前在岗数并预测年度内可能出现的内部人员调剂及人员流失，从而规划年度内招聘的规模数；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个岗需要原则：是对招聘计划的质的要求，在《岗位说明书》中明确聘任标准，保证招聘有的放矢，为招聘渠道的选择提供前提；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统一协调原则：人力资源部门对招聘计划进行统筹审核、协调，以保证公司人员发展总体平衡。</w:t>
      </w:r>
    </w:p>
    <w:p>
      <w:pPr>
        <w:pStyle w:val="Heading3"/>
        <w:spacing w:lineRule="auto" w:line="360"/>
        <w:rPr>
          <w:rFonts w:ascii="SimHei" w:hAnsi="SimHei" w:eastAsia="黑体" w:cs="SimHei"/>
          <w:color w:val="000000"/>
          <w:sz w:val="28"/>
          <w:szCs w:val="13"/>
        </w:rPr>
      </w:pPr>
      <w:r>
        <w:rPr>
          <w:rFonts w:ascii="SimHei" w:hAnsi="SimHei" w:eastAsia="黑体" w:cs="SimHei"/>
          <w:color w:val="000000"/>
          <w:sz w:val="28"/>
          <w:szCs w:val="13"/>
        </w:rPr>
        <w:t>编制流程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编制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招聘</w:t>
      </w:r>
      <w:r>
        <w:rPr>
          <w:rFonts w:ascii="SimHei" w:hAnsi="SimHei" w:eastAsia="黑体" w:cs="SimHei"/>
          <w:sz w:val="28"/>
          <w:szCs w:val="21"/>
          <w:lang w:eastAsia="zh-CN"/>
        </w:rPr>
        <w:t>年度计划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各部门编制本部门招聘年度计划，提交人力资源部门审核，并报总经理室分管领导批准；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参见《公司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XXXX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年度招聘计划表》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编制招聘费用计划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人力资源部门负责制订，并报有关领导审批后确定；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参见《公司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XXXX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年度招聘费用计划表》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变更招聘年度计划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如需进行计划外招聘，先由用人部门提出《招聘增设申请表》，交人力资源部门审核，并报总经理室分管领导批准；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根据批准的《招聘增设申请表》由人力资源部门变更《公司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XXXX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年度招聘计划表》，必要时变更《公司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XXXX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年度招聘费用计划表》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参见《招聘增设申请表》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rFonts w:ascii="SimHei" w:hAnsi="SimHei" w:eastAsia="黑体" w:cs="SimHei"/>
          <w:color w:val="000000"/>
          <w:sz w:val="28"/>
          <w:szCs w:val="14"/>
        </w:rPr>
      </w:pPr>
      <w:r>
        <w:rPr>
          <w:sz w:val="28"/>
        </w:rPr>
        <w:t>选择招聘渠道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人力资源部门对招聘渠道进行分析；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根据实际情况选择合适的招聘渠道；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参见《招聘渠道分析与选用》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rFonts w:ascii="SimHei" w:hAnsi="SimHei" w:eastAsia="黑体" w:cs="SimHei"/>
          <w:color w:val="000000"/>
          <w:sz w:val="28"/>
          <w:szCs w:val="13"/>
        </w:rPr>
      </w:pPr>
      <w:r>
        <w:rPr>
          <w:sz w:val="28"/>
        </w:rPr>
        <w:t>发布招聘信息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根据选择的招聘渠道发布招聘信息；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参见《招聘信息发布指南》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sz w:val="28"/>
          <w:szCs w:val="24"/>
        </w:rPr>
      </w:pPr>
      <w:bookmarkStart w:id="0" w:name="__RefHeading___Toc79204675"/>
      <w:bookmarkEnd w:id="0"/>
      <w:r>
        <w:rPr>
          <w:sz w:val="28"/>
        </w:rPr>
        <w:t>收集筛选简历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收集简历并进行初步筛选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将筛选后的简历提交到招聘小组主管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筛选遵循《各岗位任职资格要求》</w:t>
      </w:r>
    </w:p>
    <w:p>
      <w:pPr>
        <w:pStyle w:val="TextBody"/>
        <w:spacing w:lineRule="auto" w:line="360" w:before="0" w:after="0"/>
        <w:ind w:start="420" w:hanging="0"/>
        <w:rPr>
          <w:rFonts w:ascii="SimHei" w:hAnsi="SimHei" w:eastAsia="黑体" w:cs="SimHei"/>
          <w:color w:val="FF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FF0000"/>
          <w:sz w:val="28"/>
          <w:szCs w:val="13"/>
          <w:lang w:eastAsia="zh-CN"/>
        </w:rPr>
      </w:r>
    </w:p>
    <w:p>
      <w:pPr>
        <w:pStyle w:val="Heading2"/>
        <w:rPr>
          <w:sz w:val="28"/>
          <w:szCs w:val="24"/>
        </w:rPr>
      </w:pPr>
      <w:bookmarkStart w:id="1" w:name="__RefHeading___Toc79204676"/>
      <w:bookmarkEnd w:id="1"/>
      <w:r>
        <w:rPr>
          <w:sz w:val="28"/>
        </w:rPr>
        <w:t>分析简历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招聘小组对简历进行分析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将侯选者名单提交到面试安排者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分析遵循《应聘人员简历分析指南》、《各岗位任职资格要求》</w:t>
      </w:r>
    </w:p>
    <w:p>
      <w:pPr>
        <w:pStyle w:val="Style10"/>
        <w:rPr>
          <w:rFonts w:ascii="SimHei" w:hAnsi="SimHei" w:eastAsia="黑体" w:cs="SimHei"/>
          <w:color w:val="FF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FF0000"/>
          <w:sz w:val="28"/>
          <w:szCs w:val="13"/>
          <w:lang w:eastAsia="zh-CN"/>
        </w:rPr>
      </w:r>
    </w:p>
    <w:p>
      <w:pPr>
        <w:pStyle w:val="Heading2"/>
        <w:rPr>
          <w:sz w:val="28"/>
          <w:szCs w:val="24"/>
        </w:rPr>
      </w:pPr>
      <w:bookmarkStart w:id="2" w:name="__RefHeading___Toc79204677"/>
      <w:bookmarkEnd w:id="2"/>
      <w:r>
        <w:rPr>
          <w:sz w:val="28"/>
        </w:rPr>
        <w:t>工作准备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通知侯选人面试（时间、地点）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招聘小组完成《招聘流程》和《面试提问单》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工作遵循《面试安排指南》</w:t>
      </w:r>
    </w:p>
    <w:p>
      <w:pPr>
        <w:pStyle w:val="Style10"/>
        <w:ind w:start="840" w:hanging="0"/>
        <w:rPr>
          <w:sz w:val="28"/>
          <w:lang w:eastAsia="zh-CN"/>
        </w:rPr>
      </w:pPr>
      <w:r>
        <w:rPr>
          <w:sz w:val="28"/>
          <w:lang w:eastAsia="zh-CN"/>
        </w:rPr>
      </w:r>
    </w:p>
    <w:p>
      <w:pPr>
        <w:pStyle w:val="Heading2"/>
        <w:rPr/>
      </w:pPr>
      <w:bookmarkStart w:id="3" w:name="__RefHeading___Toc79204678"/>
      <w:bookmarkEnd w:id="3"/>
      <w:r>
        <w:rPr>
          <w:sz w:val="28"/>
        </w:rPr>
        <w:t>接待应聘者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接待应聘者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填写《应聘人员登记表》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审核个人资料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个人资料审查包括：个人基本情况、个人资历、证件、毕业证、学位证、各种资格证书、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工作遵循《面试安排指南》</w:t>
      </w:r>
    </w:p>
    <w:p>
      <w:pPr>
        <w:pStyle w:val="Style10"/>
        <w:ind w:start="840" w:hanging="0"/>
        <w:rPr>
          <w:sz w:val="28"/>
          <w:lang w:eastAsia="zh-CN"/>
        </w:rPr>
      </w:pPr>
      <w:r>
        <w:rPr>
          <w:sz w:val="28"/>
          <w:lang w:eastAsia="zh-CN"/>
        </w:rPr>
      </w:r>
    </w:p>
    <w:p>
      <w:pPr>
        <w:pStyle w:val="Heading2"/>
        <w:rPr>
          <w:sz w:val="28"/>
        </w:rPr>
      </w:pPr>
      <w:r>
        <w:rPr>
          <w:sz w:val="28"/>
        </w:rPr>
        <w:t>进行笔试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sz w:val="28"/>
          <w:lang w:eastAsia="zh-CN"/>
        </w:rPr>
        <w:t>发放笔试试卷进行考试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sz w:val="28"/>
          <w:lang w:eastAsia="zh-CN"/>
        </w:rPr>
        <w:t>参见《岗位入职考试试卷编制指南》、《岗位入职考试试卷库建立指南》</w:t>
      </w:r>
    </w:p>
    <w:p>
      <w:pPr>
        <w:pStyle w:val="Style10"/>
        <w:ind w:start="840" w:hanging="0"/>
        <w:rPr>
          <w:sz w:val="28"/>
          <w:lang w:eastAsia="zh-CN"/>
        </w:rPr>
      </w:pPr>
      <w:r>
        <w:rPr>
          <w:sz w:val="28"/>
          <w:lang w:eastAsia="zh-CN"/>
        </w:rPr>
      </w:r>
    </w:p>
    <w:p>
      <w:pPr>
        <w:pStyle w:val="Heading2"/>
        <w:rPr>
          <w:sz w:val="28"/>
          <w:szCs w:val="24"/>
        </w:rPr>
      </w:pPr>
      <w:bookmarkStart w:id="4" w:name="__RefHeading___Toc79204679"/>
      <w:bookmarkEnd w:id="4"/>
      <w:r>
        <w:rPr>
          <w:sz w:val="28"/>
        </w:rPr>
        <w:t>进行面试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进行面谈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填写《面试记录》、《应聘人员登记表》面试意见部分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工作遵循《面试安排指南》</w:t>
      </w:r>
    </w:p>
    <w:p>
      <w:pPr>
        <w:pStyle w:val="TextBody"/>
        <w:spacing w:lineRule="auto" w:line="360" w:before="0" w:after="0"/>
        <w:ind w:start="420" w:hanging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sz w:val="28"/>
        </w:rPr>
      </w:pPr>
      <w:r>
        <w:rPr>
          <w:sz w:val="28"/>
        </w:rPr>
        <w:t>进行复试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sz w:val="28"/>
          <w:lang w:eastAsia="zh-CN"/>
        </w:rPr>
        <w:t>复试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sz w:val="28"/>
          <w:lang w:eastAsia="zh-CN"/>
        </w:rPr>
        <w:t>背景核实</w:t>
      </w:r>
    </w:p>
    <w:p>
      <w:pPr>
        <w:pStyle w:val="Style10"/>
        <w:ind w:start="420" w:hanging="0"/>
        <w:rPr>
          <w:sz w:val="28"/>
          <w:lang w:eastAsia="zh-CN"/>
        </w:rPr>
      </w:pPr>
      <w:r>
        <w:rPr>
          <w:sz w:val="28"/>
          <w:lang w:eastAsia="zh-CN"/>
        </w:rPr>
      </w:r>
    </w:p>
    <w:p>
      <w:pPr>
        <w:pStyle w:val="Heading2"/>
        <w:rPr>
          <w:rFonts w:ascii="SimHei" w:hAnsi="SimHei" w:eastAsia="黑体" w:cs="SimHei"/>
          <w:vanish/>
          <w:color w:val="000000"/>
          <w:sz w:val="28"/>
          <w:szCs w:val="13"/>
        </w:rPr>
      </w:pPr>
      <w:r>
        <w:rPr>
          <w:sz w:val="28"/>
        </w:rPr>
        <w:t>报批录用</w:t>
      </w:r>
    </w:p>
    <w:p>
      <w:pPr>
        <w:pStyle w:val="Normal"/>
        <w:jc w:val="center"/>
        <w:rPr>
          <w:rFonts w:ascii="SimHei" w:hAnsi="SimHei" w:eastAsia="黑体" w:cs="SimHei"/>
          <w:vanish/>
          <w:color w:val="000000"/>
          <w:sz w:val="28"/>
          <w:szCs w:val="13"/>
        </w:rPr>
      </w:pPr>
      <w:r>
        <w:rPr>
          <w:rFonts w:ascii="SimHei" w:hAnsi="SimHei" w:eastAsia="黑体" w:cs="SimHei"/>
          <w:vanish/>
          <w:color w:val="000000"/>
          <w:sz w:val="28"/>
          <w:szCs w:val="13"/>
        </w:rPr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人力资源部门对拟录用名单进行报批；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人力资源部门统一通知录用人员，发放《录用通知书》或电话通知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参见《录用通知书》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（应包含：试用时间、试用岗位、员工入司须知、公司路线、交通介绍等）</w:t>
      </w:r>
    </w:p>
    <w:p>
      <w:pPr>
        <w:pStyle w:val="Style10"/>
        <w:ind w:start="420" w:hanging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rFonts w:ascii="SimHei" w:hAnsi="SimHei" w:eastAsia="黑体" w:cs="SimHei"/>
          <w:color w:val="000000"/>
          <w:sz w:val="28"/>
          <w:szCs w:val="13"/>
        </w:rPr>
      </w:pPr>
      <w:r>
        <w:rPr>
          <w:sz w:val="28"/>
          <w:szCs w:val="24"/>
        </w:rPr>
        <w:t>入职安排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审核证书原件、组织体检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证件复印件、体检表等存档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签订《试用期劳动合同》、《保密协议》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人力资源部门签发《上岗通知书》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办公设备安排（电脑、办公用品、考勤卡等）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行政后勤安排（宿舍安排等）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参见《员工入职安排跟踪表》</w:t>
      </w:r>
    </w:p>
    <w:p>
      <w:pPr>
        <w:pStyle w:val="Style10"/>
        <w:ind w:start="420" w:hanging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rFonts w:ascii="SimHei" w:hAnsi="SimHei" w:eastAsia="黑体" w:cs="SimHei"/>
          <w:color w:val="000000"/>
          <w:sz w:val="28"/>
          <w:szCs w:val="13"/>
        </w:rPr>
      </w:pPr>
      <w:r>
        <w:rPr>
          <w:sz w:val="28"/>
          <w:szCs w:val="24"/>
        </w:rPr>
        <w:t>试用期使用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4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试用期期限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试用期一般为</w:t>
      </w:r>
      <w:r>
        <w:rPr>
          <w:rFonts w:ascii="SimHei" w:hAnsi="SimHei" w:eastAsia="黑体" w:cs="SimHei"/>
          <w:sz w:val="28"/>
          <w:szCs w:val="21"/>
          <w:lang w:eastAsia="zh-CN"/>
        </w:rPr>
        <w:t>3</w:t>
      </w:r>
      <w:r>
        <w:rPr>
          <w:rFonts w:ascii="SimHei" w:hAnsi="SimHei" w:eastAsia="黑体" w:cs="SimHei"/>
          <w:sz w:val="28"/>
          <w:szCs w:val="21"/>
          <w:lang w:eastAsia="zh-CN"/>
        </w:rPr>
        <w:t>个月。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1"/>
          <w:lang w:eastAsia="zh-CN"/>
        </w:rPr>
        <w:t>特殊情况（试用期少于</w:t>
      </w:r>
      <w:r>
        <w:rPr>
          <w:rFonts w:ascii="SimHei" w:hAnsi="SimHei" w:eastAsia="黑体" w:cs="SimHei"/>
          <w:sz w:val="28"/>
          <w:szCs w:val="21"/>
          <w:lang w:eastAsia="zh-CN"/>
        </w:rPr>
        <w:t>3</w:t>
      </w:r>
      <w:r>
        <w:rPr>
          <w:rFonts w:ascii="SimHei" w:hAnsi="SimHei" w:eastAsia="黑体" w:cs="SimHei"/>
          <w:sz w:val="28"/>
          <w:szCs w:val="21"/>
          <w:lang w:eastAsia="zh-CN"/>
        </w:rPr>
        <w:t>个月或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免试用），由用人部门提出申请，人力资源部门审核</w:t>
      </w:r>
      <w:r>
        <w:rPr>
          <w:rFonts w:ascii="SimHei" w:hAnsi="SimHei" w:eastAsia="黑体" w:cs="SimHei"/>
          <w:sz w:val="28"/>
          <w:szCs w:val="21"/>
          <w:lang w:eastAsia="zh-CN"/>
        </w:rPr>
        <w:t>，总经理批准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4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试用期目标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1"/>
          <w:lang w:eastAsia="zh-CN"/>
        </w:rPr>
        <w:t>所有新员工须以书面形式与直接主管签署经审批后的工作目标，并列为试用期合同的附件。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试用期工作目标由直接主管与人力资源部门审核、审批，人力资源部门备案。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参见《员工试用期目标跟踪表》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4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试用期间待遇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见有关工资的规定和制度。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试用期间培训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由人力资源部门组织，用人部门制定《员工入职培训计划》，对新员工进行同化培训工作。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参见《员工入职培训计划》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4"/>
          <w:lang w:eastAsia="zh-CN"/>
        </w:rPr>
      </w:pPr>
      <w:r>
        <w:rPr>
          <w:rFonts w:ascii="SimHei" w:hAnsi="SimHei" w:eastAsia="黑体" w:cs="SimHei"/>
          <w:sz w:val="28"/>
          <w:szCs w:val="24"/>
          <w:lang w:eastAsia="zh-CN"/>
        </w:rPr>
        <w:t xml:space="preserve"> </w:t>
      </w:r>
      <w:r>
        <w:rPr>
          <w:rFonts w:ascii="SimHei" w:hAnsi="SimHei" w:eastAsia="黑体" w:cs="SimHei"/>
          <w:sz w:val="28"/>
          <w:szCs w:val="24"/>
          <w:lang w:eastAsia="zh-CN"/>
        </w:rPr>
        <w:t>转正安排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4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新员工应于试用期结束前一周填写《员工试用期总结报告》、《转正申请表》，提出转正申请；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所有新员工必须经过转正考核才能成为公司正式员工。</w:t>
      </w:r>
    </w:p>
    <w:p>
      <w:pPr>
        <w:pStyle w:val="TextBody"/>
        <w:numPr>
          <w:ilvl w:val="2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1"/>
          <w:lang w:eastAsia="zh-CN"/>
        </w:rPr>
        <w:t>考核内容：工作态度、工作能力、工作成果、试用期目标完成情况、受培训效果情况。</w:t>
      </w:r>
    </w:p>
    <w:p>
      <w:pPr>
        <w:pStyle w:val="TextBody"/>
        <w:numPr>
          <w:ilvl w:val="2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sz w:val="28"/>
          <w:szCs w:val="24"/>
          <w:lang w:eastAsia="zh-CN"/>
        </w:rPr>
        <w:t>考核</w:t>
      </w:r>
      <w:r>
        <w:rPr>
          <w:rFonts w:ascii="SimHei" w:hAnsi="SimHei" w:eastAsia="黑体" w:cs="SimHei"/>
          <w:sz w:val="28"/>
          <w:szCs w:val="21"/>
          <w:lang w:eastAsia="zh-CN"/>
        </w:rPr>
        <w:t>方式</w:t>
      </w:r>
      <w:r>
        <w:rPr>
          <w:rFonts w:ascii="SimHei" w:hAnsi="SimHei" w:eastAsia="黑体" w:cs="SimHei"/>
          <w:sz w:val="28"/>
          <w:szCs w:val="24"/>
          <w:lang w:eastAsia="zh-CN"/>
        </w:rPr>
        <w:t>：由人力资源部门组织考评小组进行考核。</w:t>
      </w:r>
    </w:p>
    <w:p>
      <w:pPr>
        <w:pStyle w:val="TextBody"/>
        <w:numPr>
          <w:ilvl w:val="2"/>
          <w:numId w:val="2"/>
        </w:numPr>
        <w:spacing w:lineRule="auto" w:line="360" w:before="0" w:after="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转正条件：考核总评分数</w:t>
      </w:r>
      <w:r>
        <w:rPr>
          <w:rFonts w:ascii="SimHei" w:hAnsi="SimHei" w:eastAsia="黑体" w:cs="SimHei"/>
          <w:sz w:val="28"/>
          <w:szCs w:val="21"/>
          <w:lang w:eastAsia="zh-CN"/>
        </w:rPr>
        <w:t>85</w:t>
      </w:r>
      <w:r>
        <w:rPr>
          <w:rFonts w:ascii="SimHei" w:hAnsi="SimHei" w:eastAsia="黑体" w:cs="SimHei"/>
          <w:sz w:val="28"/>
          <w:szCs w:val="21"/>
          <w:lang w:eastAsia="zh-CN"/>
        </w:rPr>
        <w:t>分（含）以上予以转正，特殊情况由总经理审批。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对表现确实优秀并有突出业绩人员，可由所在部门提出提前转正，并交由人力资源部门报批。</w:t>
      </w:r>
    </w:p>
    <w:p>
      <w:pPr>
        <w:pStyle w:val="Style10"/>
        <w:ind w:start="420" w:hanging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2"/>
        <w:rPr>
          <w:rFonts w:ascii="SimHei" w:hAnsi="SimHei" w:eastAsia="黑体" w:cs="SimHei"/>
          <w:color w:val="000000"/>
          <w:sz w:val="28"/>
          <w:szCs w:val="13"/>
        </w:rPr>
      </w:pPr>
      <w:r>
        <w:rPr>
          <w:sz w:val="28"/>
          <w:szCs w:val="24"/>
        </w:rPr>
        <w:t>年度总结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对于招聘策略、方向及过程，每年应进行年度检讨，以提高招聘的效率和达到良好的效果。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年度检讨通过年度招聘检讨会的形式进行。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年度检讨会分两步进行；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由各人力资源部门与相关用人部门分别召开本系列招聘检讨会议；</w:t>
      </w:r>
    </w:p>
    <w:p>
      <w:pPr>
        <w:pStyle w:val="TextBody"/>
        <w:numPr>
          <w:ilvl w:val="1"/>
          <w:numId w:val="2"/>
        </w:numPr>
        <w:spacing w:lineRule="auto" w:line="360" w:before="0" w:after="0"/>
        <w:rPr/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各人力资源部门共同召开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“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系统年度招聘检讨会议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”</w:t>
      </w: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。</w:t>
      </w:r>
    </w:p>
    <w:p>
      <w:pPr>
        <w:pStyle w:val="Style10"/>
        <w:ind w:start="420" w:hanging="0"/>
        <w:rPr>
          <w:rFonts w:ascii="SimHei" w:hAnsi="SimHei" w:eastAsia="黑体" w:cs="SimHei"/>
          <w:color w:val="FF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FF0000"/>
          <w:sz w:val="28"/>
          <w:szCs w:val="13"/>
          <w:lang w:eastAsia="zh-CN"/>
        </w:rPr>
      </w:r>
    </w:p>
    <w:p>
      <w:pPr>
        <w:pStyle w:val="Heading2"/>
        <w:rPr>
          <w:sz w:val="28"/>
          <w:szCs w:val="24"/>
        </w:rPr>
      </w:pPr>
      <w:bookmarkStart w:id="5" w:name="__RefHeading___Toc79204681"/>
      <w:bookmarkEnd w:id="5"/>
      <w:r>
        <w:rPr>
          <w:sz w:val="28"/>
          <w:szCs w:val="24"/>
        </w:rPr>
        <w:t>资料入库</w:t>
      </w:r>
    </w:p>
    <w:p>
      <w:pPr>
        <w:pStyle w:val="TextBody"/>
        <w:numPr>
          <w:ilvl w:val="0"/>
          <w:numId w:val="2"/>
        </w:numPr>
        <w:spacing w:lineRule="auto" w:line="360" w:before="0" w:after="0"/>
        <w:rPr>
          <w:sz w:val="28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  <w:t>整理资料并归档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Heading1"/>
        <w:rPr>
          <w:rFonts w:ascii="SimHei" w:hAnsi="SimHei" w:eastAsia="黑体" w:cs="SimHei"/>
          <w:color w:val="000000"/>
          <w:kern w:val="0"/>
          <w:sz w:val="28"/>
          <w:szCs w:val="14"/>
        </w:rPr>
      </w:pPr>
      <w:r>
        <w:rPr>
          <w:sz w:val="28"/>
        </w:rPr>
        <w:t>附则</w:t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4"/>
        </w:rPr>
      </w:pPr>
      <w:r>
        <w:rPr>
          <w:rFonts w:ascii="SimHei" w:hAnsi="SimHei" w:eastAsia="黑体" w:cs="SimHei"/>
          <w:sz w:val="28"/>
          <w:szCs w:val="24"/>
        </w:rPr>
        <w:t>解释权</w:t>
      </w:r>
    </w:p>
    <w:p>
      <w:pPr>
        <w:pStyle w:val="TextBody"/>
        <w:spacing w:lineRule="auto" w:line="360" w:before="0" w:after="0"/>
        <w:ind w:start="210"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本管理办法解释权归</w:t>
      </w:r>
      <w:r>
        <w:rPr>
          <w:rFonts w:ascii="SimHei" w:hAnsi="SimHei" w:eastAsia="黑体" w:cs="SimHei"/>
          <w:sz w:val="28"/>
          <w:szCs w:val="21"/>
          <w:lang w:eastAsia="zh-CN"/>
        </w:rPr>
        <w:t>XX</w:t>
      </w:r>
      <w:r>
        <w:rPr>
          <w:rFonts w:ascii="SimHei" w:hAnsi="SimHei" w:eastAsia="黑体" w:cs="SimHei"/>
          <w:sz w:val="28"/>
          <w:szCs w:val="21"/>
          <w:lang w:eastAsia="zh-CN"/>
        </w:rPr>
        <w:t>部。</w:t>
      </w:r>
    </w:p>
    <w:p>
      <w:pPr>
        <w:pStyle w:val="Heading2"/>
        <w:spacing w:lineRule="auto" w:line="360"/>
        <w:rPr>
          <w:rFonts w:ascii="SimHei" w:hAnsi="SimHei" w:eastAsia="黑体" w:cs="SimHei"/>
          <w:sz w:val="28"/>
          <w:szCs w:val="24"/>
        </w:rPr>
      </w:pPr>
      <w:r>
        <w:rPr>
          <w:rFonts w:ascii="SimHei" w:hAnsi="SimHei" w:eastAsia="黑体" w:cs="SimHei"/>
          <w:sz w:val="28"/>
          <w:szCs w:val="24"/>
        </w:rPr>
        <w:t>生效</w:t>
      </w:r>
    </w:p>
    <w:p>
      <w:pPr>
        <w:pStyle w:val="TextBody"/>
        <w:spacing w:lineRule="auto" w:line="360" w:before="0" w:after="0"/>
        <w:ind w:start="210"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>本管理办法自颁布之日起实行。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13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13"/>
          <w:lang w:eastAsia="zh-CN"/>
        </w:rPr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color w:val="000000"/>
          <w:sz w:val="28"/>
          <w:szCs w:val="21"/>
          <w:lang w:eastAsia="zh-CN"/>
        </w:rPr>
      </w:pPr>
      <w:r>
        <w:rPr>
          <w:rFonts w:ascii="SimHei" w:hAnsi="SimHei" w:eastAsia="黑体" w:cs="SimHei"/>
          <w:color w:val="000000"/>
          <w:sz w:val="28"/>
          <w:szCs w:val="21"/>
          <w:lang w:eastAsia="zh-CN"/>
        </w:rPr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  <w:t xml:space="preserve"> </w:t>
      </w:r>
    </w:p>
    <w:p>
      <w:pPr>
        <w:pStyle w:val="TextBody"/>
        <w:spacing w:lineRule="auto" w:line="360" w:before="0" w:after="0"/>
        <w:ind w:firstLine="560"/>
        <w:rPr>
          <w:rFonts w:ascii="SimHei" w:hAnsi="SimHei" w:eastAsia="黑体" w:cs="SimHei"/>
          <w:sz w:val="28"/>
          <w:szCs w:val="21"/>
          <w:lang w:eastAsia="zh-CN"/>
        </w:rPr>
      </w:pPr>
      <w:r>
        <w:rPr>
          <w:rFonts w:ascii="SimHei" w:hAnsi="SimHei" w:eastAsia="黑体" w:cs="SimHei"/>
          <w:sz w:val="28"/>
          <w:szCs w:val="21"/>
          <w:lang w:eastAsia="zh-CN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华文中宋"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425"/>
        </w:tabs>
        <w:ind w:start="425" w:hanging="425"/>
      </w:pPr>
      <w:rPr/>
    </w:lvl>
    <w:lvl w:ilvl="1">
      <w:start w:val="1"/>
      <w:pStyle w:val="Heading2"/>
      <w:numFmt w:val="decimal"/>
      <w:lvlText w:val="%1.%2"/>
      <w:lvlJc w:val="start"/>
      <w:pPr>
        <w:tabs>
          <w:tab w:val="num" w:pos="567"/>
        </w:tabs>
        <w:ind w:start="567" w:hanging="567"/>
      </w:pPr>
      <w:rPr/>
    </w:lvl>
    <w:lvl w:ilvl="2">
      <w:start w:val="1"/>
      <w:pStyle w:val="Heading3"/>
      <w:numFmt w:val="decimal"/>
      <w:lvlText w:val="%1.%2.%3"/>
      <w:lvlJc w:val="start"/>
      <w:pPr>
        <w:tabs>
          <w:tab w:val="num" w:pos="720"/>
        </w:tabs>
        <w:ind w:start="709" w:hanging="709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1080"/>
        </w:tabs>
        <w:ind w:start="851" w:hanging="851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440"/>
        </w:tabs>
        <w:ind w:start="992" w:hanging="992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800"/>
        </w:tabs>
        <w:ind w:start="1134" w:hanging="1134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800"/>
        </w:tabs>
        <w:ind w:start="1276" w:hanging="127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2160"/>
        </w:tabs>
        <w:ind w:start="1418" w:hanging="1418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2520"/>
        </w:tabs>
        <w:ind w:start="1559" w:hanging="1559"/>
      </w:pPr>
      <w:rPr/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840"/>
        </w:tabs>
        <w:ind w:start="84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1">
      <w:start w:val="1"/>
      <w:numFmt w:val="bullet"/>
      <w:lvlText w:val=""/>
      <w:lvlJc w:val="start"/>
      <w:pPr>
        <w:tabs>
          <w:tab w:val="num" w:pos="1260"/>
        </w:tabs>
        <w:ind w:start="126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2">
      <w:start w:val="1"/>
      <w:numFmt w:val="bullet"/>
      <w:lvlText w:val=""/>
      <w:lvlJc w:val="start"/>
      <w:pPr>
        <w:tabs>
          <w:tab w:val="num" w:pos="1680"/>
        </w:tabs>
        <w:ind w:start="168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3">
      <w:start w:val="1"/>
      <w:numFmt w:val="bullet"/>
      <w:lvlText w:val=""/>
      <w:lvlJc w:val="start"/>
      <w:pPr>
        <w:tabs>
          <w:tab w:val="num" w:pos="2100"/>
        </w:tabs>
        <w:ind w:start="210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4">
      <w:start w:val="1"/>
      <w:numFmt w:val="bullet"/>
      <w:lvlText w:val=""/>
      <w:lvlJc w:val="start"/>
      <w:pPr>
        <w:tabs>
          <w:tab w:val="num" w:pos="2520"/>
        </w:tabs>
        <w:ind w:start="252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5">
      <w:start w:val="1"/>
      <w:numFmt w:val="bullet"/>
      <w:lvlText w:val=""/>
      <w:lvlJc w:val="start"/>
      <w:pPr>
        <w:tabs>
          <w:tab w:val="num" w:pos="2940"/>
        </w:tabs>
        <w:ind w:start="294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6">
      <w:start w:val="1"/>
      <w:numFmt w:val="bullet"/>
      <w:lvlText w:val=""/>
      <w:lvlJc w:val="start"/>
      <w:pPr>
        <w:tabs>
          <w:tab w:val="num" w:pos="3360"/>
        </w:tabs>
        <w:ind w:start="336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7">
      <w:start w:val="1"/>
      <w:numFmt w:val="bullet"/>
      <w:lvlText w:val=""/>
      <w:lvlJc w:val="start"/>
      <w:pPr>
        <w:tabs>
          <w:tab w:val="num" w:pos="3780"/>
        </w:tabs>
        <w:ind w:start="378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  <w:lvl w:ilvl="8">
      <w:start w:val="1"/>
      <w:numFmt w:val="bullet"/>
      <w:lvlText w:val=""/>
      <w:lvlJc w:val="start"/>
      <w:pPr>
        <w:tabs>
          <w:tab w:val="num" w:pos="4200"/>
        </w:tabs>
        <w:ind w:start="4200" w:hanging="420"/>
      </w:pPr>
      <w:rPr>
        <w:rFonts w:ascii="SimHei" w:hAnsi="SimHei" w:eastAsia="黑体" w:cs="SimHei"/>
        <w:sz w:val="28"/>
        <w:szCs w:val="21"/>
        <w:color w:val="000000"/>
        <w:lang w:eastAsia="zh-C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rFonts w:ascii="SimHei" w:hAnsi="SimHei" w:eastAsia="黑体" w:cs="SimHei"/>
      <w:b/>
      <w:sz w:val="24"/>
    </w:rPr>
  </w:style>
  <w:style w:type="paragraph" w:styleId="Heading2">
    <w:name w:val="Heading 2"/>
    <w:basedOn w:val="Contents2"/>
    <w:next w:val="Normal"/>
    <w:qFormat/>
    <w:pPr>
      <w:keepNext w:val="true"/>
      <w:keepLines/>
      <w:numPr>
        <w:ilvl w:val="1"/>
        <w:numId w:val="1"/>
      </w:numPr>
      <w:jc w:val="start"/>
      <w:outlineLvl w:val="1"/>
    </w:pPr>
    <w:rPr>
      <w:b/>
      <w:bCs/>
      <w:smallCap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outlineLvl w:val="2"/>
    </w:pPr>
    <w:rPr>
      <w:b/>
      <w:bCs/>
      <w:sz w:val="30"/>
      <w:szCs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start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start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star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start"/>
      <w:outlineLvl w:val="6"/>
    </w:pPr>
    <w:rPr>
      <w:bCs/>
      <w:i/>
      <w:sz w:val="24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jc w:val="start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jc w:val="start"/>
      <w:outlineLvl w:val="8"/>
    </w:pPr>
    <w:rPr>
      <w:b/>
      <w:i/>
      <w:sz w:val="24"/>
      <w:szCs w:val="21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imHei" w:hAnsi="SimHei" w:eastAsia="黑体" w:cs="SimHei"/>
      <w:color w:val="000000"/>
      <w:sz w:val="28"/>
      <w:szCs w:val="21"/>
      <w:lang w:eastAsia="zh-CN"/>
    </w:rPr>
  </w:style>
  <w:style w:type="character" w:styleId="Style5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页脚 Char"/>
    <w:qFormat/>
    <w:rPr>
      <w:kern w:val="2"/>
      <w:sz w:val="18"/>
      <w:szCs w:val="18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widowControl/>
      <w:spacing w:before="0" w:after="120"/>
      <w:jc w:val="start"/>
    </w:pPr>
    <w:rPr>
      <w:kern w:val="0"/>
      <w:sz w:val="20"/>
      <w:szCs w:val="20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Contents2">
    <w:name w:val="TOC 2"/>
    <w:basedOn w:val="Normal"/>
    <w:next w:val="Normal"/>
    <w:pPr>
      <w:ind w:start="420" w:hanging="0"/>
    </w:pPr>
    <w:rPr/>
  </w:style>
  <w:style w:type="paragraph" w:styleId="Style6">
    <w:name w:val="修订记录标题"/>
    <w:qFormat/>
    <w:pPr>
      <w:widowControl/>
      <w:bidi w:val="0"/>
    </w:pPr>
    <w:rPr>
      <w:rFonts w:ascii="SimHei" w:hAnsi="SimHei" w:eastAsia="黑体" w:cs="SimHei"/>
      <w:b/>
      <w:color w:val="auto"/>
      <w:sz w:val="32"/>
      <w:szCs w:val="20"/>
      <w:lang w:val="en-US" w:eastAsia="zh-CN" w:bidi="ar-SA"/>
    </w:rPr>
  </w:style>
  <w:style w:type="paragraph" w:styleId="Style7">
    <w:name w:val="修订记录表头"/>
    <w:qFormat/>
    <w:pPr>
      <w:widowControl/>
      <w:bidi w:val="0"/>
      <w:jc w:val="center"/>
    </w:pPr>
    <w:rPr>
      <w:rFonts w:ascii="SimHei" w:hAnsi="SimHei" w:eastAsia="黑体" w:cs="SimHei"/>
      <w:b/>
      <w:color w:val="auto"/>
      <w:sz w:val="24"/>
      <w:szCs w:val="20"/>
      <w:lang w:val="en-US" w:eastAsia="zh-CN" w:bidi="ar-SA"/>
    </w:rPr>
  </w:style>
  <w:style w:type="paragraph" w:styleId="Style8">
    <w:name w:val="修订记录正文"/>
    <w:qFormat/>
    <w:pPr>
      <w:widowControl/>
      <w:bidi w:val="0"/>
      <w:jc w:val="center"/>
    </w:pPr>
    <w:rPr>
      <w:rFonts w:ascii="SimHei" w:hAnsi="SimHei" w:eastAsia="黑体" w:cs="SimHei"/>
      <w:color w:val="auto"/>
      <w:sz w:val="24"/>
      <w:szCs w:val="20"/>
      <w:lang w:val="en-US" w:eastAsia="zh-CN" w:bidi="ar-SA"/>
    </w:rPr>
  </w:style>
  <w:style w:type="paragraph" w:styleId="Style9">
    <w:name w:val="顶格正文"/>
    <w:basedOn w:val="Normal"/>
    <w:qFormat/>
    <w:pPr>
      <w:spacing w:lineRule="auto" w:line="360"/>
    </w:pPr>
    <w:rPr>
      <w:sz w:val="24"/>
    </w:rPr>
  </w:style>
  <w:style w:type="paragraph" w:styleId="1">
    <w:name w:val="表格表头1"/>
    <w:qFormat/>
    <w:pPr>
      <w:widowControl/>
      <w:bidi w:val="0"/>
      <w:jc w:val="center"/>
    </w:pPr>
    <w:rPr>
      <w:rFonts w:ascii="SimHei" w:hAnsi="SimHei" w:eastAsia="黑体" w:cs="SimHei"/>
      <w:b/>
      <w:color w:val="auto"/>
      <w:sz w:val="24"/>
      <w:szCs w:val="20"/>
      <w:lang w:val="en-US" w:eastAsia="zh-CN" w:bidi="ar-SA"/>
    </w:rPr>
  </w:style>
  <w:style w:type="paragraph" w:styleId="11">
    <w:name w:val="表格正文1"/>
    <w:qFormat/>
    <w:pPr>
      <w:widowControl/>
      <w:bidi w:val="0"/>
    </w:pPr>
    <w:rPr>
      <w:rFonts w:ascii="SimHei" w:hAnsi="SimHei" w:eastAsia="黑体" w:cs="SimHei"/>
      <w:color w:val="auto"/>
      <w:sz w:val="24"/>
      <w:szCs w:val="20"/>
      <w:lang w:val="en-US" w:eastAsia="zh-CN" w:bidi="ar-SA"/>
    </w:rPr>
  </w:style>
  <w:style w:type="paragraph" w:styleId="Style10">
    <w:name w:val="正文缩进"/>
    <w:basedOn w:val="Normal"/>
    <w:qFormat/>
    <w:pPr>
      <w:spacing w:lineRule="auto" w:line="360"/>
      <w:ind w:firstLine="420"/>
    </w:pPr>
    <w:rPr>
      <w:sz w:val="24"/>
    </w:rPr>
  </w:style>
  <w:style w:type="paragraph" w:styleId="Normalindenth3">
    <w:name w:val="normal indent_h3"/>
    <w:basedOn w:val="Style10"/>
    <w:qFormat/>
    <w:pPr>
      <w:widowControl/>
      <w:spacing w:lineRule="auto" w:line="240"/>
      <w:ind w:start="547" w:hanging="0"/>
    </w:pPr>
    <w:rPr>
      <w:kern w:val="0"/>
    </w:rPr>
  </w:style>
  <w:style w:type="paragraph" w:styleId="Style11">
    <w:name w:val="文档结构图"/>
    <w:basedOn w:val="Normal"/>
    <w:qFormat/>
    <w:pPr>
      <w:shd w:fill="000080" w:val="clear"/>
    </w:pPr>
    <w:rPr/>
  </w:style>
  <w:style w:type="paragraph" w:styleId="Contents1">
    <w:name w:val="TOC 1"/>
    <w:basedOn w:val="Normal"/>
    <w:next w:val="Normal"/>
    <w:pPr/>
    <w:rPr/>
  </w:style>
  <w:style w:type="paragraph" w:styleId="Contents3">
    <w:name w:val="TOC 3"/>
    <w:basedOn w:val="Normal"/>
    <w:next w:val="Normal"/>
    <w:pPr>
      <w:ind w:start="840" w:hanging="0"/>
    </w:pPr>
    <w:rPr/>
  </w:style>
  <w:style w:type="paragraph" w:styleId="Contents4">
    <w:name w:val="TOC 4"/>
    <w:basedOn w:val="Normal"/>
    <w:next w:val="Normal"/>
    <w:pPr>
      <w:ind w:start="1260" w:hanging="0"/>
    </w:pPr>
    <w:rPr/>
  </w:style>
  <w:style w:type="paragraph" w:styleId="Contents5">
    <w:name w:val="TOC 5"/>
    <w:basedOn w:val="Normal"/>
    <w:next w:val="Normal"/>
    <w:pPr>
      <w:ind w:start="1680" w:hanging="0"/>
    </w:pPr>
    <w:rPr/>
  </w:style>
  <w:style w:type="paragraph" w:styleId="Contents6">
    <w:name w:val="TOC 6"/>
    <w:basedOn w:val="Normal"/>
    <w:next w:val="Normal"/>
    <w:pPr>
      <w:ind w:start="2100" w:hanging="0"/>
    </w:pPr>
    <w:rPr/>
  </w:style>
  <w:style w:type="paragraph" w:styleId="Contents7">
    <w:name w:val="TOC 7"/>
    <w:basedOn w:val="Normal"/>
    <w:next w:val="Normal"/>
    <w:pPr>
      <w:ind w:start="2520" w:hanging="0"/>
    </w:pPr>
    <w:rPr/>
  </w:style>
  <w:style w:type="paragraph" w:styleId="Contents8">
    <w:name w:val="TOC 8"/>
    <w:basedOn w:val="Normal"/>
    <w:next w:val="Normal"/>
    <w:pPr>
      <w:ind w:start="2940" w:hanging="0"/>
    </w:pPr>
    <w:rPr/>
  </w:style>
  <w:style w:type="paragraph" w:styleId="Contents9">
    <w:name w:val="TOC 9"/>
    <w:basedOn w:val="Normal"/>
    <w:next w:val="Normal"/>
    <w:pPr>
      <w:ind w:start="336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2004-09-14T17:26:00Z</dcterms:created>
  <dc:creator>周彬彬</dc:creator>
  <dc:description/>
  <cp:keywords> </cp:keywords>
  <dc:language>en-US</dc:language>
  <cp:lastModifiedBy>Administrator</cp:lastModifiedBy>
  <dcterms:modified xsi:type="dcterms:W3CDTF">2021-10-17T17:00:00Z</dcterms:modified>
  <cp:revision>7</cp:revision>
  <dc:subject/>
  <dc:title>招聘录用管理办法</dc:title>
</cp:coreProperties>
</file>