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55245</wp:posOffset>
                </wp:positionV>
                <wp:extent cx="7162800" cy="229552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295525"/>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96"/>
                                <w:szCs w:val="96"/>
                              </w:rPr>
                            </w:pPr>
                            <w:r>
                              <w:rPr>
                                <w:rFonts w:ascii="SimHei" w:hAnsi="SimHei" w:eastAsia="黑体" w:cs="SimHei"/>
                                <w:b/>
                                <w:sz w:val="96"/>
                                <w:szCs w:val="96"/>
                              </w:rPr>
                              <w:t>企业文化建设评价</w:t>
                            </w:r>
                          </w:p>
                          <w:p>
                            <w:pPr>
                              <w:spacing w:line="1500" w:lineRule="exact"/>
                              <w:jc w:val="center"/>
                              <w:rPr>
                                <w:sz w:val="96"/>
                                <w:szCs w:val="96"/>
                              </w:rPr>
                            </w:pPr>
                            <w:r>
                              <w:rPr>
                                <w:rFonts w:ascii="SimHei" w:hAnsi="SimHei" w:eastAsia="黑体" w:cs="SimHei"/>
                                <w:b/>
                                <w:sz w:val="96"/>
                                <w:szCs w:val="96"/>
                              </w:rPr>
                              <w:t>与考核制度内容纲要</w:t>
                            </w:r>
                          </w:p>
                        </w:txbxContent>
                      </wps:txbx>
                      <wps:bodyPr wrap="square" upright="1"/>
                    </wps:wsp>
                  </a:graphicData>
                </a:graphic>
              </wp:anchor>
            </w:drawing>
          </mc:Choice>
          <mc:Fallback>
            <w:pict>
              <v:shape id="文本框 10" o:spid="_x0000_s1026" o:spt="202" type="#_x0000_t202" style="position:absolute;left:0pt;margin-left:-67.05pt;margin-top:4.35pt;height:180.75pt;width:564pt;z-index:251664384;mso-width-relative:page;mso-height-relative:page;" fillcolor="#FFFFFF" filled="t" stroked="f" coordsize="21600,21600" o:gfxdata="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x4D29kAAAAKAQAADwAAAAAAAAABACAAAAAiAAAAZHJzL2Rvd25yZXYueG1sUEsB&#10;AhQAFAAAAAgAh07iQA7CZH+7AQAAVgMAAA4AAAAAAAAAAQAgAAAAKAEAAGRycy9lMm9Eb2MueG1s&#10;UEsFBgAAAAAGAAYAWQEAAFUFAAAAAA==&#10;">
                <v:fill on="t" opacity="0f" focussize="0,0"/>
                <v:stroke on="f"/>
                <v:imagedata o:title=""/>
                <o:lock v:ext="edit" aspectratio="f"/>
                <v:textbox>
                  <w:txbxContent>
                    <w:p>
                      <w:pPr>
                        <w:spacing w:line="1500" w:lineRule="exact"/>
                        <w:jc w:val="center"/>
                        <w:rPr>
                          <w:rFonts w:ascii="SimHei" w:hAnsi="SimHei" w:eastAsia="黑体" w:cs="SimHei"/>
                          <w:b/>
                          <w:sz w:val="96"/>
                          <w:szCs w:val="96"/>
                        </w:rPr>
                      </w:pPr>
                      <w:r>
                        <w:rPr>
                          <w:rFonts w:ascii="SimHei" w:hAnsi="SimHei" w:eastAsia="黑体" w:cs="SimHei"/>
                          <w:b/>
                          <w:sz w:val="96"/>
                          <w:szCs w:val="96"/>
                        </w:rPr>
                        <w:t>企业文化建设评价</w:t>
                      </w:r>
                    </w:p>
                    <w:p>
                      <w:pPr>
                        <w:spacing w:line="1500" w:lineRule="exact"/>
                        <w:jc w:val="center"/>
                        <w:rPr>
                          <w:sz w:val="96"/>
                          <w:szCs w:val="96"/>
                        </w:rPr>
                      </w:pPr>
                      <w:r>
                        <w:rPr>
                          <w:rFonts w:ascii="SimHei" w:hAnsi="SimHei" w:eastAsia="黑体" w:cs="SimHei"/>
                          <w:b/>
                          <w:sz w:val="96"/>
                          <w:szCs w:val="96"/>
                        </w:rPr>
                        <w:t>与考核制度内容纲要</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企业文化激励体系构建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1：企业文化建设评价与考核制度内容纲要</w:t>
      </w:r>
    </w:p>
    <w:p>
      <w:pPr>
        <w:tabs>
          <w:tab w:val="left" w:pos="720"/>
        </w:tabs>
        <w:spacing w:line="520" w:lineRule="exact"/>
        <w:ind w:firstLine="548" w:firstLineChars="196"/>
        <w:rPr>
          <w:rFonts w:ascii="SimHei" w:hAnsi="SimHei" w:eastAsia="黑体" w:cs="SimHei"/>
          <w:sz w:val="28"/>
          <w:szCs w:val="28"/>
        </w:rPr>
      </w:pPr>
      <w:r>
        <w:rPr>
          <w:rFonts w:ascii="SimHei" w:hAnsi="SimHei" w:eastAsia="黑体" w:cs="SimHei"/>
          <w:sz w:val="28"/>
          <w:szCs w:val="28"/>
        </w:rPr>
        <w:t>企业文化建设评价与考核制度，主要明确了公司企业文化建设评价与考核的目的、原则、组织机构、评价与考核内容（考核指标体系）、评价与考核方法、评价与考核激励办法等，从而以引导、约束、奖励、惩罚的方法促使企业文化建设真正落地实施，并营造良性竞争、人人参与的企业文化建设氛围。</w:t>
      </w:r>
    </w:p>
    <w:p>
      <w:pPr>
        <w:tabs>
          <w:tab w:val="left" w:pos="720"/>
        </w:tabs>
        <w:spacing w:line="360" w:lineRule="exact"/>
        <w:ind w:firstLine="470" w:firstLineChars="196"/>
        <w:rPr>
          <w:rFonts w:ascii="SimHei" w:hAnsi="SimHei" w:eastAsia="黑体" w:cs="SimHei"/>
          <w:sz w:val="24"/>
        </w:rPr>
      </w:pPr>
    </w:p>
    <w:tbl>
      <w:tblPr>
        <w:tblStyle w:val="11"/>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shd w:val="clear" w:color="auto" w:fill="FFFF00"/>
            <w:noWrap w:val="0"/>
            <w:vAlign w:val="top"/>
          </w:tcPr>
          <w:p>
            <w:pPr>
              <w:tabs>
                <w:tab w:val="left" w:pos="720"/>
              </w:tabs>
              <w:spacing w:line="460" w:lineRule="exact"/>
              <w:jc w:val="center"/>
              <w:rPr>
                <w:rFonts w:ascii="SimHei" w:hAnsi="SimHei" w:eastAsia="黑体" w:cs="SimHei"/>
                <w:b/>
                <w:szCs w:val="21"/>
              </w:rPr>
            </w:pPr>
            <w:r>
              <w:rPr>
                <w:rFonts w:ascii="SimHei" w:hAnsi="SimHei" w:eastAsia="黑体" w:cs="SimHei"/>
                <w:b/>
                <w:szCs w:val="21"/>
              </w:rPr>
              <w:t>提纲</w:t>
            </w:r>
          </w:p>
        </w:tc>
        <w:tc>
          <w:tcPr>
            <w:tcW w:w="6946" w:type="dxa"/>
            <w:shd w:val="clear" w:color="auto" w:fill="FFFF00"/>
            <w:noWrap w:val="0"/>
            <w:vAlign w:val="top"/>
          </w:tcPr>
          <w:p>
            <w:pPr>
              <w:tabs>
                <w:tab w:val="left" w:pos="720"/>
              </w:tabs>
              <w:spacing w:line="460" w:lineRule="exact"/>
              <w:jc w:val="center"/>
              <w:rPr>
                <w:rFonts w:ascii="SimHei" w:hAnsi="SimHei" w:eastAsia="黑体" w:cs="SimHei"/>
                <w:b/>
                <w:szCs w:val="21"/>
              </w:rPr>
            </w:pPr>
            <w:r>
              <w:rPr>
                <w:rFonts w:ascii="SimHei" w:hAnsi="SimHei" w:eastAsia="黑体" w:cs="SimHei"/>
                <w:b/>
                <w:szCs w:val="21"/>
              </w:rPr>
              <w:t>主要内容说明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一、总则</w:t>
            </w:r>
          </w:p>
        </w:tc>
        <w:tc>
          <w:tcPr>
            <w:tcW w:w="6946" w:type="dxa"/>
            <w:noWrap w:val="0"/>
            <w:vAlign w:val="top"/>
          </w:tcPr>
          <w:p>
            <w:pPr>
              <w:spacing w:line="460" w:lineRule="exact"/>
              <w:jc w:val="left"/>
              <w:rPr>
                <w:rFonts w:ascii="SimHei" w:hAnsi="SimHei" w:eastAsia="黑体" w:cs="SimHei"/>
                <w:szCs w:val="21"/>
              </w:rPr>
            </w:pPr>
            <w:r>
              <w:rPr>
                <w:rFonts w:ascii="SimHei" w:hAnsi="SimHei" w:eastAsia="黑体" w:cs="SimHei"/>
                <w:b/>
                <w:szCs w:val="21"/>
              </w:rPr>
              <w:t>1.1 目的/宗旨。</w:t>
            </w:r>
            <w:r>
              <w:rPr>
                <w:rFonts w:ascii="SimHei" w:hAnsi="SimHei" w:eastAsia="黑体" w:cs="SimHei"/>
                <w:szCs w:val="21"/>
              </w:rPr>
              <w:t>明确为了达到什么目的而制定本制度，例如：通过引导、约束、奖励、惩罚的方法促使企业文化建设真正落地实施，并营造良性竞争、人人参与的企业文化建设氛围。</w:t>
            </w:r>
          </w:p>
          <w:p>
            <w:pPr>
              <w:tabs>
                <w:tab w:val="left" w:pos="720"/>
              </w:tabs>
              <w:spacing w:line="460" w:lineRule="exact"/>
              <w:rPr>
                <w:rFonts w:ascii="SimHei" w:hAnsi="SimHei" w:eastAsia="黑体" w:cs="SimHei"/>
                <w:szCs w:val="21"/>
              </w:rPr>
            </w:pPr>
            <w:r>
              <w:rPr>
                <w:rFonts w:ascii="SimHei" w:hAnsi="SimHei" w:eastAsia="黑体" w:cs="SimHei"/>
                <w:b/>
                <w:szCs w:val="21"/>
              </w:rPr>
              <w:t>1.2 评价考核原则。</w:t>
            </w:r>
            <w:r>
              <w:rPr>
                <w:rFonts w:ascii="SimHei" w:hAnsi="SimHei" w:eastAsia="黑体" w:cs="SimHei"/>
                <w:szCs w:val="21"/>
              </w:rPr>
              <w:t>例如公平公正、绩效优先、遵循企业文化建设战略规划等。</w:t>
            </w:r>
          </w:p>
          <w:p>
            <w:pPr>
              <w:tabs>
                <w:tab w:val="left" w:pos="720"/>
              </w:tabs>
              <w:spacing w:line="460" w:lineRule="exact"/>
              <w:rPr>
                <w:rFonts w:ascii="SimHei" w:hAnsi="SimHei" w:eastAsia="黑体" w:cs="SimHei"/>
                <w:szCs w:val="21"/>
              </w:rPr>
            </w:pPr>
            <w:r>
              <w:rPr>
                <w:rFonts w:ascii="SimHei" w:hAnsi="SimHei" w:eastAsia="黑体" w:cs="SimHei"/>
                <w:b/>
                <w:szCs w:val="21"/>
              </w:rPr>
              <w:t>1.3 内容范围。</w:t>
            </w:r>
            <w:r>
              <w:rPr>
                <w:rFonts w:ascii="SimHei" w:hAnsi="SimHei" w:eastAsia="黑体" w:cs="SimHei"/>
                <w:szCs w:val="21"/>
              </w:rPr>
              <w:t>界定企业文化建设评价与考核工作的内容范围，必要时，需要就其与其它相关激励制度进行比较说明。</w:t>
            </w:r>
          </w:p>
          <w:p>
            <w:pPr>
              <w:tabs>
                <w:tab w:val="left" w:pos="720"/>
              </w:tabs>
              <w:spacing w:line="460" w:lineRule="exact"/>
              <w:rPr>
                <w:rFonts w:ascii="SimHei" w:hAnsi="SimHei" w:eastAsia="黑体" w:cs="SimHei"/>
                <w:szCs w:val="21"/>
              </w:rPr>
            </w:pPr>
            <w:r>
              <w:rPr>
                <w:rFonts w:ascii="SimHei" w:hAnsi="SimHei" w:eastAsia="黑体" w:cs="SimHei"/>
                <w:b/>
                <w:szCs w:val="21"/>
              </w:rPr>
              <w:t>1.4 考核依据。</w:t>
            </w:r>
            <w:r>
              <w:rPr>
                <w:rFonts w:ascii="SimHei" w:hAnsi="SimHei" w:eastAsia="黑体" w:cs="SimHei"/>
                <w:szCs w:val="21"/>
              </w:rPr>
              <w:t>例如企业总体的《企业文化建设管理办法》。</w:t>
            </w:r>
          </w:p>
          <w:p>
            <w:pPr>
              <w:tabs>
                <w:tab w:val="left" w:pos="720"/>
              </w:tabs>
              <w:spacing w:line="460" w:lineRule="exact"/>
              <w:rPr>
                <w:rFonts w:ascii="SimHei" w:hAnsi="SimHei" w:eastAsia="黑体" w:cs="SimHei"/>
                <w:szCs w:val="21"/>
              </w:rPr>
            </w:pPr>
            <w:r>
              <w:rPr>
                <w:rFonts w:ascii="SimHei" w:hAnsi="SimHei" w:eastAsia="黑体" w:cs="SimHei"/>
                <w:b/>
                <w:szCs w:val="21"/>
              </w:rPr>
              <w:t>1.5 适用范围。</w:t>
            </w:r>
            <w:r>
              <w:rPr>
                <w:rFonts w:ascii="SimHei" w:hAnsi="SimHei" w:eastAsia="黑体" w:cs="SimHei"/>
                <w:szCs w:val="21"/>
              </w:rPr>
              <w:t>本制度适用的部门、对象范围。</w:t>
            </w:r>
          </w:p>
          <w:p>
            <w:pPr>
              <w:tabs>
                <w:tab w:val="left" w:pos="720"/>
              </w:tabs>
              <w:spacing w:line="460" w:lineRule="exact"/>
              <w:rPr>
                <w:rFonts w:ascii="SimHei" w:hAnsi="SimHei" w:eastAsia="黑体" w:cs="SimHei"/>
                <w:szCs w:val="21"/>
              </w:rPr>
            </w:pPr>
            <w:r>
              <w:rPr>
                <w:rFonts w:ascii="SimHei" w:hAnsi="SimHei" w:eastAsia="黑体" w:cs="SimHei"/>
                <w:b/>
                <w:szCs w:val="21"/>
              </w:rPr>
              <w:t>1.6 术语释义。</w:t>
            </w:r>
            <w:r>
              <w:rPr>
                <w:rFonts w:ascii="SimHei" w:hAnsi="SimHei" w:eastAsia="黑体" w:cs="SimHei"/>
                <w:szCs w:val="21"/>
              </w:rPr>
              <w:t>例如可能用到的专业评价与考核工具。</w:t>
            </w:r>
          </w:p>
          <w:p>
            <w:pPr>
              <w:tabs>
                <w:tab w:val="left" w:pos="720"/>
              </w:tabs>
              <w:spacing w:line="46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二、企业文化建设评价与考核组织</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2.1组织机构设置。</w:t>
            </w:r>
            <w:r>
              <w:rPr>
                <w:rFonts w:ascii="SimHei" w:hAnsi="SimHei" w:eastAsia="黑体" w:cs="SimHei"/>
                <w:szCs w:val="21"/>
              </w:rPr>
              <w:t>负责评价与考核的部门设置及人员配备说明，有的企业可能会引进一些外部专业机构的力量参与进来。</w:t>
            </w:r>
          </w:p>
          <w:p>
            <w:pPr>
              <w:tabs>
                <w:tab w:val="left" w:pos="720"/>
              </w:tabs>
              <w:spacing w:line="460" w:lineRule="exact"/>
              <w:rPr>
                <w:rFonts w:ascii="SimHei" w:hAnsi="SimHei" w:eastAsia="黑体" w:cs="SimHei"/>
                <w:szCs w:val="21"/>
              </w:rPr>
            </w:pPr>
            <w:r>
              <w:rPr>
                <w:rFonts w:ascii="SimHei" w:hAnsi="SimHei" w:eastAsia="黑体" w:cs="SimHei"/>
                <w:b/>
                <w:szCs w:val="21"/>
              </w:rPr>
              <w:t>2.2 职责与权利。</w:t>
            </w:r>
            <w:r>
              <w:rPr>
                <w:rFonts w:ascii="SimHei" w:hAnsi="SimHei" w:eastAsia="黑体" w:cs="SimHei"/>
                <w:szCs w:val="21"/>
              </w:rPr>
              <w:t>主要指实施评价与考核的机构及有关负责人及执行人承担的职责以及拥有的权利说明。</w:t>
            </w:r>
          </w:p>
          <w:p>
            <w:pPr>
              <w:tabs>
                <w:tab w:val="left" w:pos="720"/>
              </w:tabs>
              <w:spacing w:line="46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三、企业文化建设评价与考核指标体系</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3.1 企业文化建设工作评价与考核指标体系：</w:t>
            </w:r>
            <w:r>
              <w:rPr>
                <w:rFonts w:ascii="SimHei" w:hAnsi="SimHei" w:eastAsia="黑体" w:cs="SimHei"/>
                <w:szCs w:val="21"/>
              </w:rPr>
              <w:t>主要针对各部门或者主要负责人具体工作实施的评价与考核内容，其考核周期相对而言，更短且频繁一些。</w:t>
            </w:r>
          </w:p>
          <w:p>
            <w:pPr>
              <w:tabs>
                <w:tab w:val="left" w:pos="720"/>
              </w:tabs>
              <w:spacing w:line="460" w:lineRule="exact"/>
              <w:rPr>
                <w:rFonts w:ascii="SimHei" w:hAnsi="SimHei" w:eastAsia="黑体" w:cs="SimHei"/>
                <w:szCs w:val="21"/>
              </w:rPr>
            </w:pPr>
            <w:r>
              <w:rPr>
                <w:rFonts w:ascii="SimHei" w:hAnsi="SimHei" w:eastAsia="黑体" w:cs="SimHei"/>
                <w:b/>
                <w:szCs w:val="21"/>
              </w:rPr>
              <w:t>3.2 企业文化建设效果评价与考核指标体系：</w:t>
            </w:r>
            <w:r>
              <w:rPr>
                <w:rFonts w:ascii="SimHei" w:hAnsi="SimHei" w:eastAsia="黑体" w:cs="SimHei"/>
                <w:szCs w:val="21"/>
              </w:rPr>
              <w:t xml:space="preserve">主要针对各部门企业文化建设实施之后产生的实效的评价与考核，考核周期相对较长，而且考核形式更加复杂、专业要求较高。 </w:t>
            </w:r>
          </w:p>
          <w:p>
            <w:pPr>
              <w:tabs>
                <w:tab w:val="left" w:pos="720"/>
              </w:tabs>
              <w:spacing w:line="460" w:lineRule="exact"/>
              <w:rPr>
                <w:rFonts w:ascii="SimHei" w:hAnsi="SimHei" w:eastAsia="黑体" w:cs="SimHei"/>
                <w:i/>
                <w:szCs w:val="21"/>
              </w:rPr>
            </w:pPr>
            <w:r>
              <w:rPr>
                <w:rFonts w:ascii="SimHei" w:hAnsi="SimHei" w:eastAsia="黑体" w:cs="SimHei"/>
                <w:b/>
                <w:i/>
                <w:szCs w:val="21"/>
              </w:rPr>
              <w:t>注：</w:t>
            </w:r>
            <w:r>
              <w:rPr>
                <w:rFonts w:ascii="SimHei" w:hAnsi="SimHei" w:eastAsia="黑体" w:cs="SimHei"/>
                <w:i/>
                <w:szCs w:val="21"/>
              </w:rPr>
              <w:t>一般而言，企业在企业文化建设的初期，各方面工作尚不成熟，只需做到侧重于工作实施过程的评价与考核，并结合应用部分适合企业发展阶段的工作成效评价指标内容即可。当然，在必要情况下，也可以借助专业机构的力量来进行效果评价。</w:t>
            </w:r>
          </w:p>
          <w:p>
            <w:pPr>
              <w:tabs>
                <w:tab w:val="left" w:pos="720"/>
              </w:tabs>
              <w:spacing w:line="460" w:lineRule="exact"/>
              <w:rPr>
                <w:rFonts w:ascii="SimHei" w:hAnsi="SimHei" w:eastAsia="黑体" w:cs="SimHei"/>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四、企业文化建设评价与考核实施</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4.1 评价与考核形式：</w:t>
            </w:r>
            <w:r>
              <w:rPr>
                <w:rFonts w:ascii="SimHei" w:hAnsi="SimHei" w:eastAsia="黑体" w:cs="SimHei"/>
                <w:szCs w:val="21"/>
              </w:rPr>
              <w:t>例如自我评估与他人评估、定性考核与定量考核等，要求详细描述具体各种考核形式的工作内容，例如评价与考核的具体途径：群众反馈、问卷调查、现场观察、汇报材料审阅等等。</w:t>
            </w:r>
          </w:p>
          <w:p>
            <w:pPr>
              <w:tabs>
                <w:tab w:val="left" w:pos="720"/>
              </w:tabs>
              <w:spacing w:line="460" w:lineRule="exact"/>
              <w:rPr>
                <w:rFonts w:ascii="SimHei" w:hAnsi="SimHei" w:eastAsia="黑体" w:cs="SimHei"/>
                <w:szCs w:val="21"/>
              </w:rPr>
            </w:pPr>
            <w:r>
              <w:rPr>
                <w:rFonts w:ascii="SimHei" w:hAnsi="SimHei" w:eastAsia="黑体" w:cs="SimHei"/>
                <w:b/>
                <w:szCs w:val="21"/>
              </w:rPr>
              <w:t>4.2 评价与考核周期：</w:t>
            </w:r>
            <w:r>
              <w:rPr>
                <w:rFonts w:ascii="SimHei" w:hAnsi="SimHei" w:eastAsia="黑体" w:cs="SimHei"/>
                <w:szCs w:val="21"/>
              </w:rPr>
              <w:t>例如分为月度考核、季度考核、年度考核等，并就不同周期考核的内容进行说明。</w:t>
            </w:r>
          </w:p>
          <w:p>
            <w:pPr>
              <w:tabs>
                <w:tab w:val="left" w:pos="720"/>
              </w:tabs>
              <w:spacing w:line="460" w:lineRule="exact"/>
              <w:rPr>
                <w:rFonts w:ascii="SimHei" w:hAnsi="SimHei" w:eastAsia="黑体" w:cs="SimHei"/>
                <w:szCs w:val="21"/>
              </w:rPr>
            </w:pPr>
            <w:r>
              <w:rPr>
                <w:rFonts w:ascii="SimHei" w:hAnsi="SimHei" w:eastAsia="黑体" w:cs="SimHei"/>
                <w:b/>
                <w:szCs w:val="21"/>
              </w:rPr>
              <w:t>4.3 评价与考核实施流程。</w:t>
            </w:r>
            <w:r>
              <w:rPr>
                <w:rFonts w:ascii="SimHei" w:hAnsi="SimHei" w:eastAsia="黑体" w:cs="SimHei"/>
                <w:szCs w:val="21"/>
              </w:rPr>
              <w:t>详细描述评价与考核工作实施的具体流程，例如：实施机构公布企业文化建设评价与考核制度并发放有关通知→部门提交有关汇报材料→实施机构开始进行评价与考核（可将不同周期、不同形式的评价与考核工作内容进行说明）→实施机构与各部门确认评价与考核结果→将评价与考核结果对照公司有关奖惩制度明确奖惩情况→公布评价与考核结果以及奖惩情况→部门提交改进方案。</w:t>
            </w:r>
          </w:p>
          <w:p>
            <w:pPr>
              <w:tabs>
                <w:tab w:val="left" w:pos="720"/>
              </w:tabs>
              <w:spacing w:line="460" w:lineRule="exact"/>
              <w:rPr>
                <w:rFonts w:ascii="SimHei" w:hAnsi="SimHei" w:eastAsia="黑体" w:cs="SimHei"/>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五、企业文化建设评价与考核激励</w:t>
            </w:r>
          </w:p>
        </w:tc>
        <w:tc>
          <w:tcPr>
            <w:tcW w:w="6946" w:type="dxa"/>
            <w:noWrap w:val="0"/>
            <w:vAlign w:val="top"/>
          </w:tcPr>
          <w:p>
            <w:pPr>
              <w:tabs>
                <w:tab w:val="left" w:pos="720"/>
              </w:tabs>
              <w:spacing w:line="460" w:lineRule="exact"/>
              <w:ind w:firstLine="420" w:firstLineChars="200"/>
              <w:rPr>
                <w:rFonts w:ascii="SimHei" w:hAnsi="SimHei" w:eastAsia="黑体" w:cs="SimHei"/>
                <w:szCs w:val="21"/>
              </w:rPr>
            </w:pPr>
            <w:r>
              <w:rPr>
                <w:rFonts w:ascii="SimHei" w:hAnsi="SimHei" w:eastAsia="黑体" w:cs="SimHei"/>
                <w:szCs w:val="21"/>
              </w:rPr>
              <w:t xml:space="preserve">本部分内容，主要是将评价与考核结果与公司有关奖惩制度进行对照，并列出具体的奖惩方案。包括涉及关于薪酬、职位晋升、评先评优（组织及个人）等重要奖惩事项的说明。 </w:t>
            </w:r>
          </w:p>
          <w:p>
            <w:pPr>
              <w:tabs>
                <w:tab w:val="left" w:pos="720"/>
              </w:tabs>
              <w:spacing w:line="460" w:lineRule="exact"/>
              <w:ind w:firstLine="420" w:firstLineChars="200"/>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六、附则</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szCs w:val="21"/>
              </w:rPr>
              <w:t>6.1 本制度解释权归属说明。</w:t>
            </w:r>
          </w:p>
          <w:p>
            <w:pPr>
              <w:tabs>
                <w:tab w:val="left" w:pos="720"/>
              </w:tabs>
              <w:spacing w:line="460" w:lineRule="exact"/>
              <w:rPr>
                <w:rFonts w:ascii="SimHei" w:hAnsi="SimHei" w:eastAsia="黑体" w:cs="SimHei"/>
                <w:szCs w:val="21"/>
              </w:rPr>
            </w:pPr>
            <w:r>
              <w:rPr>
                <w:rFonts w:ascii="SimHei" w:hAnsi="SimHei" w:eastAsia="黑体" w:cs="SimHei"/>
                <w:szCs w:val="21"/>
              </w:rPr>
              <w:t>6.2 本制度拟定、修改、审批说明。</w:t>
            </w:r>
          </w:p>
          <w:p>
            <w:pPr>
              <w:tabs>
                <w:tab w:val="left" w:pos="720"/>
              </w:tabs>
              <w:spacing w:line="460" w:lineRule="exact"/>
              <w:rPr>
                <w:rFonts w:ascii="SimHei" w:hAnsi="SimHei" w:eastAsia="黑体" w:cs="SimHei"/>
                <w:szCs w:val="21"/>
              </w:rPr>
            </w:pPr>
            <w:r>
              <w:rPr>
                <w:rFonts w:ascii="SimHei" w:hAnsi="SimHei" w:eastAsia="黑体" w:cs="SimHei"/>
                <w:szCs w:val="21"/>
              </w:rPr>
              <w:t>6.3 本制度生效说明。</w:t>
            </w:r>
          </w:p>
          <w:p>
            <w:pPr>
              <w:tabs>
                <w:tab w:val="left" w:pos="720"/>
              </w:tabs>
              <w:spacing w:line="460" w:lineRule="exact"/>
              <w:rPr>
                <w:rFonts w:ascii="SimHei" w:hAnsi="SimHei" w:eastAsia="黑体" w:cs="SimHei"/>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七、附件</w:t>
            </w:r>
          </w:p>
        </w:tc>
        <w:tc>
          <w:tcPr>
            <w:tcW w:w="6946" w:type="dxa"/>
            <w:noWrap w:val="0"/>
            <w:vAlign w:val="top"/>
          </w:tcPr>
          <w:p>
            <w:pPr>
              <w:tabs>
                <w:tab w:val="left" w:pos="720"/>
              </w:tabs>
              <w:spacing w:line="460" w:lineRule="exact"/>
              <w:rPr>
                <w:rFonts w:ascii="SimHei" w:hAnsi="SimHei" w:eastAsia="黑体" w:cs="SimHei"/>
                <w:i/>
                <w:szCs w:val="21"/>
              </w:rPr>
            </w:pPr>
            <w:r>
              <w:rPr>
                <w:rFonts w:ascii="SimHei" w:hAnsi="SimHei" w:eastAsia="黑体" w:cs="SimHei"/>
                <w:i/>
                <w:szCs w:val="21"/>
              </w:rPr>
              <w:t>以下为有关附件清单，仅供参考，企业根据实际需求来安排内容：</w:t>
            </w:r>
          </w:p>
          <w:p>
            <w:pPr>
              <w:tabs>
                <w:tab w:val="left" w:pos="720"/>
              </w:tabs>
              <w:spacing w:line="460" w:lineRule="exact"/>
              <w:rPr>
                <w:rFonts w:ascii="SimHei" w:hAnsi="SimHei" w:eastAsia="黑体" w:cs="SimHei"/>
                <w:szCs w:val="21"/>
              </w:rPr>
            </w:pPr>
            <w:r>
              <w:rPr>
                <w:rFonts w:ascii="SimHei" w:hAnsi="SimHei" w:eastAsia="黑体" w:cs="SimHei"/>
                <w:szCs w:val="21"/>
              </w:rPr>
              <w:t>7.1 企业文化建设工作评价与考核指标体系详细说明</w:t>
            </w:r>
          </w:p>
          <w:p>
            <w:pPr>
              <w:tabs>
                <w:tab w:val="left" w:pos="720"/>
              </w:tabs>
              <w:spacing w:line="460" w:lineRule="exact"/>
              <w:rPr>
                <w:rFonts w:ascii="SimHei" w:hAnsi="SimHei" w:eastAsia="黑体" w:cs="SimHei"/>
                <w:szCs w:val="21"/>
              </w:rPr>
            </w:pPr>
            <w:r>
              <w:rPr>
                <w:rFonts w:ascii="SimHei" w:hAnsi="SimHei" w:eastAsia="黑体" w:cs="SimHei"/>
                <w:szCs w:val="21"/>
              </w:rPr>
              <w:t>7.2 企业文化评价与考核实施流程图</w:t>
            </w:r>
          </w:p>
          <w:p>
            <w:pPr>
              <w:tabs>
                <w:tab w:val="left" w:pos="720"/>
              </w:tabs>
              <w:spacing w:line="460" w:lineRule="exact"/>
              <w:rPr>
                <w:rFonts w:ascii="SimHei" w:hAnsi="SimHei" w:eastAsia="黑体" w:cs="SimHei"/>
                <w:szCs w:val="21"/>
              </w:rPr>
            </w:pPr>
          </w:p>
        </w:tc>
      </w:tr>
    </w:tbl>
    <w:p>
      <w:pPr>
        <w:tabs>
          <w:tab w:val="left" w:pos="720"/>
        </w:tabs>
        <w:spacing w:line="360" w:lineRule="exact"/>
        <w:ind w:firstLine="470" w:firstLineChars="196"/>
        <w:rPr>
          <w:rFonts w:ascii="SimHei" w:hAnsi="SimHei" w:eastAsia="黑体" w:cs="SimHei"/>
          <w:sz w:val="24"/>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企业文化建设实务——企业文化激励体系构建——实用工具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91ADD"/>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B3602"/>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433F6"/>
    <w:rsid w:val="003517CB"/>
    <w:rsid w:val="0037283D"/>
    <w:rsid w:val="00380CE0"/>
    <w:rsid w:val="00387388"/>
    <w:rsid w:val="00390EFC"/>
    <w:rsid w:val="00395987"/>
    <w:rsid w:val="003B3BD3"/>
    <w:rsid w:val="003B6784"/>
    <w:rsid w:val="003C0525"/>
    <w:rsid w:val="003F54B5"/>
    <w:rsid w:val="004039E4"/>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225FB"/>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B76CA"/>
    <w:rsid w:val="00BF28C9"/>
    <w:rsid w:val="00BF5B0A"/>
    <w:rsid w:val="00C17B07"/>
    <w:rsid w:val="00C26208"/>
    <w:rsid w:val="00C465E8"/>
    <w:rsid w:val="00C729F4"/>
    <w:rsid w:val="00C811C1"/>
    <w:rsid w:val="00CA3AE7"/>
    <w:rsid w:val="00CB0C3F"/>
    <w:rsid w:val="00CC60A7"/>
    <w:rsid w:val="00CD2B60"/>
    <w:rsid w:val="00CE4FCC"/>
    <w:rsid w:val="00CE6254"/>
    <w:rsid w:val="00CF2078"/>
    <w:rsid w:val="00CF31C7"/>
    <w:rsid w:val="00D12157"/>
    <w:rsid w:val="00D13D17"/>
    <w:rsid w:val="00D80F09"/>
    <w:rsid w:val="00DD6446"/>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90A55"/>
    <w:rsid w:val="00FA4045"/>
    <w:rsid w:val="00FA5856"/>
    <w:rsid w:val="00FE3DB9"/>
    <w:rsid w:val="15EC4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266</Words>
  <Characters>1522</Characters>
  <Lines>12</Lines>
  <Paragraphs>3</Paragraphs>
  <TotalTime>0</TotalTime>
  <ScaleCrop>false</ScaleCrop>
  <LinksUpToDate>false</LinksUpToDate>
  <CharactersWithSpaces>1785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2020-05-27T14:14:22Z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v1.0_mb_FFSe3Hs3hUfa1arXY3IemA==</vt:lpwstr>
  </property>
</Properties>
</file>