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企业文化传播体系构建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企业文化传播体系构建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1717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171700"/>
                        </a:xfrm>
                        <a:prstGeom prst="rect">
                          <a:avLst/>
                        </a:prstGeom>
                        <a:solidFill>
                          <a:srgbClr val="FFFFFF">
                            <a:alpha val="0"/>
                          </a:srgbClr>
                        </a:solidFill>
                        <a:ln>
                          <a:noFill/>
                        </a:ln>
                      </wps:spPr>
                      <wps:txb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企业文化活动</w:t>
                            </w:r>
                          </w:p>
                          <w:p>
                            <w:pPr>
                              <w:spacing w:line="1500" w:lineRule="exact"/>
                              <w:jc w:val="center"/>
                              <w:rPr>
                                <w:sz w:val="108"/>
                                <w:szCs w:val="108"/>
                              </w:rPr>
                            </w:pPr>
                            <w:r>
                              <w:rPr>
                                <w:rFonts w:ascii="SimHei" w:hAnsi="SimHei" w:eastAsia="黑体" w:cs="SimHei"/>
                                <w:b/>
                                <w:sz w:val="108"/>
                                <w:szCs w:val="108"/>
                              </w:rPr>
                              <w:t>费用预算表</w:t>
                            </w:r>
                          </w:p>
                        </w:txbxContent>
                      </wps:txbx>
                      <wps:bodyPr wrap="square" upright="1"/>
                    </wps:wsp>
                  </a:graphicData>
                </a:graphic>
              </wp:anchor>
            </w:drawing>
          </mc:Choice>
          <mc:Fallback>
            <w:pict>
              <v:shape id="文本框 10" o:spid="_x0000_s1026" o:spt="202" type="#_x0000_t202" style="position:absolute;left:0pt;margin-left:-67.05pt;margin-top:2.1pt;height:171pt;width:564pt;z-index:251664384;mso-width-relative:page;mso-height-relative:page;" fillcolor="#FFFFFF" filled="t" stroked="f" coordsize="21600,21600" o:gfxdata="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R0wm2gAAAAoBAAAPAAAAAAAAAAEAIAAAACIAAABkcnMvZG93bnJldi54bWxQSwEC&#10;FAAUAAAACACHTuJA3cdxMrkBAABWAwAADgAAAAAAAAABACAAAAApAQAAZHJzL2Uyb0RvYy54bWxQ&#10;SwUGAAAAAAYABgBZAQAAVAUAAAAA&#10;">
                <v:fill on="t" opacity="0f" focussize="0,0"/>
                <v:stroke on="f"/>
                <v:imagedata o:title=""/>
                <o:lock v:ext="edit" aspectratio="f"/>
                <v:textbo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企业文化活动</w:t>
                      </w:r>
                    </w:p>
                    <w:p>
                      <w:pPr>
                        <w:spacing w:line="1500" w:lineRule="exact"/>
                        <w:jc w:val="center"/>
                        <w:rPr>
                          <w:sz w:val="108"/>
                          <w:szCs w:val="108"/>
                        </w:rPr>
                      </w:pPr>
                      <w:r>
                        <w:rPr>
                          <w:rFonts w:ascii="SimHei" w:hAnsi="SimHei" w:eastAsia="黑体" w:cs="SimHei"/>
                          <w:b/>
                          <w:sz w:val="108"/>
                          <w:szCs w:val="108"/>
                        </w:rPr>
                        <w:t>费用预算表</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企业文化传播体系构建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4：企业文化活动费用预算表</w:t>
      </w:r>
    </w:p>
    <w:p>
      <w:pPr>
        <w:ind w:firstLine="560" w:firstLineChars="200"/>
        <w:rPr>
          <w:rFonts w:ascii="SimHei" w:hAnsi="SimHei" w:eastAsia="黑体" w:cs="SimHei"/>
          <w:sz w:val="28"/>
          <w:szCs w:val="28"/>
        </w:rPr>
      </w:pPr>
      <w:r>
        <w:rPr>
          <w:rFonts w:ascii="SimHei" w:hAnsi="SimHei" w:eastAsia="黑体" w:cs="SimHei"/>
          <w:sz w:val="28"/>
          <w:szCs w:val="28"/>
        </w:rPr>
        <w:t>本工具适用于一般的企业文化活动，如公司年会、大型晚会、专题培训、各类竞赛等，尤其适合于企业内部使用，因为所列项目已经进行了细分，便于精确控制活动成本。所列项目仅供参考，使用者应根据实际需求进行适当增减。预算表最好转化为EXEL格式，可以设计自动计算公式，使用则更为方便。</w:t>
      </w:r>
    </w:p>
    <w:p>
      <w:pPr>
        <w:rPr>
          <w:rFonts w:ascii="SimHei" w:hAnsi="SimHei" w:eastAsia="黑体" w:cs="SimHei"/>
        </w:rPr>
      </w:pPr>
    </w:p>
    <w:tbl>
      <w:tblPr>
        <w:tblStyle w:val="11"/>
        <w:tblW w:w="9923" w:type="dxa"/>
        <w:jc w:val="center"/>
        <w:tblLayout w:type="autofit"/>
        <w:tblCellMar>
          <w:top w:w="0" w:type="dxa"/>
          <w:left w:w="108" w:type="dxa"/>
          <w:bottom w:w="0" w:type="dxa"/>
          <w:right w:w="108" w:type="dxa"/>
        </w:tblCellMar>
      </w:tblPr>
      <w:tblGrid>
        <w:gridCol w:w="2694"/>
        <w:gridCol w:w="709"/>
        <w:gridCol w:w="709"/>
        <w:gridCol w:w="876"/>
        <w:gridCol w:w="1108"/>
        <w:gridCol w:w="1134"/>
        <w:gridCol w:w="2693"/>
      </w:tblGrid>
      <w:tr>
        <w:tblPrEx>
          <w:tblCellMar>
            <w:top w:w="0" w:type="dxa"/>
            <w:left w:w="108" w:type="dxa"/>
            <w:bottom w:w="0" w:type="dxa"/>
            <w:right w:w="108" w:type="dxa"/>
          </w:tblCellMar>
        </w:tblPrEx>
        <w:trPr>
          <w:wBefore w:w="0" w:type="dxa"/>
          <w:wAfter w:w="0" w:type="dxa"/>
          <w:trHeight w:val="435" w:hRule="atLeast"/>
          <w:jc w:val="center"/>
        </w:trPr>
        <w:tc>
          <w:tcPr>
            <w:tcW w:w="2694" w:type="dxa"/>
            <w:tcBorders>
              <w:top w:val="single" w:color="auto" w:sz="8" w:space="0"/>
              <w:left w:val="single" w:color="auto" w:sz="8" w:space="0"/>
              <w:bottom w:val="single" w:color="auto" w:sz="8" w:space="0"/>
              <w:right w:val="single" w:color="auto" w:sz="8" w:space="0"/>
            </w:tcBorders>
            <w:shd w:val="clear" w:color="000000" w:fill="FFC000"/>
            <w:noWrap/>
            <w:vAlign w:val="center"/>
          </w:tcPr>
          <w:p>
            <w:pPr>
              <w:widowControl/>
              <w:jc w:val="center"/>
              <w:rPr>
                <w:rFonts w:ascii="SimHei" w:hAnsi="SimHei" w:eastAsia="黑体" w:cs="SimHei"/>
                <w:kern w:val="0"/>
                <w:szCs w:val="21"/>
              </w:rPr>
            </w:pPr>
            <w:r>
              <w:rPr>
                <w:rFonts w:ascii="SimHei" w:hAnsi="SimHei" w:eastAsia="黑体" w:cs="SimHei"/>
                <w:kern w:val="0"/>
                <w:szCs w:val="21"/>
              </w:rPr>
              <w:t>项</w:t>
            </w:r>
            <w:r>
              <w:rPr>
                <w:kern w:val="0"/>
                <w:szCs w:val="21"/>
              </w:rPr>
              <w:t xml:space="preserve">  </w:t>
            </w:r>
            <w:r>
              <w:rPr>
                <w:rFonts w:ascii="SimHei" w:hAnsi="SimHei" w:eastAsia="黑体" w:cs="SimHei"/>
                <w:kern w:val="0"/>
                <w:szCs w:val="21"/>
              </w:rPr>
              <w:t>目</w:t>
            </w:r>
          </w:p>
        </w:tc>
        <w:tc>
          <w:tcPr>
            <w:tcW w:w="1418" w:type="dxa"/>
            <w:gridSpan w:val="2"/>
            <w:tcBorders>
              <w:top w:val="single" w:color="auto" w:sz="8" w:space="0"/>
              <w:left w:val="nil"/>
              <w:bottom w:val="single" w:color="auto" w:sz="8" w:space="0"/>
              <w:right w:val="single" w:color="auto" w:sz="8" w:space="0"/>
            </w:tcBorders>
            <w:shd w:val="clear" w:color="000000" w:fill="FFC000"/>
            <w:noWrap/>
            <w:vAlign w:val="center"/>
          </w:tcPr>
          <w:p>
            <w:pPr>
              <w:widowControl/>
              <w:jc w:val="center"/>
              <w:rPr>
                <w:rFonts w:ascii="SimHei" w:hAnsi="SimHei" w:eastAsia="黑体" w:cs="SimHei"/>
                <w:kern w:val="0"/>
                <w:szCs w:val="21"/>
              </w:rPr>
            </w:pPr>
            <w:r>
              <w:rPr>
                <w:rFonts w:ascii="SimHei" w:hAnsi="SimHei" w:eastAsia="黑体" w:cs="SimHei"/>
                <w:kern w:val="0"/>
                <w:szCs w:val="21"/>
              </w:rPr>
              <w:t>数量／单位</w:t>
            </w:r>
          </w:p>
        </w:tc>
        <w:tc>
          <w:tcPr>
            <w:tcW w:w="876" w:type="dxa"/>
            <w:tcBorders>
              <w:top w:val="single" w:color="auto" w:sz="8" w:space="0"/>
              <w:left w:val="nil"/>
              <w:bottom w:val="single" w:color="auto" w:sz="8" w:space="0"/>
              <w:right w:val="single" w:color="auto" w:sz="8" w:space="0"/>
            </w:tcBorders>
            <w:shd w:val="clear" w:color="000000" w:fill="FFC000"/>
            <w:noWrap/>
            <w:vAlign w:val="center"/>
          </w:tcPr>
          <w:p>
            <w:pPr>
              <w:widowControl/>
              <w:jc w:val="center"/>
              <w:rPr>
                <w:rFonts w:ascii="SimHei" w:hAnsi="SimHei" w:eastAsia="黑体" w:cs="SimHei"/>
                <w:kern w:val="0"/>
                <w:szCs w:val="21"/>
              </w:rPr>
            </w:pPr>
            <w:r>
              <w:rPr>
                <w:rFonts w:ascii="SimHei" w:hAnsi="SimHei" w:eastAsia="黑体" w:cs="SimHei"/>
                <w:kern w:val="0"/>
                <w:szCs w:val="21"/>
              </w:rPr>
              <w:t>单价（元）</w:t>
            </w:r>
          </w:p>
        </w:tc>
        <w:tc>
          <w:tcPr>
            <w:tcW w:w="1108" w:type="dxa"/>
            <w:tcBorders>
              <w:top w:val="single" w:color="auto" w:sz="8" w:space="0"/>
              <w:left w:val="nil"/>
              <w:bottom w:val="single" w:color="auto" w:sz="8" w:space="0"/>
              <w:right w:val="single" w:color="auto" w:sz="8" w:space="0"/>
            </w:tcBorders>
            <w:shd w:val="clear" w:color="000000" w:fill="FFC000"/>
            <w:noWrap/>
            <w:vAlign w:val="center"/>
          </w:tcPr>
          <w:p>
            <w:pPr>
              <w:widowControl/>
              <w:jc w:val="center"/>
              <w:rPr>
                <w:rFonts w:ascii="SimHei" w:hAnsi="SimHei" w:eastAsia="黑体" w:cs="SimHei"/>
                <w:kern w:val="0"/>
                <w:szCs w:val="21"/>
              </w:rPr>
            </w:pPr>
            <w:r>
              <w:rPr>
                <w:rFonts w:ascii="SimHei" w:hAnsi="SimHei" w:eastAsia="黑体" w:cs="SimHei"/>
                <w:kern w:val="0"/>
                <w:szCs w:val="21"/>
              </w:rPr>
              <w:t>细项总额（元）</w:t>
            </w:r>
          </w:p>
        </w:tc>
        <w:tc>
          <w:tcPr>
            <w:tcW w:w="1134" w:type="dxa"/>
            <w:tcBorders>
              <w:top w:val="single" w:color="auto" w:sz="8" w:space="0"/>
              <w:left w:val="nil"/>
              <w:bottom w:val="single" w:color="auto" w:sz="8" w:space="0"/>
              <w:right w:val="single" w:color="auto" w:sz="8" w:space="0"/>
            </w:tcBorders>
            <w:shd w:val="clear" w:color="000000" w:fill="FFC000"/>
            <w:noWrap/>
            <w:vAlign w:val="center"/>
          </w:tcPr>
          <w:p>
            <w:pPr>
              <w:widowControl/>
              <w:jc w:val="center"/>
              <w:rPr>
                <w:rFonts w:ascii="SimHei" w:hAnsi="SimHei" w:eastAsia="黑体" w:cs="SimHei"/>
                <w:kern w:val="0"/>
                <w:szCs w:val="21"/>
              </w:rPr>
            </w:pPr>
            <w:r>
              <w:rPr>
                <w:rFonts w:ascii="SimHei" w:hAnsi="SimHei" w:eastAsia="黑体" w:cs="SimHei"/>
                <w:kern w:val="0"/>
                <w:szCs w:val="21"/>
              </w:rPr>
              <w:t>大项总额（元）</w:t>
            </w:r>
          </w:p>
        </w:tc>
        <w:tc>
          <w:tcPr>
            <w:tcW w:w="2693" w:type="dxa"/>
            <w:tcBorders>
              <w:top w:val="single" w:color="auto" w:sz="8" w:space="0"/>
              <w:left w:val="nil"/>
              <w:bottom w:val="single" w:color="auto" w:sz="8" w:space="0"/>
              <w:right w:val="single" w:color="auto" w:sz="8" w:space="0"/>
            </w:tcBorders>
            <w:shd w:val="clear" w:color="000000" w:fill="FFC000"/>
            <w:noWrap/>
            <w:vAlign w:val="center"/>
          </w:tcPr>
          <w:p>
            <w:pPr>
              <w:widowControl/>
              <w:jc w:val="center"/>
              <w:rPr>
                <w:rFonts w:ascii="SimHei" w:hAnsi="SimHei" w:eastAsia="黑体" w:cs="SimHei"/>
                <w:kern w:val="0"/>
                <w:szCs w:val="21"/>
              </w:rPr>
            </w:pPr>
            <w:r>
              <w:rPr>
                <w:rFonts w:ascii="SimHei" w:hAnsi="SimHei" w:eastAsia="黑体" w:cs="SimHei"/>
                <w:kern w:val="0"/>
                <w:szCs w:val="21"/>
              </w:rPr>
              <w:t>备注</w:t>
            </w:r>
          </w:p>
        </w:tc>
      </w:tr>
      <w:tr>
        <w:tblPrEx>
          <w:tblCellMar>
            <w:top w:w="0" w:type="dxa"/>
            <w:left w:w="108" w:type="dxa"/>
            <w:bottom w:w="0" w:type="dxa"/>
            <w:right w:w="108" w:type="dxa"/>
          </w:tblCellMar>
        </w:tblPrEx>
        <w:trPr>
          <w:wBefore w:w="0" w:type="dxa"/>
          <w:wAfter w:w="0" w:type="dxa"/>
          <w:trHeight w:val="420"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left"/>
              <w:rPr>
                <w:rFonts w:ascii="SimHei" w:hAnsi="SimHei" w:eastAsia="黑体" w:cs="SimHei"/>
                <w:b/>
                <w:bCs/>
                <w:kern w:val="0"/>
                <w:szCs w:val="21"/>
                <w:u w:val="single"/>
              </w:rPr>
            </w:pPr>
            <w:r>
              <w:rPr>
                <w:rFonts w:ascii="SimHei" w:hAnsi="SimHei" w:eastAsia="黑体" w:cs="SimHei"/>
                <w:b/>
                <w:bCs/>
                <w:kern w:val="0"/>
                <w:szCs w:val="21"/>
                <w:u w:val="single"/>
              </w:rPr>
              <w:t>活动费用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20"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活动VI设计费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活动背景板</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宴会背景板</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演讲台装饰板</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桁架/展板</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签到处、室外、走廊等</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红地毯</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横幅</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条</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拱门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气球</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气柱</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花篮</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道旗</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幅</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指示牌</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34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易拉宝</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34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鲜花/绿植</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盆</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演讲台、主席台、签到台、贵宾室</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签到用品及VIP胸花</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签到簿、签名笔、胸花</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工作证</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参会证</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请柬</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份</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桌牌</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0"/>
            <w:vAlign w:val="center"/>
          </w:tcPr>
          <w:p>
            <w:pPr>
              <w:widowControl/>
              <w:jc w:val="right"/>
              <w:rPr>
                <w:rFonts w:ascii="SimHei" w:hAnsi="SimHei" w:eastAsia="黑体" w:cs="SimHei"/>
                <w:kern w:val="0"/>
                <w:szCs w:val="21"/>
              </w:rPr>
            </w:pPr>
            <w:r>
              <w:rPr>
                <w:rFonts w:ascii="SimHei" w:hAnsi="SimHei" w:eastAsia="黑体" w:cs="SimHei"/>
                <w:kern w:val="0"/>
                <w:szCs w:val="21"/>
              </w:rPr>
              <w:t>接机牌</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kern w:val="0"/>
                <w:szCs w:val="21"/>
              </w:rPr>
            </w:pPr>
            <w:r>
              <w:rPr>
                <w:kern w:val="0"/>
                <w:szCs w:val="21"/>
              </w:rPr>
              <w:t xml:space="preserve">                                  </w:t>
            </w:r>
            <w:r>
              <w:rPr>
                <w:rFonts w:ascii="SimHei" w:hAnsi="SimHei" w:eastAsia="黑体" w:cs="SimHei"/>
                <w:kern w:val="0"/>
                <w:szCs w:val="21"/>
              </w:rPr>
              <w:t>场地租费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贵宾室</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次</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kern w:val="0"/>
                <w:szCs w:val="21"/>
              </w:rPr>
            </w:pPr>
            <w:r>
              <w:rPr>
                <w:kern w:val="0"/>
                <w:szCs w:val="21"/>
              </w:rPr>
              <w:t xml:space="preserve">                               </w:t>
            </w:r>
            <w:r>
              <w:rPr>
                <w:rFonts w:ascii="SimHei" w:hAnsi="SimHei" w:eastAsia="黑体" w:cs="SimHei"/>
                <w:kern w:val="0"/>
                <w:szCs w:val="21"/>
              </w:rPr>
              <w:t>投影仪租费</w:t>
            </w:r>
            <w:r>
              <w:rPr>
                <w:kern w:val="0"/>
                <w:szCs w:val="21"/>
              </w:rPr>
              <w:t xml:space="preserve">                           </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含激光笔</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kern w:val="0"/>
                <w:szCs w:val="21"/>
              </w:rPr>
            </w:pPr>
            <w:r>
              <w:rPr>
                <w:kern w:val="0"/>
                <w:szCs w:val="21"/>
              </w:rPr>
              <w:t>LED</w:t>
            </w:r>
            <w:r>
              <w:rPr>
                <w:rFonts w:ascii="SimHei" w:hAnsi="SimHei" w:eastAsia="黑体" w:cs="SimHei"/>
                <w:kern w:val="0"/>
                <w:szCs w:val="21"/>
              </w:rPr>
              <w:t>显示屏租费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其它设备器材（租或自备）</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音响、电脑、相机、录音笔、电池等</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资料袋</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活动手册</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本</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宣传册</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本</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一般指定制的形象或产品宣传册子</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文具用品</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套</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笔、本子或便笺纸、新闻稿、问卷</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赠品/礼品</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份</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现场翻译费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现场速记费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视频短片制作费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短片时间一般为5分钟左右</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全程摄像录制费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全程摄影费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现场视频技术传输费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灯光舞美</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现场音乐</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矿泉水</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瓶</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活动茶点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医药箱</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备有常用药品</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269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SimHei" w:hAnsi="SimHei" w:eastAsia="黑体" w:cs="SimHei"/>
                <w:b/>
                <w:bCs/>
                <w:kern w:val="0"/>
                <w:szCs w:val="21"/>
                <w:u w:val="single"/>
              </w:rPr>
            </w:pPr>
            <w:r>
              <w:rPr>
                <w:rFonts w:ascii="SimHei" w:hAnsi="SimHei" w:eastAsia="黑体" w:cs="SimHei"/>
                <w:b/>
                <w:bCs/>
                <w:kern w:val="0"/>
                <w:szCs w:val="21"/>
                <w:u w:val="single"/>
              </w:rPr>
              <w:t>媒体宣传费用</w:t>
            </w:r>
          </w:p>
        </w:tc>
        <w:tc>
          <w:tcPr>
            <w:tcW w:w="709"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876"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2693" w:type="dxa"/>
            <w:tcBorders>
              <w:top w:val="single" w:color="auto" w:sz="8" w:space="0"/>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4" w:space="0"/>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媒体发稿</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家</w:t>
            </w:r>
          </w:p>
        </w:tc>
        <w:tc>
          <w:tcPr>
            <w:tcW w:w="87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single" w:color="auto" w:sz="4" w:space="0"/>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电视台可另算</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媒体专访</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家</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电视台可另算</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媒体邀请与协调</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家</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网络专题设计与制作费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个</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自己设立或者与媒体合作</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广告投放</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家</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新闻剪报制作</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份</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269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SimHei" w:hAnsi="SimHei" w:eastAsia="黑体" w:cs="SimHei"/>
                <w:b/>
                <w:bCs/>
                <w:kern w:val="0"/>
                <w:szCs w:val="21"/>
                <w:u w:val="single"/>
              </w:rPr>
            </w:pPr>
            <w:r>
              <w:rPr>
                <w:rFonts w:ascii="SimHei" w:hAnsi="SimHei" w:eastAsia="黑体" w:cs="SimHei"/>
                <w:b/>
                <w:bCs/>
                <w:kern w:val="0"/>
                <w:szCs w:val="21"/>
                <w:u w:val="single"/>
              </w:rPr>
              <w:t>招待费用</w:t>
            </w:r>
          </w:p>
        </w:tc>
        <w:tc>
          <w:tcPr>
            <w:tcW w:w="709"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876"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2693" w:type="dxa"/>
            <w:tcBorders>
              <w:top w:val="single" w:color="auto" w:sz="8" w:space="0"/>
              <w:left w:val="nil"/>
              <w:bottom w:val="nil"/>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4" w:space="0"/>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午宴</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桌</w:t>
            </w:r>
          </w:p>
        </w:tc>
        <w:tc>
          <w:tcPr>
            <w:tcW w:w="87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single" w:color="auto" w:sz="4" w:space="0"/>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single" w:color="auto" w:sz="4" w:space="0"/>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晚宴</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桌</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往返机票/火车</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专车租赁费用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辆</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接送嘉宾</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嘉宾住宿费用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临时用餐费可估算在其中</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其他餐费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人次</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269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SimHei" w:hAnsi="SimHei" w:eastAsia="黑体" w:cs="SimHei"/>
                <w:b/>
                <w:bCs/>
                <w:kern w:val="0"/>
                <w:szCs w:val="21"/>
                <w:u w:val="single"/>
              </w:rPr>
            </w:pPr>
            <w:r>
              <w:rPr>
                <w:rFonts w:ascii="SimHei" w:hAnsi="SimHei" w:eastAsia="黑体" w:cs="SimHei"/>
                <w:b/>
                <w:bCs/>
                <w:kern w:val="0"/>
                <w:szCs w:val="21"/>
                <w:u w:val="single"/>
              </w:rPr>
              <w:t>嘉宾费用</w:t>
            </w:r>
          </w:p>
        </w:tc>
        <w:tc>
          <w:tcPr>
            <w:tcW w:w="709"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876"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single" w:color="auto" w:sz="8" w:space="0"/>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2693" w:type="dxa"/>
            <w:tcBorders>
              <w:top w:val="single" w:color="auto" w:sz="8" w:space="0"/>
              <w:left w:val="nil"/>
              <w:bottom w:val="nil"/>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4" w:space="0"/>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演讲嘉宾费用</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single" w:color="auto" w:sz="4" w:space="0"/>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single" w:color="auto" w:sz="4" w:space="0"/>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主持人费用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专家费用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税费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4" w:space="0"/>
              <w:bottom w:val="nil"/>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nil"/>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nil"/>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nil"/>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nil"/>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2693" w:type="dxa"/>
            <w:tcBorders>
              <w:top w:val="nil"/>
              <w:left w:val="nil"/>
              <w:bottom w:val="nil"/>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8" w:space="0"/>
              <w:left w:val="single" w:color="auto" w:sz="8" w:space="0"/>
              <w:bottom w:val="single" w:color="auto" w:sz="4" w:space="0"/>
              <w:right w:val="nil"/>
            </w:tcBorders>
            <w:shd w:val="clear" w:color="auto" w:fill="auto"/>
            <w:noWrap/>
            <w:vAlign w:val="center"/>
          </w:tcPr>
          <w:p>
            <w:pPr>
              <w:widowControl/>
              <w:jc w:val="left"/>
              <w:rPr>
                <w:rFonts w:ascii="SimHei" w:hAnsi="SimHei" w:eastAsia="黑体" w:cs="SimHei"/>
                <w:b/>
                <w:bCs/>
                <w:kern w:val="0"/>
                <w:szCs w:val="21"/>
                <w:u w:val="single"/>
              </w:rPr>
            </w:pPr>
            <w:r>
              <w:rPr>
                <w:rFonts w:ascii="SimHei" w:hAnsi="SimHei" w:eastAsia="黑体" w:cs="SimHei"/>
                <w:b/>
                <w:bCs/>
                <w:kern w:val="0"/>
                <w:szCs w:val="21"/>
                <w:u w:val="single"/>
              </w:rPr>
              <w:t>人员费用及其它</w:t>
            </w:r>
          </w:p>
        </w:tc>
        <w:tc>
          <w:tcPr>
            <w:tcW w:w="709"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876" w:type="dxa"/>
            <w:tcBorders>
              <w:top w:val="single" w:color="auto" w:sz="8"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single" w:color="auto" w:sz="8" w:space="0"/>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single" w:color="auto" w:sz="8" w:space="0"/>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工作人员费用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礼仪费用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学生志愿者费用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工作人员往返机票/火车</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人</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会务房费（2间）</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通讯交通办公杂费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物料运输费</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天</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single" w:color="auto" w:sz="4" w:space="0"/>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图书出版费用</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本</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含编辑、书号等出版成本费用。</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nil"/>
              <w:left w:val="single" w:color="auto" w:sz="8" w:space="0"/>
              <w:bottom w:val="nil"/>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其它费用</w:t>
            </w:r>
          </w:p>
        </w:tc>
        <w:tc>
          <w:tcPr>
            <w:tcW w:w="709" w:type="dxa"/>
            <w:tcBorders>
              <w:top w:val="nil"/>
              <w:left w:val="single" w:color="auto" w:sz="4" w:space="0"/>
              <w:bottom w:val="nil"/>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nil"/>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876" w:type="dxa"/>
            <w:tcBorders>
              <w:top w:val="nil"/>
              <w:left w:val="nil"/>
              <w:bottom w:val="nil"/>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nil"/>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2693" w:type="dxa"/>
            <w:tcBorders>
              <w:top w:val="nil"/>
              <w:left w:val="single" w:color="auto" w:sz="4" w:space="0"/>
              <w:bottom w:val="nil"/>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2694" w:type="dxa"/>
            <w:tcBorders>
              <w:top w:val="single" w:color="auto" w:sz="4" w:space="0"/>
              <w:left w:val="single" w:color="auto" w:sz="8" w:space="0"/>
              <w:bottom w:val="nil"/>
              <w:right w:val="nil"/>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xml:space="preserve"> </w:t>
            </w:r>
          </w:p>
        </w:tc>
        <w:tc>
          <w:tcPr>
            <w:tcW w:w="709"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single" w:color="auto" w:sz="4" w:space="0"/>
              <w:left w:val="nil"/>
              <w:bottom w:val="nil"/>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876" w:type="dxa"/>
            <w:tcBorders>
              <w:top w:val="single" w:color="auto" w:sz="4" w:space="0"/>
              <w:left w:val="nil"/>
              <w:bottom w:val="nil"/>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08" w:type="dxa"/>
            <w:tcBorders>
              <w:top w:val="nil"/>
              <w:left w:val="nil"/>
              <w:bottom w:val="nil"/>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nil"/>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2693" w:type="dxa"/>
            <w:tcBorders>
              <w:top w:val="single" w:color="auto" w:sz="4" w:space="0"/>
              <w:left w:val="nil"/>
              <w:bottom w:val="nil"/>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096" w:type="dxa"/>
            <w:gridSpan w:val="5"/>
            <w:tcBorders>
              <w:top w:val="single" w:color="auto" w:sz="8" w:space="0"/>
              <w:left w:val="single" w:color="auto" w:sz="4" w:space="0"/>
              <w:bottom w:val="single" w:color="auto" w:sz="4" w:space="0"/>
              <w:right w:val="single" w:color="auto" w:sz="4" w:space="0"/>
            </w:tcBorders>
            <w:shd w:val="clear" w:color="000000" w:fill="DBEEF3"/>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费用合计Sum</w:t>
            </w:r>
          </w:p>
        </w:tc>
        <w:tc>
          <w:tcPr>
            <w:tcW w:w="1134" w:type="dxa"/>
            <w:tcBorders>
              <w:top w:val="single" w:color="auto" w:sz="8" w:space="0"/>
              <w:left w:val="nil"/>
              <w:bottom w:val="single" w:color="auto" w:sz="4" w:space="0"/>
              <w:right w:val="single" w:color="auto" w:sz="4" w:space="0"/>
            </w:tcBorders>
            <w:shd w:val="clear" w:color="000000" w:fill="DBEEF3"/>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2693" w:type="dxa"/>
            <w:tcBorders>
              <w:top w:val="single" w:color="auto" w:sz="8" w:space="0"/>
              <w:left w:val="nil"/>
              <w:bottom w:val="single" w:color="auto" w:sz="4" w:space="0"/>
              <w:right w:val="single" w:color="auto" w:sz="8" w:space="0"/>
            </w:tcBorders>
            <w:shd w:val="clear" w:color="000000" w:fill="DBEEF3"/>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096" w:type="dxa"/>
            <w:gridSpan w:val="5"/>
            <w:tcBorders>
              <w:top w:val="single" w:color="auto" w:sz="4" w:space="0"/>
              <w:left w:val="single" w:color="auto" w:sz="4" w:space="0"/>
              <w:bottom w:val="single" w:color="auto" w:sz="4" w:space="0"/>
              <w:right w:val="single" w:color="auto" w:sz="4" w:space="0"/>
            </w:tcBorders>
            <w:shd w:val="clear" w:color="000000" w:fill="E5E0EC"/>
            <w:noWrap/>
            <w:vAlign w:val="bottom"/>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不可预算费用（5%）</w:t>
            </w:r>
          </w:p>
        </w:tc>
        <w:tc>
          <w:tcPr>
            <w:tcW w:w="1134" w:type="dxa"/>
            <w:tcBorders>
              <w:top w:val="nil"/>
              <w:left w:val="nil"/>
              <w:bottom w:val="single" w:color="auto" w:sz="4" w:space="0"/>
              <w:right w:val="single" w:color="auto" w:sz="4" w:space="0"/>
            </w:tcBorders>
            <w:shd w:val="clear" w:color="000000" w:fill="E5E0EC"/>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2693" w:type="dxa"/>
            <w:tcBorders>
              <w:top w:val="nil"/>
              <w:left w:val="nil"/>
              <w:bottom w:val="single" w:color="auto" w:sz="4" w:space="0"/>
              <w:right w:val="single" w:color="auto" w:sz="8" w:space="0"/>
            </w:tcBorders>
            <w:shd w:val="clear" w:color="000000" w:fill="E5E0EC"/>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096" w:type="dxa"/>
            <w:gridSpan w:val="5"/>
            <w:tcBorders>
              <w:top w:val="nil"/>
              <w:left w:val="nil"/>
              <w:bottom w:val="single" w:color="auto" w:sz="8" w:space="0"/>
              <w:right w:val="nil"/>
            </w:tcBorders>
            <w:shd w:val="clear" w:color="000000" w:fill="FFFF00"/>
            <w:noWrap/>
            <w:vAlign w:val="bottom"/>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总计Sum</w:t>
            </w:r>
          </w:p>
        </w:tc>
        <w:tc>
          <w:tcPr>
            <w:tcW w:w="1134" w:type="dxa"/>
            <w:tcBorders>
              <w:top w:val="nil"/>
              <w:left w:val="nil"/>
              <w:bottom w:val="single" w:color="auto" w:sz="8" w:space="0"/>
              <w:right w:val="nil"/>
            </w:tcBorders>
            <w:shd w:val="clear" w:color="000000" w:fill="FFFF00"/>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2693" w:type="dxa"/>
            <w:tcBorders>
              <w:top w:val="nil"/>
              <w:left w:val="nil"/>
              <w:bottom w:val="single" w:color="auto" w:sz="8" w:space="0"/>
              <w:right w:val="single" w:color="auto" w:sz="8" w:space="0"/>
            </w:tcBorders>
            <w:shd w:val="clear" w:color="000000" w:fill="FFFF00"/>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bl>
    <w:p>
      <w:pPr>
        <w:rPr>
          <w:rFonts w:ascii="SimHei" w:hAnsi="SimHei" w:eastAsia="黑体" w:cs="SimHei"/>
        </w:rPr>
      </w:pPr>
    </w:p>
    <w:p>
      <w:pPr>
        <w:rPr>
          <w:rFonts w:ascii="SimHei" w:hAnsi="SimHei" w:eastAsia="黑体" w:cs="SimHei"/>
        </w:rPr>
      </w:pPr>
    </w:p>
    <w:p>
      <w:pPr>
        <w:rPr>
          <w:rFonts w:ascii="SimHei" w:hAnsi="SimHei" w:eastAsia="黑体" w:cs="SimHei"/>
        </w:rPr>
      </w:pPr>
    </w:p>
    <w:p>
      <w:pPr>
        <w:spacing w:line="500" w:lineRule="exact"/>
        <w:ind w:firstLine="480" w:firstLineChars="200"/>
        <w:jc w:val="left"/>
        <w:rPr>
          <w:rFonts w:ascii="SimHei" w:hAnsi="SimHei" w:eastAsia="黑体" w:cs="SimHei"/>
          <w:sz w:val="24"/>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企业文化建设实务——企业文化传播体系构建——实用工具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91ADD"/>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517CB"/>
    <w:rsid w:val="0037283D"/>
    <w:rsid w:val="00380CE0"/>
    <w:rsid w:val="00387388"/>
    <w:rsid w:val="00390EFC"/>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0655B"/>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225FB"/>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A4045"/>
    <w:rsid w:val="00FA5856"/>
    <w:rsid w:val="308A45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5</Pages>
  <Words>384</Words>
  <Characters>2192</Characters>
  <Lines>18</Lines>
  <Paragraphs>5</Paragraphs>
  <TotalTime>0</TotalTime>
  <ScaleCrop>false</ScaleCrop>
  <LinksUpToDate>false</LinksUpToDate>
  <CharactersWithSpaces>2571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2020-05-27T14:14:51Z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v1.0_mb_eOOk6a13JM+oljPY6Io6iQ==</vt:lpwstr>
  </property>
</Properties>
</file>