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1717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171700"/>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企业文化传播载体</w:t>
                            </w:r>
                          </w:p>
                          <w:p>
                            <w:pPr>
                              <w:spacing w:line="1500" w:lineRule="exact"/>
                              <w:jc w:val="center"/>
                              <w:rPr>
                                <w:sz w:val="108"/>
                                <w:szCs w:val="108"/>
                              </w:rPr>
                            </w:pPr>
                            <w:r>
                              <w:rPr>
                                <w:rFonts w:ascii="SimHei" w:hAnsi="SimHei" w:eastAsia="黑体" w:cs="SimHei"/>
                                <w:b/>
                                <w:sz w:val="108"/>
                                <w:szCs w:val="108"/>
                              </w:rPr>
                              <w:t>分类清单</w:t>
                            </w:r>
                          </w:p>
                        </w:txbxContent>
                      </wps:txbx>
                      <wps:bodyPr wrap="square" upright="1"/>
                    </wps:wsp>
                  </a:graphicData>
                </a:graphic>
              </wp:anchor>
            </w:drawing>
          </mc:Choice>
          <mc:Fallback>
            <w:pict>
              <v:shape id="文本框 10" o:spid="_x0000_s1026" o:spt="202" type="#_x0000_t202" style="position:absolute;left:0pt;margin-left:-67.05pt;margin-top:2.1pt;height:171pt;width:564pt;z-index:251664384;mso-width-relative:page;mso-height-relative:page;" fillcolor="#FFFFFF" filled="t" stroked="f" coordsize="21600,21600" o:gfxdata="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R0wm2gAAAAoBAAAPAAAAAAAAAAEAIAAAACIAAABkcnMvZG93bnJldi54bWxQSwEC&#10;FAAUAAAACACHTuJA3cdxMrkBAABWAwAADgAAAAAAAAABACAAAAApAQAAZHJzL2Uyb0RvYy54bWxQ&#10;SwUGAAAAAAYABgBZAQAAVAUAAAAA&#10;">
                <v:fill on="t" opacity="0f" focussize="0,0"/>
                <v:stroke on="f"/>
                <v:imagedata o:title=""/>
                <o:lock v:ext="edit" aspectratio="f"/>
                <v:textbo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企业文化传播载体</w:t>
                      </w:r>
                    </w:p>
                    <w:p>
                      <w:pPr>
                        <w:spacing w:line="1500" w:lineRule="exact"/>
                        <w:jc w:val="center"/>
                        <w:rPr>
                          <w:sz w:val="108"/>
                          <w:szCs w:val="108"/>
                        </w:rPr>
                      </w:pPr>
                      <w:r>
                        <w:rPr>
                          <w:rFonts w:ascii="SimHei" w:hAnsi="SimHei" w:eastAsia="黑体" w:cs="SimHei"/>
                          <w:b/>
                          <w:sz w:val="108"/>
                          <w:szCs w:val="108"/>
                        </w:rPr>
                        <w:t>分类清单</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企业文化传播体系构建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szCs w:val="44"/>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1：企业文化传播载体分类清单</w:t>
      </w:r>
    </w:p>
    <w:p>
      <w:pPr>
        <w:tabs>
          <w:tab w:val="left" w:pos="720"/>
        </w:tabs>
        <w:spacing w:line="600" w:lineRule="exact"/>
        <w:ind w:firstLine="548" w:firstLineChars="196"/>
        <w:rPr>
          <w:rFonts w:ascii="SimHei" w:hAnsi="SimHei" w:eastAsia="黑体" w:cs="SimHei"/>
          <w:sz w:val="28"/>
          <w:szCs w:val="28"/>
        </w:rPr>
      </w:pPr>
      <w:r>
        <w:rPr>
          <w:rFonts w:ascii="SimHei" w:hAnsi="SimHei" w:eastAsia="黑体" w:cs="SimHei"/>
          <w:sz w:val="28"/>
          <w:szCs w:val="28"/>
        </w:rPr>
        <w:t>企业文化传播载体主要分为对内传播与对外传播两大类别。其中，对内传播的目的是促使企业全体员工认知、认同企业的愿景、使命、价值观、企业精神、行为准则等核心理念，并使其内化于心、外化于行；对外传播的目的是促使企业与股东、供应商、政府、社会、消费者等利益相关者进行友好沟通与互动，对外树立良好的社会形象与品牌形象。</w:t>
      </w:r>
    </w:p>
    <w:p>
      <w:pPr>
        <w:tabs>
          <w:tab w:val="left" w:pos="720"/>
        </w:tabs>
        <w:spacing w:line="360" w:lineRule="exact"/>
        <w:ind w:firstLine="470" w:firstLineChars="196"/>
        <w:rPr>
          <w:rFonts w:ascii="SimHei" w:hAnsi="SimHei" w:eastAsia="黑体" w:cs="SimHei"/>
          <w:sz w:val="24"/>
        </w:rPr>
      </w:pPr>
    </w:p>
    <w:p>
      <w:pPr>
        <w:tabs>
          <w:tab w:val="left" w:pos="720"/>
        </w:tabs>
        <w:spacing w:line="360" w:lineRule="exact"/>
        <w:rPr>
          <w:rFonts w:ascii="SimHei" w:hAnsi="SimHei" w:eastAsia="黑体" w:cs="SimHei"/>
          <w:sz w:val="24"/>
        </w:rPr>
      </w:pPr>
    </w:p>
    <w:tbl>
      <w:tblPr>
        <w:tblStyle w:val="11"/>
        <w:tblW w:w="10632"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9"/>
        <w:gridCol w:w="708"/>
        <w:gridCol w:w="3828"/>
        <w:gridCol w:w="425"/>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72" w:hRule="atLeast"/>
        </w:trPr>
        <w:tc>
          <w:tcPr>
            <w:tcW w:w="10632" w:type="dxa"/>
            <w:gridSpan w:val="5"/>
            <w:tcBorders>
              <w:bottom w:val="single" w:color="000000" w:sz="4" w:space="0"/>
            </w:tcBorders>
            <w:shd w:val="clear" w:color="auto" w:fill="DBE5F1"/>
            <w:noWrap w:val="0"/>
            <w:vAlign w:val="center"/>
          </w:tcPr>
          <w:p>
            <w:pPr>
              <w:tabs>
                <w:tab w:val="left" w:pos="720"/>
              </w:tabs>
              <w:spacing w:line="400" w:lineRule="exact"/>
              <w:jc w:val="center"/>
              <w:rPr>
                <w:rFonts w:ascii="SimHei" w:hAnsi="SimHei" w:eastAsia="黑体" w:cs="SimHei"/>
                <w:b/>
                <w:szCs w:val="21"/>
              </w:rPr>
            </w:pPr>
            <w:r>
              <w:rPr>
                <w:rFonts w:ascii="SimHei" w:hAnsi="SimHei" w:eastAsia="黑体" w:cs="SimHei"/>
                <w:b/>
                <w:szCs w:val="21"/>
              </w:rPr>
              <w:t>一、对内传播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分类</w:t>
            </w:r>
          </w:p>
        </w:tc>
        <w:tc>
          <w:tcPr>
            <w:tcW w:w="4536" w:type="dxa"/>
            <w:gridSpan w:val="2"/>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释义/说明</w:t>
            </w:r>
          </w:p>
        </w:tc>
        <w:tc>
          <w:tcPr>
            <w:tcW w:w="4677" w:type="dxa"/>
            <w:gridSpan w:val="2"/>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载体示例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szCs w:val="21"/>
              </w:rPr>
            </w:pPr>
            <w:r>
              <w:rPr>
                <w:rFonts w:ascii="SimHei" w:hAnsi="SimHei" w:eastAsia="黑体" w:cs="SimHei"/>
                <w:b/>
                <w:szCs w:val="21"/>
              </w:rPr>
              <w:t>视听传播</w:t>
            </w:r>
          </w:p>
        </w:tc>
        <w:tc>
          <w:tcPr>
            <w:tcW w:w="4536"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主要是指通过制作与建设视觉标识、文字宣传资料、视频资料、荣誉室等通过视觉、听觉系统传播企业标识、文化理念、案例故事与企业形象等。</w:t>
            </w:r>
          </w:p>
        </w:tc>
        <w:tc>
          <w:tcPr>
            <w:tcW w:w="4677"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企业标语、企业内刊、企业宣传资料、企业文化手册、公司司歌、案例故事集、电子屏幕、宣传栏、文化墙、专题片、故事片、漫画、广播、视听走廊、荣誉室等。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szCs w:val="21"/>
              </w:rPr>
            </w:pPr>
            <w:r>
              <w:rPr>
                <w:rFonts w:ascii="SimHei" w:hAnsi="SimHei" w:eastAsia="黑体" w:cs="SimHei"/>
                <w:b/>
                <w:szCs w:val="21"/>
              </w:rPr>
              <w:t>培训传播</w:t>
            </w:r>
          </w:p>
        </w:tc>
        <w:tc>
          <w:tcPr>
            <w:tcW w:w="4536"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结合“培训体系”构建工作，由企业领导、企业文化宣贯队伍（包括宣贯员、中层骨干、内训师等）、外聘企业文化专家通过各种培训形式向员工传播企业文化建设相关理论知识、本公司企业文化理念、企业文化建设规划与思路、实施路径与方法等。</w:t>
            </w:r>
          </w:p>
        </w:tc>
        <w:tc>
          <w:tcPr>
            <w:tcW w:w="4677"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授课培训、在线学习、宣讲培训、会议培训、角色扮演、模拟沙盘、拓展培训等等。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szCs w:val="21"/>
              </w:rPr>
            </w:pPr>
            <w:r>
              <w:rPr>
                <w:rFonts w:ascii="SimHei" w:hAnsi="SimHei" w:eastAsia="黑体" w:cs="SimHei"/>
                <w:b/>
                <w:szCs w:val="21"/>
              </w:rPr>
              <w:t>会议传播</w:t>
            </w:r>
          </w:p>
        </w:tc>
        <w:tc>
          <w:tcPr>
            <w:tcW w:w="4536" w:type="dxa"/>
            <w:gridSpan w:val="2"/>
            <w:noWrap w:val="0"/>
            <w:vAlign w:val="top"/>
          </w:tcPr>
          <w:p>
            <w:pPr>
              <w:spacing w:line="400" w:lineRule="exact"/>
              <w:rPr>
                <w:rFonts w:ascii="SimHei" w:hAnsi="SimHei" w:eastAsia="黑体" w:cs="SimHei"/>
                <w:szCs w:val="21"/>
              </w:rPr>
            </w:pPr>
            <w:r>
              <w:rPr>
                <w:rFonts w:ascii="SimHei" w:hAnsi="SimHei" w:eastAsia="黑体" w:cs="SimHei"/>
                <w:szCs w:val="21"/>
              </w:rPr>
              <w:t>主要指利用企业内部定期与不定期开展的各类会议，进行企业文化理念及相关工作要求的传播。</w:t>
            </w:r>
          </w:p>
          <w:p>
            <w:pPr>
              <w:tabs>
                <w:tab w:val="left" w:pos="720"/>
              </w:tabs>
              <w:spacing w:line="400" w:lineRule="exact"/>
              <w:rPr>
                <w:rFonts w:ascii="SimHei" w:hAnsi="SimHei" w:eastAsia="黑体" w:cs="SimHei"/>
                <w:szCs w:val="21"/>
              </w:rPr>
            </w:pPr>
          </w:p>
        </w:tc>
        <w:tc>
          <w:tcPr>
            <w:tcW w:w="4677"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例如党组会议、全体员工会议、公司晨会、部门工作例会、安全质量专题会议、研讨会、大型讲座会议、公司年会、表彰会等。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szCs w:val="21"/>
              </w:rPr>
            </w:pPr>
            <w:r>
              <w:rPr>
                <w:rFonts w:ascii="SimHei" w:hAnsi="SimHei" w:eastAsia="黑体" w:cs="SimHei"/>
                <w:b/>
                <w:szCs w:val="21"/>
              </w:rPr>
              <w:t>活动传播</w:t>
            </w:r>
          </w:p>
        </w:tc>
        <w:tc>
          <w:tcPr>
            <w:tcW w:w="4536" w:type="dxa"/>
            <w:gridSpan w:val="2"/>
            <w:noWrap w:val="0"/>
            <w:vAlign w:val="top"/>
          </w:tcPr>
          <w:p>
            <w:pPr>
              <w:spacing w:line="400" w:lineRule="exact"/>
              <w:rPr>
                <w:rFonts w:ascii="SimHei" w:hAnsi="SimHei" w:eastAsia="黑体" w:cs="SimHei"/>
                <w:szCs w:val="21"/>
              </w:rPr>
            </w:pPr>
            <w:r>
              <w:rPr>
                <w:rFonts w:ascii="SimHei" w:hAnsi="SimHei" w:eastAsia="黑体" w:cs="SimHei"/>
                <w:szCs w:val="21"/>
              </w:rPr>
              <w:t>主要指通过开展形式多样的企业文化活动，一方面突出企业文化建设的重点、营造浓厚的企业文化建设氛围，另一方面，让员工直接在轻松、互动的活动中体验式接受和认同企业文化。</w:t>
            </w:r>
          </w:p>
        </w:tc>
        <w:tc>
          <w:tcPr>
            <w:tcW w:w="4677" w:type="dxa"/>
            <w:gridSpan w:val="2"/>
            <w:noWrap w:val="0"/>
            <w:vAlign w:val="top"/>
          </w:tcPr>
          <w:p>
            <w:pPr>
              <w:numPr>
                <w:ilvl w:val="0"/>
                <w:numId w:val="1"/>
              </w:numPr>
              <w:spacing w:line="400" w:lineRule="exact"/>
              <w:rPr>
                <w:rFonts w:ascii="SimHei" w:hAnsi="SimHei" w:eastAsia="黑体" w:cs="SimHei"/>
                <w:szCs w:val="21"/>
              </w:rPr>
            </w:pPr>
            <w:r>
              <w:rPr>
                <w:rFonts w:ascii="SimHei" w:hAnsi="SimHei" w:eastAsia="黑体" w:cs="SimHei"/>
                <w:szCs w:val="21"/>
              </w:rPr>
              <w:t>庆典仪式类：文化手册发放仪式、升旗仪式、公司庆典；</w:t>
            </w:r>
          </w:p>
          <w:p>
            <w:pPr>
              <w:numPr>
                <w:ilvl w:val="0"/>
                <w:numId w:val="1"/>
              </w:numPr>
              <w:spacing w:line="400" w:lineRule="exact"/>
              <w:rPr>
                <w:rFonts w:ascii="SimHei" w:hAnsi="SimHei" w:eastAsia="黑体" w:cs="SimHei"/>
                <w:szCs w:val="21"/>
              </w:rPr>
            </w:pPr>
            <w:r>
              <w:rPr>
                <w:rFonts w:ascii="SimHei" w:hAnsi="SimHei" w:eastAsia="黑体" w:cs="SimHei"/>
                <w:szCs w:val="21"/>
              </w:rPr>
              <w:t>文体活动类：书画展览、文艺演出、运动会、篮球友谊赛、足球友谊赛、各类兴趣小组活动；</w:t>
            </w:r>
          </w:p>
          <w:p>
            <w:pPr>
              <w:numPr>
                <w:ilvl w:val="0"/>
                <w:numId w:val="1"/>
              </w:numPr>
              <w:spacing w:line="400" w:lineRule="exact"/>
              <w:rPr>
                <w:rFonts w:ascii="SimHei" w:hAnsi="SimHei" w:eastAsia="黑体" w:cs="SimHei"/>
                <w:szCs w:val="21"/>
              </w:rPr>
            </w:pPr>
            <w:r>
              <w:rPr>
                <w:rFonts w:ascii="SimHei" w:hAnsi="SimHei" w:eastAsia="黑体" w:cs="SimHei"/>
                <w:szCs w:val="21"/>
              </w:rPr>
              <w:t>培训教育类：专题培训学习、巡回宣讲、研讨会、企业文化主题教育（如感恩教育、服务意识培养等）、在线学习、案例学习、视频学习；</w:t>
            </w:r>
          </w:p>
          <w:p>
            <w:pPr>
              <w:numPr>
                <w:ilvl w:val="0"/>
                <w:numId w:val="1"/>
              </w:numPr>
              <w:spacing w:line="400" w:lineRule="exact"/>
              <w:rPr>
                <w:rFonts w:ascii="SimHei" w:hAnsi="SimHei" w:eastAsia="黑体" w:cs="SimHei"/>
                <w:szCs w:val="21"/>
              </w:rPr>
            </w:pPr>
            <w:r>
              <w:rPr>
                <w:rFonts w:ascii="SimHei" w:hAnsi="SimHei" w:eastAsia="黑体" w:cs="SimHei"/>
                <w:szCs w:val="21"/>
              </w:rPr>
              <w:t>实践活动类：拓展训练、角色模拟、标杆学习、传帮带活动；</w:t>
            </w:r>
          </w:p>
          <w:p>
            <w:pPr>
              <w:numPr>
                <w:ilvl w:val="0"/>
                <w:numId w:val="1"/>
              </w:numPr>
              <w:spacing w:line="400" w:lineRule="exact"/>
              <w:rPr>
                <w:rFonts w:ascii="SimHei" w:hAnsi="SimHei" w:eastAsia="黑体" w:cs="SimHei"/>
                <w:szCs w:val="21"/>
              </w:rPr>
            </w:pPr>
            <w:r>
              <w:rPr>
                <w:rFonts w:ascii="SimHei" w:hAnsi="SimHei" w:eastAsia="黑体" w:cs="SimHei"/>
                <w:szCs w:val="21"/>
              </w:rPr>
              <w:t>评选竞赛类：企业文化先进组织与个人评选、知识竞赛、演讲辩论比赛、技能比赛、征文评选、优秀案例征集；</w:t>
            </w:r>
          </w:p>
          <w:p>
            <w:pPr>
              <w:numPr>
                <w:ilvl w:val="0"/>
                <w:numId w:val="1"/>
              </w:numPr>
              <w:spacing w:line="400" w:lineRule="exact"/>
              <w:rPr>
                <w:rFonts w:ascii="SimHei" w:hAnsi="SimHei" w:eastAsia="黑体" w:cs="SimHei"/>
                <w:szCs w:val="21"/>
              </w:rPr>
            </w:pPr>
            <w:r>
              <w:rPr>
                <w:rFonts w:ascii="SimHei" w:hAnsi="SimHei" w:eastAsia="黑体" w:cs="SimHei"/>
                <w:szCs w:val="21"/>
              </w:rPr>
              <w:t>社会活动类：社会公益活动，参加社会组织的一些文体活动、创新竞赛活动等（也有利于对外树立良好形象）；</w:t>
            </w:r>
          </w:p>
          <w:p>
            <w:pPr>
              <w:numPr>
                <w:ilvl w:val="0"/>
                <w:numId w:val="1"/>
              </w:numPr>
              <w:spacing w:line="400" w:lineRule="exact"/>
              <w:rPr>
                <w:rFonts w:ascii="SimHei" w:hAnsi="SimHei" w:eastAsia="黑体" w:cs="SimHei"/>
                <w:szCs w:val="21"/>
              </w:rPr>
            </w:pPr>
            <w:r>
              <w:rPr>
                <w:rFonts w:ascii="SimHei" w:hAnsi="SimHei" w:eastAsia="黑体" w:cs="SimHei"/>
                <w:szCs w:val="21"/>
              </w:rPr>
              <w:t>主题活动类：年度主题企业文化建设活动、围绕某一主题的企业文化推行系列活动（包括文化展、培训学习、各类互动活动等）、特别主题活动（例如员工帮扶联谊活动、合理化建议活动等等）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szCs w:val="21"/>
              </w:rPr>
            </w:pPr>
            <w:r>
              <w:rPr>
                <w:rFonts w:ascii="SimHei" w:hAnsi="SimHei" w:eastAsia="黑体" w:cs="SimHei"/>
                <w:b/>
                <w:szCs w:val="21"/>
              </w:rPr>
              <w:t>媒体传播</w:t>
            </w:r>
          </w:p>
        </w:tc>
        <w:tc>
          <w:tcPr>
            <w:tcW w:w="4536"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通过企业内刊、企业内部的电视、广播、网站、微博、微信等媒体平台（包括自有媒体）解读企业文化核心理念与企业文化建设工作要求、展示企业文化建设动态信息、宣扬典型人物与事迹等等，促进员工认知与认同企业文化,并营造良好的文化氛围。</w:t>
            </w:r>
          </w:p>
        </w:tc>
        <w:tc>
          <w:tcPr>
            <w:tcW w:w="4677"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企业内刊、企业内部的电视、广播、网站、微博、微信等媒体平台（包括自有媒体）。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标杆传播</w:t>
            </w:r>
          </w:p>
        </w:tc>
        <w:tc>
          <w:tcPr>
            <w:tcW w:w="4536"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以企业内部员工身边的故事或事件为载体，更清晰的揭示企业文化内涵、明确价值导向，向员工树立标杆学习的榜样，从而引导员工更好的理解企业文化理念并以“榜样的力量”激励员工积极主动参与企业文化建设。</w:t>
            </w:r>
          </w:p>
        </w:tc>
        <w:tc>
          <w:tcPr>
            <w:tcW w:w="4677"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先进人物或事迹典型案例集、宣传片、各类宣传报道与推广活动等等。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领导传播</w:t>
            </w:r>
          </w:p>
        </w:tc>
        <w:tc>
          <w:tcPr>
            <w:tcW w:w="4536"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领导的引领示范、以身作则，对于企业文化的推行，起着至关重要的作用。企业中高层领导应该充分利用各种场合与机会，以言传身教的方式“讲文化”、“行文化”，用模范表率的力量引导和改变下属员工的思想与行为，这是企业文化传播中最有效的方法之一。</w:t>
            </w:r>
          </w:p>
        </w:tc>
        <w:tc>
          <w:tcPr>
            <w:tcW w:w="4677" w:type="dxa"/>
            <w:gridSpan w:val="2"/>
            <w:noWrap w:val="0"/>
            <w:vAlign w:val="top"/>
          </w:tcPr>
          <w:p>
            <w:pPr>
              <w:numPr>
                <w:ilvl w:val="0"/>
                <w:numId w:val="2"/>
              </w:numPr>
              <w:spacing w:line="400" w:lineRule="exact"/>
              <w:rPr>
                <w:rFonts w:ascii="SimHei" w:hAnsi="SimHei" w:eastAsia="黑体" w:cs="SimHei"/>
                <w:szCs w:val="21"/>
              </w:rPr>
            </w:pPr>
            <w:r>
              <w:rPr>
                <w:rFonts w:ascii="SimHei" w:hAnsi="SimHei" w:eastAsia="黑体" w:cs="SimHei"/>
                <w:szCs w:val="21"/>
              </w:rPr>
              <w:t>言传：文化宣讲、会议传达、思想教育引导等；</w:t>
            </w:r>
          </w:p>
          <w:p>
            <w:pPr>
              <w:numPr>
                <w:ilvl w:val="0"/>
                <w:numId w:val="2"/>
              </w:numPr>
              <w:spacing w:line="400" w:lineRule="exact"/>
              <w:rPr>
                <w:rFonts w:ascii="SimHei" w:hAnsi="SimHei" w:eastAsia="黑体" w:cs="SimHei"/>
                <w:szCs w:val="21"/>
              </w:rPr>
            </w:pPr>
            <w:r>
              <w:rPr>
                <w:rFonts w:ascii="SimHei" w:hAnsi="SimHei" w:eastAsia="黑体" w:cs="SimHei"/>
                <w:szCs w:val="21"/>
              </w:rPr>
              <w:t>身教：以身作则、模范表率、行为示范引导等等。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419" w:type="dxa"/>
            <w:tcBorders>
              <w:bottom w:val="single" w:color="000000" w:sz="4" w:space="0"/>
            </w:tcBorders>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制度传播</w:t>
            </w:r>
          </w:p>
        </w:tc>
        <w:tc>
          <w:tcPr>
            <w:tcW w:w="4536" w:type="dxa"/>
            <w:gridSpan w:val="2"/>
            <w:tcBorders>
              <w:bottom w:val="single" w:color="000000" w:sz="4" w:space="0"/>
            </w:tcBorders>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依据企业文化理念以及企业文化建设要求，修订、梳理和完善企业各项规章制度与流程，使制度体系与新的文化理念体系保持一致，从而实现企业文化“固化于制”，通过制度进行有效传播，并以“文化制度化”支撑企业文化建设深度融入企业经营管理。</w:t>
            </w:r>
          </w:p>
        </w:tc>
        <w:tc>
          <w:tcPr>
            <w:tcW w:w="4677" w:type="dxa"/>
            <w:gridSpan w:val="2"/>
            <w:tcBorders>
              <w:bottom w:val="single" w:color="000000" w:sz="4" w:space="0"/>
            </w:tcBorders>
            <w:noWrap w:val="0"/>
            <w:vAlign w:val="top"/>
          </w:tcPr>
          <w:p>
            <w:pPr>
              <w:numPr>
                <w:ilvl w:val="0"/>
                <w:numId w:val="3"/>
              </w:numPr>
              <w:spacing w:line="400" w:lineRule="exact"/>
              <w:rPr>
                <w:rFonts w:ascii="SimHei" w:hAnsi="SimHei" w:eastAsia="黑体" w:cs="SimHei"/>
                <w:szCs w:val="21"/>
              </w:rPr>
            </w:pPr>
            <w:r>
              <w:rPr>
                <w:rFonts w:ascii="SimHei" w:hAnsi="SimHei" w:eastAsia="黑体" w:cs="SimHei"/>
                <w:szCs w:val="21"/>
              </w:rPr>
              <w:t>企业文化建设工作本身：企业文化建设内部日常管理制度与规范，企业文化建设评价、考核与激励制度；</w:t>
            </w:r>
          </w:p>
          <w:p>
            <w:pPr>
              <w:numPr>
                <w:ilvl w:val="0"/>
                <w:numId w:val="3"/>
              </w:numPr>
              <w:spacing w:line="400" w:lineRule="exact"/>
              <w:rPr>
                <w:rFonts w:ascii="SimHei" w:hAnsi="SimHei" w:eastAsia="黑体" w:cs="SimHei"/>
                <w:szCs w:val="21"/>
              </w:rPr>
            </w:pPr>
            <w:r>
              <w:rPr>
                <w:rFonts w:ascii="SimHei" w:hAnsi="SimHei" w:eastAsia="黑体" w:cs="SimHei"/>
                <w:szCs w:val="21"/>
              </w:rPr>
              <w:t>企业管理制度：人才培养机制、员工激励机制、生产质量管理制度、服务质量管理体系、成本控制管理制度、创新管理制度、品牌规划与建设制度等等。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96" w:hRule="atLeast"/>
        </w:trPr>
        <w:tc>
          <w:tcPr>
            <w:tcW w:w="10632" w:type="dxa"/>
            <w:gridSpan w:val="5"/>
            <w:tcBorders>
              <w:bottom w:val="single" w:color="000000" w:sz="4" w:space="0"/>
            </w:tcBorders>
            <w:shd w:val="clear" w:color="auto" w:fill="DBE5F1"/>
            <w:noWrap w:val="0"/>
            <w:vAlign w:val="center"/>
          </w:tcPr>
          <w:p>
            <w:pPr>
              <w:spacing w:line="400" w:lineRule="exact"/>
              <w:jc w:val="center"/>
              <w:rPr>
                <w:rFonts w:ascii="SimHei" w:hAnsi="SimHei" w:eastAsia="黑体" w:cs="SimHei"/>
                <w:b/>
                <w:szCs w:val="21"/>
              </w:rPr>
            </w:pPr>
            <w:r>
              <w:rPr>
                <w:rFonts w:ascii="SimHei" w:hAnsi="SimHei" w:eastAsia="黑体" w:cs="SimHei"/>
                <w:b/>
                <w:szCs w:val="21"/>
              </w:rPr>
              <w:t>二、对外传播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分类</w:t>
            </w:r>
          </w:p>
        </w:tc>
        <w:tc>
          <w:tcPr>
            <w:tcW w:w="4253" w:type="dxa"/>
            <w:gridSpan w:val="2"/>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释义/说明</w:t>
            </w:r>
          </w:p>
        </w:tc>
        <w:tc>
          <w:tcPr>
            <w:tcW w:w="4252" w:type="dxa"/>
            <w:shd w:val="clear" w:color="auto" w:fill="FFFF00"/>
            <w:noWrap w:val="0"/>
            <w:vAlign w:val="top"/>
          </w:tcPr>
          <w:p>
            <w:pPr>
              <w:tabs>
                <w:tab w:val="left" w:pos="720"/>
              </w:tabs>
              <w:spacing w:line="400" w:lineRule="exact"/>
              <w:jc w:val="center"/>
              <w:rPr>
                <w:rFonts w:ascii="SimHei" w:hAnsi="SimHei" w:eastAsia="黑体" w:cs="SimHei"/>
                <w:b/>
                <w:szCs w:val="21"/>
              </w:rPr>
            </w:pPr>
            <w:r>
              <w:rPr>
                <w:rFonts w:ascii="SimHei" w:hAnsi="SimHei" w:eastAsia="黑体" w:cs="SimHei"/>
                <w:b/>
                <w:szCs w:val="21"/>
              </w:rPr>
              <w:t>载体示例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公众媒介</w:t>
            </w:r>
          </w:p>
        </w:tc>
        <w:tc>
          <w:tcPr>
            <w:tcW w:w="4253" w:type="dxa"/>
            <w:gridSpan w:val="2"/>
            <w:noWrap w:val="0"/>
            <w:vAlign w:val="top"/>
          </w:tcPr>
          <w:p>
            <w:pPr>
              <w:spacing w:line="360" w:lineRule="auto"/>
              <w:rPr>
                <w:rFonts w:ascii="SimHei" w:hAnsi="SimHei" w:eastAsia="黑体" w:cs="SimHei"/>
                <w:szCs w:val="21"/>
              </w:rPr>
            </w:pPr>
            <w:r>
              <w:rPr>
                <w:rFonts w:ascii="SimHei" w:hAnsi="SimHei" w:eastAsia="黑体" w:cs="SimHei"/>
                <w:szCs w:val="21"/>
              </w:rPr>
              <w:t>主要指根据企业文化传播的需要，适当借助服务社会公众的各类媒介载体传达企业文化理念、案例故事与品牌信息，以赢得消费者、供应商及社会公众的认同，并扩大品牌的影响力。</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电视、报纸、杂志、网络（包括社会化媒体）、楼宇媒体、户外广告牌等。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自有媒体</w:t>
            </w:r>
          </w:p>
        </w:tc>
        <w:tc>
          <w:tcPr>
            <w:tcW w:w="4253" w:type="dxa"/>
            <w:gridSpan w:val="2"/>
            <w:noWrap w:val="0"/>
            <w:vAlign w:val="top"/>
          </w:tcPr>
          <w:p>
            <w:pPr>
              <w:spacing w:line="360" w:lineRule="auto"/>
              <w:rPr>
                <w:rFonts w:ascii="SimHei" w:hAnsi="SimHei" w:eastAsia="黑体" w:cs="SimHei"/>
                <w:szCs w:val="21"/>
              </w:rPr>
            </w:pPr>
            <w:r>
              <w:rPr>
                <w:rFonts w:ascii="SimHei" w:hAnsi="SimHei" w:eastAsia="黑体" w:cs="SimHei"/>
                <w:szCs w:val="21"/>
              </w:rPr>
              <w:t>主要指企业将企业内部的各类媒体资源（以电子媒体为主）整合起来，建立自己的媒体平台,并向企业内外部进行企业文化传播。</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网站、企业内刊（杂志、报纸、电子期刊）、微博平台、微信平台、博客等。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案例传播</w:t>
            </w:r>
          </w:p>
        </w:tc>
        <w:tc>
          <w:tcPr>
            <w:tcW w:w="4253"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主要指向外部机构推荐和传播企业文化以及管理成果案例，通过深度的内容传播，达到企业文化深入人心的效果。</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向高校或者权威研究机构、媒体推荐成果案例。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图书传播</w:t>
            </w:r>
          </w:p>
        </w:tc>
        <w:tc>
          <w:tcPr>
            <w:tcW w:w="4253"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主要指出版图书并对外公开发行，内容可涵盖企业史、管理经验总结、优秀实践案例等。对企业文化、品牌形象进行深入、广泛传播的同时，树立行业标杆地位。</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通过图书策划机构以及出版社出版、发行、推广。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品牌推广</w:t>
            </w:r>
          </w:p>
        </w:tc>
        <w:tc>
          <w:tcPr>
            <w:tcW w:w="4253"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这里主要指品牌文化的推广。通常是借助品牌管理部门的有关推广活动实现企业文化的有效传播。</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企业文化理念根植品牌宣传片中、参与服务品牌建设活动、积极参与各类品牌宣传活动。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2127" w:type="dxa"/>
            <w:gridSpan w:val="2"/>
            <w:noWrap w:val="0"/>
            <w:vAlign w:val="top"/>
          </w:tcPr>
          <w:p>
            <w:pPr>
              <w:tabs>
                <w:tab w:val="left" w:pos="720"/>
              </w:tabs>
              <w:spacing w:line="400" w:lineRule="exact"/>
              <w:rPr>
                <w:rFonts w:ascii="SimHei" w:hAnsi="SimHei" w:eastAsia="黑体" w:cs="SimHei"/>
                <w:b/>
                <w:szCs w:val="21"/>
              </w:rPr>
            </w:pPr>
            <w:r>
              <w:rPr>
                <w:rFonts w:ascii="SimHei" w:hAnsi="SimHei" w:eastAsia="黑体" w:cs="SimHei"/>
                <w:b/>
                <w:szCs w:val="21"/>
              </w:rPr>
              <w:t>社会责任</w:t>
            </w:r>
          </w:p>
        </w:tc>
        <w:tc>
          <w:tcPr>
            <w:tcW w:w="4253" w:type="dxa"/>
            <w:gridSpan w:val="2"/>
            <w:noWrap w:val="0"/>
            <w:vAlign w:val="top"/>
          </w:tcPr>
          <w:p>
            <w:pPr>
              <w:tabs>
                <w:tab w:val="left" w:pos="720"/>
              </w:tabs>
              <w:spacing w:line="400" w:lineRule="exact"/>
              <w:rPr>
                <w:rFonts w:ascii="SimHei" w:hAnsi="SimHei" w:eastAsia="黑体" w:cs="SimHei"/>
                <w:szCs w:val="21"/>
              </w:rPr>
            </w:pPr>
            <w:r>
              <w:rPr>
                <w:rFonts w:ascii="SimHei" w:hAnsi="SimHei" w:eastAsia="黑体" w:cs="SimHei"/>
                <w:szCs w:val="21"/>
              </w:rPr>
              <w:t>主要指积极组织、参与各类社会责任活动，充分展示企业敢于承担社会责任的气魄，并对外传达企业核心价值。</w:t>
            </w:r>
          </w:p>
        </w:tc>
        <w:tc>
          <w:tcPr>
            <w:tcW w:w="4252" w:type="dxa"/>
            <w:noWrap w:val="0"/>
            <w:vAlign w:val="top"/>
          </w:tcPr>
          <w:p>
            <w:pPr>
              <w:spacing w:line="400" w:lineRule="exact"/>
              <w:rPr>
                <w:rFonts w:ascii="SimHei" w:hAnsi="SimHei" w:eastAsia="黑体" w:cs="SimHei"/>
                <w:szCs w:val="21"/>
              </w:rPr>
            </w:pPr>
            <w:r>
              <w:rPr>
                <w:rFonts w:ascii="SimHei" w:hAnsi="SimHei" w:eastAsia="黑体" w:cs="SimHei"/>
                <w:szCs w:val="21"/>
              </w:rPr>
              <w:t>组织、参与或赞助社会公益活动、扶贫活动、环境保护活动、捐资救灾活动、进行社会责任实施战略规划、发布社会责任报告或者有关信息等。</w:t>
            </w:r>
          </w:p>
        </w:tc>
      </w:tr>
    </w:tbl>
    <w:p>
      <w:pPr>
        <w:tabs>
          <w:tab w:val="left" w:pos="720"/>
        </w:tabs>
        <w:spacing w:line="360" w:lineRule="exact"/>
        <w:rPr>
          <w:rFonts w:ascii="SimHei" w:hAnsi="SimHei" w:eastAsia="黑体" w:cs="SimHei"/>
          <w:sz w:val="24"/>
        </w:rPr>
      </w:pPr>
    </w:p>
    <w:p>
      <w:pPr>
        <w:rPr>
          <w:rFonts w:ascii="SimHei" w:hAnsi="SimHei" w:eastAsia="黑体" w:cs="SimHei"/>
        </w:rPr>
      </w:pPr>
    </w:p>
    <w:p>
      <w:pPr>
        <w:jc w:val="center"/>
        <w:rPr>
          <w:rFonts w:ascii="SimHei" w:hAnsi="SimHei" w:eastAsia="黑体" w:cs="SimHei"/>
          <w:b/>
          <w:sz w:val="36"/>
          <w:szCs w:val="36"/>
        </w:rPr>
      </w:pPr>
    </w:p>
    <w:p>
      <w:pPr>
        <w:spacing w:line="500" w:lineRule="exact"/>
        <w:ind w:firstLine="480" w:firstLineChars="200"/>
        <w:jc w:val="left"/>
        <w:rPr>
          <w:rFonts w:ascii="SimHei" w:hAnsi="SimHei" w:eastAsia="黑体" w:cs="SimHei"/>
          <w:sz w:val="24"/>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企业文化建设实务——企业文化传播体系构建——实用工具</w:t>
    </w:r>
    <w:r>
      <w:rPr>
        <w:rFonts w:ascii="SimHei" w:hAnsi="SimHei" w:eastAsia="黑体" w:cs="SimHe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2E7F"/>
    <w:multiLevelType w:val="multilevel"/>
    <w:tmpl w:val="0EFD2E7F"/>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abstractNum w:abstractNumId="1">
    <w:nsid w:val="21945278"/>
    <w:multiLevelType w:val="multilevel"/>
    <w:tmpl w:val="21945278"/>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abstractNum w:abstractNumId="2">
    <w:nsid w:val="2A3D1487"/>
    <w:multiLevelType w:val="multilevel"/>
    <w:tmpl w:val="2A3D1487"/>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3456C"/>
    <w:rsid w:val="003424E3"/>
    <w:rsid w:val="003517CB"/>
    <w:rsid w:val="0037283D"/>
    <w:rsid w:val="00380CE0"/>
    <w:rsid w:val="00387388"/>
    <w:rsid w:val="00390EFC"/>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B488E"/>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A4045"/>
    <w:rsid w:val="00FA5856"/>
    <w:rsid w:val="560016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5</Pages>
  <Words>409</Words>
  <Characters>2337</Characters>
  <Lines>19</Lines>
  <Paragraphs>5</Paragraphs>
  <TotalTime>0</TotalTime>
  <ScaleCrop>false</ScaleCrop>
  <LinksUpToDate>false</LinksUpToDate>
  <CharactersWithSpaces>2741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2020-05-27T14:14:58Z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v1.0_mb_Zq+8moedQGe5SVV3dhwN7Q==</vt:lpwstr>
  </property>
</Properties>
</file>