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start"/>
        <w:tblInd w:w="98" w:type="dxa"/>
        <w:tblLayout w:type="fixed"/>
        <w:tblCellMar>
          <w:top w:w="0" w:type="dxa"/>
          <w:start w:w="108" w:type="dxa"/>
          <w:bottom w:w="0" w:type="dxa"/>
          <w:end w:w="108" w:type="dxa"/>
        </w:tblCellMar>
        <w:tblLook w:val="04a0"/>
      </w:tblPr>
      <w:tblGrid>
        <w:gridCol w:w="540"/>
        <w:gridCol w:w="543"/>
        <w:gridCol w:w="541"/>
        <w:gridCol w:w="186"/>
        <w:gridCol w:w="2522"/>
        <w:gridCol w:w="1445"/>
        <w:gridCol w:w="2528"/>
      </w:tblGrid>
      <w:tr>
        <w:trPr>
          <w:trHeight w:val="510" w:hRule="atLeast"/>
        </w:trPr>
        <w:tc>
          <w:tcPr>
            <w:tcW w:w="1624" w:type="dxa"/>
            <w:gridSpan w:val="3"/>
            <w:tcBorders>
              <w:top w:val="single" w:sz="8" w:space="0" w:color="000000"/>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岗位名称</w:t>
            </w:r>
          </w:p>
        </w:tc>
        <w:tc>
          <w:tcPr>
            <w:tcW w:w="2708" w:type="dxa"/>
            <w:gridSpan w:val="2"/>
            <w:tcBorders>
              <w:top w:val="single" w:sz="8" w:space="0" w:color="000000"/>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工程部经理</w:t>
            </w:r>
          </w:p>
        </w:tc>
        <w:tc>
          <w:tcPr>
            <w:tcW w:w="1445" w:type="dxa"/>
            <w:tcBorders>
              <w:top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岗位代码</w:t>
            </w:r>
          </w:p>
        </w:tc>
        <w:tc>
          <w:tcPr>
            <w:tcW w:w="2528" w:type="dxa"/>
            <w:tcBorders>
              <w:top w:val="single" w:sz="8" w:space="0" w:color="000000"/>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
            </w:r>
          </w:p>
        </w:tc>
      </w:tr>
      <w:tr>
        <w:trPr>
          <w:trHeight w:val="510" w:hRule="atLeast"/>
        </w:trPr>
        <w:tc>
          <w:tcPr>
            <w:tcW w:w="1624" w:type="dxa"/>
            <w:gridSpan w:val="3"/>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岗位序列</w:t>
            </w:r>
          </w:p>
        </w:tc>
        <w:tc>
          <w:tcPr>
            <w:tcW w:w="2708" w:type="dxa"/>
            <w:gridSpan w:val="2"/>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管理</w:t>
            </w:r>
          </w:p>
        </w:tc>
        <w:tc>
          <w:tcPr>
            <w:tcW w:w="1445" w:type="dxa"/>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岗位层级</w:t>
            </w:r>
          </w:p>
        </w:tc>
        <w:tc>
          <w:tcPr>
            <w:tcW w:w="2528" w:type="dxa"/>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五</w:t>
            </w:r>
          </w:p>
        </w:tc>
      </w:tr>
      <w:tr>
        <w:trPr>
          <w:trHeight w:val="510" w:hRule="atLeast"/>
        </w:trPr>
        <w:tc>
          <w:tcPr>
            <w:tcW w:w="1624" w:type="dxa"/>
            <w:gridSpan w:val="3"/>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直接上级</w:t>
            </w:r>
          </w:p>
        </w:tc>
        <w:tc>
          <w:tcPr>
            <w:tcW w:w="6681" w:type="dxa"/>
            <w:gridSpan w:val="4"/>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公司副总经理</w:t>
            </w:r>
          </w:p>
        </w:tc>
      </w:tr>
      <w:tr>
        <w:trPr>
          <w:trHeight w:val="647" w:hRule="atLeast"/>
        </w:trPr>
        <w:tc>
          <w:tcPr>
            <w:tcW w:w="1624" w:type="dxa"/>
            <w:gridSpan w:val="3"/>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8"/>
                <w:szCs w:val="28"/>
              </w:rPr>
              <w:t>工作目的</w:t>
            </w:r>
          </w:p>
        </w:tc>
        <w:tc>
          <w:tcPr>
            <w:tcW w:w="6681" w:type="dxa"/>
            <w:gridSpan w:val="4"/>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全面主持工程部的各项工作，确保物业管理区域的物业正常使用、设备设施良好及正常运行等。</w:t>
            </w:r>
          </w:p>
        </w:tc>
      </w:tr>
      <w:tr>
        <w:trPr>
          <w:trHeight w:val="432" w:hRule="atLeast"/>
        </w:trPr>
        <w:tc>
          <w:tcPr>
            <w:tcW w:w="8305" w:type="dxa"/>
            <w:gridSpan w:val="7"/>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8"/>
                <w:szCs w:val="28"/>
              </w:rPr>
              <w:t>工作描述</w:t>
            </w:r>
          </w:p>
        </w:tc>
      </w:tr>
      <w:tr>
        <w:trPr>
          <w:trHeight w:val="605" w:hRule="atLeast"/>
        </w:trPr>
        <w:tc>
          <w:tcPr>
            <w:tcW w:w="540" w:type="dxa"/>
            <w:vMerge w:val="restart"/>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职责任务</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4"/>
                <w:szCs w:val="24"/>
              </w:rPr>
              <w:t>职责：</w:t>
            </w:r>
            <w:r>
              <w:rPr/>
              <w:t>组织制定公司工程管理的工作规范、计划和总结</w:t>
            </w:r>
          </w:p>
        </w:tc>
      </w:tr>
      <w:tr>
        <w:trPr>
          <w:trHeight w:val="1080"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543" w:type="dxa"/>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4"/>
                <w:szCs w:val="24"/>
              </w:rPr>
              <w:t>工作任务</w:t>
            </w:r>
          </w:p>
        </w:tc>
        <w:tc>
          <w:tcPr>
            <w:tcW w:w="7222" w:type="dxa"/>
            <w:gridSpan w:val="5"/>
            <w:tcBorders>
              <w:bottom w:val="single" w:sz="8" w:space="0" w:color="000000"/>
              <w:end w:val="single" w:sz="8" w:space="0" w:color="000000"/>
            </w:tcBorders>
            <w:vAlign w:val="center"/>
          </w:tcPr>
          <w:p>
            <w:pPr>
              <w:pStyle w:val="Normal"/>
              <w:widowControl w:val="false"/>
              <w:ind w:start="420" w:hanging="420"/>
              <w:rPr>
                <w:rFonts w:ascii="SimHei" w:hAnsi="SimHei" w:eastAsia="黑体" w:cs="SimHei"/>
                <w:szCs w:val="21"/>
              </w:rPr>
            </w:pPr>
            <w:r>
              <w:rPr>
                <w:color w:val="000000"/>
              </w:rPr>
              <w:t>1.</w:t>
            </w:r>
            <w:r>
              <w:rPr>
                <w:rFonts w:ascii="SimHei" w:hAnsi="SimHei" w:eastAsia="黑体" w:cs="SimHei"/>
                <w:color w:val="000000"/>
                <w:sz w:val="14"/>
                <w:szCs w:val="14"/>
              </w:rPr>
              <w:t xml:space="preserve">       </w:t>
            </w:r>
            <w:r>
              <w:rPr>
                <w:color w:val="000000"/>
              </w:rPr>
              <w:t>组织制定工程项目的技术管理、设备设施维护的各项工作规范</w:t>
            </w:r>
          </w:p>
          <w:p>
            <w:pPr>
              <w:pStyle w:val="Normal"/>
              <w:widowControl w:val="false"/>
              <w:ind w:start="420" w:hanging="420"/>
              <w:rPr/>
            </w:pPr>
            <w:r>
              <w:rPr>
                <w:color w:val="000000"/>
              </w:rPr>
              <w:t>2.</w:t>
            </w:r>
            <w:r>
              <w:rPr>
                <w:rFonts w:ascii="SimHei" w:hAnsi="SimHei" w:eastAsia="黑体" w:cs="SimHei"/>
                <w:color w:val="000000"/>
                <w:sz w:val="14"/>
                <w:szCs w:val="14"/>
              </w:rPr>
              <w:t xml:space="preserve">       </w:t>
            </w:r>
            <w:r>
              <w:rPr>
                <w:color w:val="000000"/>
              </w:rPr>
              <w:t>组织检查督促工程项目及人员的劳动保护和安全生产</w:t>
            </w:r>
          </w:p>
          <w:p>
            <w:pPr>
              <w:pStyle w:val="Normal"/>
              <w:widowControl w:val="false"/>
              <w:ind w:start="420" w:hanging="420"/>
              <w:rPr>
                <w:rFonts w:ascii="SimHei" w:hAnsi="SimHei" w:eastAsia="黑体" w:cs="SimHei"/>
                <w:szCs w:val="21"/>
              </w:rPr>
            </w:pPr>
            <w:r>
              <w:rPr>
                <w:color w:val="000000"/>
              </w:rPr>
              <w:t>3.</w:t>
            </w:r>
            <w:r>
              <w:rPr>
                <w:rFonts w:ascii="SimHei" w:hAnsi="SimHei" w:eastAsia="黑体" w:cs="SimHei"/>
                <w:color w:val="000000"/>
                <w:sz w:val="14"/>
                <w:szCs w:val="14"/>
              </w:rPr>
              <w:t xml:space="preserve">       </w:t>
            </w:r>
            <w:r>
              <w:rPr>
                <w:color w:val="000000"/>
              </w:rPr>
              <w:t>组织工程分供方和代维方的评价和审核</w:t>
            </w:r>
          </w:p>
        </w:tc>
      </w:tr>
      <w:tr>
        <w:trPr>
          <w:trHeight w:val="572"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4"/>
                <w:szCs w:val="24"/>
              </w:rPr>
              <w:t>职责：</w:t>
            </w:r>
            <w:r>
              <w:rPr>
                <w:color w:val="000000"/>
              </w:rPr>
              <w:t>监督指导各管理处</w:t>
            </w:r>
            <w:r>
              <w:rPr/>
              <w:t>设备设施维护的日常</w:t>
            </w:r>
            <w:r>
              <w:rPr>
                <w:color w:val="000000"/>
              </w:rPr>
              <w:t>工作</w:t>
            </w:r>
          </w:p>
        </w:tc>
      </w:tr>
      <w:tr>
        <w:trPr>
          <w:trHeight w:val="1205"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543" w:type="dxa"/>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4"/>
                <w:szCs w:val="24"/>
              </w:rPr>
              <w:t>工作任务</w:t>
            </w:r>
          </w:p>
        </w:tc>
        <w:tc>
          <w:tcPr>
            <w:tcW w:w="7222" w:type="dxa"/>
            <w:gridSpan w:val="5"/>
            <w:tcBorders>
              <w:bottom w:val="single" w:sz="8" w:space="0" w:color="000000"/>
              <w:end w:val="single" w:sz="8" w:space="0" w:color="000000"/>
            </w:tcBorders>
            <w:vAlign w:val="center"/>
          </w:tcPr>
          <w:p>
            <w:pPr>
              <w:pStyle w:val="Normal"/>
              <w:widowControl w:val="false"/>
              <w:ind w:start="420" w:hanging="420"/>
              <w:rPr>
                <w:rFonts w:ascii="SimHei" w:hAnsi="SimHei" w:eastAsia="黑体" w:cs="SimHei"/>
                <w:szCs w:val="21"/>
              </w:rPr>
            </w:pPr>
            <w:r>
              <w:rPr>
                <w:color w:val="000000"/>
              </w:rPr>
              <w:t>1.</w:t>
            </w:r>
            <w:r>
              <w:rPr>
                <w:rFonts w:ascii="SimHei" w:hAnsi="SimHei" w:eastAsia="黑体" w:cs="SimHei"/>
                <w:color w:val="000000"/>
                <w:sz w:val="14"/>
                <w:szCs w:val="14"/>
              </w:rPr>
              <w:t xml:space="preserve">       </w:t>
            </w:r>
            <w:r>
              <w:rPr>
                <w:color w:val="000000"/>
              </w:rPr>
              <w:t>组织检查督促工程项目及人员的劳动保护和安全生产</w:t>
            </w:r>
          </w:p>
          <w:p>
            <w:pPr>
              <w:pStyle w:val="Normal"/>
              <w:widowControl w:val="false"/>
              <w:ind w:start="420" w:hanging="420"/>
              <w:rPr/>
            </w:pPr>
            <w:r>
              <w:rPr>
                <w:color w:val="000000"/>
              </w:rPr>
              <w:t>2.</w:t>
            </w:r>
            <w:r>
              <w:rPr>
                <w:rFonts w:ascii="SimHei" w:hAnsi="SimHei" w:eastAsia="黑体" w:cs="SimHei"/>
                <w:color w:val="000000"/>
                <w:sz w:val="14"/>
                <w:szCs w:val="14"/>
              </w:rPr>
              <w:t xml:space="preserve">       </w:t>
            </w:r>
            <w:r>
              <w:rPr>
                <w:color w:val="000000"/>
              </w:rPr>
              <w:t>协助各管理处甄选、培训、考核工程设备维护人员，督促、指导工程设备维护人员履行岗位职责</w:t>
            </w:r>
          </w:p>
          <w:p>
            <w:pPr>
              <w:pStyle w:val="Normal"/>
              <w:widowControl w:val="false"/>
              <w:ind w:start="420" w:hanging="420"/>
              <w:rPr>
                <w:rFonts w:ascii="SimHei" w:hAnsi="SimHei" w:eastAsia="黑体" w:cs="SimHei"/>
                <w:szCs w:val="21"/>
              </w:rPr>
            </w:pPr>
            <w:r>
              <w:rPr>
                <w:color w:val="000000"/>
              </w:rPr>
              <w:t>3.</w:t>
            </w:r>
            <w:r>
              <w:rPr>
                <w:rFonts w:ascii="SimHei" w:hAnsi="SimHei" w:eastAsia="黑体" w:cs="SimHei"/>
                <w:color w:val="000000"/>
                <w:sz w:val="14"/>
                <w:szCs w:val="14"/>
              </w:rPr>
              <w:t xml:space="preserve">       </w:t>
            </w:r>
            <w:r>
              <w:rPr>
                <w:color w:val="000000"/>
              </w:rPr>
              <w:t>组织对公司所管物业范围内工程项目的计划方案及预结算的编制和审核</w:t>
            </w:r>
          </w:p>
        </w:tc>
      </w:tr>
      <w:tr>
        <w:trPr>
          <w:trHeight w:val="596"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4"/>
                <w:szCs w:val="24"/>
              </w:rPr>
              <w:t>职责：</w:t>
            </w:r>
            <w:r>
              <w:rPr>
                <w:color w:val="000000"/>
              </w:rPr>
              <w:t>主持工程部的各项工作</w:t>
            </w:r>
          </w:p>
        </w:tc>
      </w:tr>
      <w:tr>
        <w:trPr>
          <w:trHeight w:val="415"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543" w:type="dxa"/>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color w:val="000000"/>
                <w:sz w:val="24"/>
                <w:szCs w:val="24"/>
              </w:rPr>
              <w:t>工作任务</w:t>
            </w:r>
          </w:p>
        </w:tc>
        <w:tc>
          <w:tcPr>
            <w:tcW w:w="7222" w:type="dxa"/>
            <w:gridSpan w:val="5"/>
            <w:tcBorders>
              <w:bottom w:val="single" w:sz="8" w:space="0" w:color="000000"/>
              <w:end w:val="single" w:sz="8" w:space="0" w:color="000000"/>
            </w:tcBorders>
            <w:vAlign w:val="center"/>
          </w:tcPr>
          <w:p>
            <w:pPr>
              <w:pStyle w:val="Normal"/>
              <w:widowControl w:val="false"/>
              <w:ind w:start="360" w:hanging="360"/>
              <w:jc w:val="start"/>
              <w:rPr>
                <w:rFonts w:ascii="SimHei" w:hAnsi="SimHei" w:eastAsia="黑体" w:cs="SimHei"/>
                <w:szCs w:val="21"/>
              </w:rPr>
            </w:pPr>
            <w:r>
              <w:rPr>
                <w:color w:val="000000"/>
              </w:rPr>
              <w:t>1.</w:t>
            </w:r>
            <w:r>
              <w:rPr>
                <w:rFonts w:ascii="SimHei" w:hAnsi="SimHei" w:eastAsia="黑体" w:cs="SimHei"/>
                <w:color w:val="000000"/>
                <w:sz w:val="14"/>
                <w:szCs w:val="14"/>
              </w:rPr>
              <w:t xml:space="preserve">     </w:t>
            </w:r>
            <w:r>
              <w:rPr>
                <w:color w:val="000000"/>
              </w:rPr>
              <w:t>确定工程部年度工作计划和实施方案</w:t>
            </w:r>
          </w:p>
          <w:p>
            <w:pPr>
              <w:pStyle w:val="Normal"/>
              <w:widowControl w:val="false"/>
              <w:ind w:start="360" w:hanging="360"/>
              <w:jc w:val="start"/>
              <w:rPr/>
            </w:pPr>
            <w:r>
              <w:rPr>
                <w:color w:val="000000"/>
              </w:rPr>
              <w:t>2.</w:t>
            </w:r>
            <w:r>
              <w:rPr>
                <w:rFonts w:ascii="SimHei" w:hAnsi="SimHei" w:eastAsia="黑体" w:cs="SimHei"/>
                <w:color w:val="000000"/>
                <w:sz w:val="14"/>
                <w:szCs w:val="14"/>
              </w:rPr>
              <w:t xml:space="preserve">     </w:t>
            </w:r>
            <w:r>
              <w:rPr/>
              <w:t>指导、督促下属阶段工作计划的制定与实施</w:t>
            </w:r>
          </w:p>
          <w:p>
            <w:pPr>
              <w:pStyle w:val="Normal"/>
              <w:widowControl w:val="false"/>
              <w:ind w:start="360" w:hanging="360"/>
              <w:jc w:val="start"/>
              <w:rPr>
                <w:rFonts w:ascii="SimHei" w:hAnsi="SimHei" w:eastAsia="黑体" w:cs="SimHei"/>
                <w:szCs w:val="21"/>
              </w:rPr>
            </w:pPr>
            <w:r>
              <w:rPr>
                <w:color w:val="000000"/>
              </w:rPr>
              <w:t>3.</w:t>
            </w:r>
            <w:r>
              <w:rPr>
                <w:rFonts w:ascii="SimHei" w:hAnsi="SimHei" w:eastAsia="黑体" w:cs="SimHei"/>
                <w:color w:val="000000"/>
                <w:sz w:val="14"/>
                <w:szCs w:val="14"/>
              </w:rPr>
              <w:t xml:space="preserve">     </w:t>
            </w:r>
            <w:r>
              <w:rPr/>
              <w:t>负责本部门内员工的绩效考核</w:t>
            </w:r>
          </w:p>
        </w:tc>
      </w:tr>
      <w:tr>
        <w:trPr>
          <w:trHeight w:val="553"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sz w:val="24"/>
                <w:szCs w:val="24"/>
              </w:rPr>
              <w:t>职责：</w:t>
            </w:r>
            <w:r>
              <w:rPr>
                <w:color w:val="000000"/>
              </w:rPr>
              <w:t>完成上级交办的其他工作</w:t>
            </w:r>
          </w:p>
        </w:tc>
      </w:tr>
      <w:tr>
        <w:trPr>
          <w:trHeight w:val="1694"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center"/>
              <w:rPr>
                <w:rFonts w:ascii="SimHei" w:hAnsi="SimHei" w:eastAsia="黑体" w:cs="SimHei"/>
                <w:szCs w:val="21"/>
              </w:rPr>
            </w:pPr>
            <w:r>
              <w:rPr>
                <w:sz w:val="28"/>
                <w:szCs w:val="28"/>
              </w:rPr>
              <w:t>业绩标准</w:t>
            </w:r>
          </w:p>
        </w:tc>
        <w:tc>
          <w:tcPr>
            <w:tcW w:w="7765" w:type="dxa"/>
            <w:gridSpan w:val="6"/>
            <w:tcBorders>
              <w:bottom w:val="single" w:sz="8" w:space="0" w:color="000000"/>
              <w:end w:val="single" w:sz="8" w:space="0" w:color="000000"/>
            </w:tcBorders>
            <w:vAlign w:val="center"/>
          </w:tcPr>
          <w:p>
            <w:pPr>
              <w:pStyle w:val="Normal"/>
              <w:widowControl w:val="false"/>
              <w:ind w:start="420" w:hanging="420"/>
              <w:jc w:val="start"/>
              <w:rPr>
                <w:rFonts w:ascii="SimHei" w:hAnsi="SimHei" w:eastAsia="黑体" w:cs="SimHei"/>
                <w:szCs w:val="21"/>
              </w:rPr>
            </w:pPr>
            <w:r>
              <w:rPr/>
              <w:t>1.</w:t>
            </w:r>
            <w:r>
              <w:rPr>
                <w:rFonts w:ascii="SimHei" w:hAnsi="SimHei" w:eastAsia="黑体" w:cs="SimHei"/>
                <w:sz w:val="14"/>
                <w:szCs w:val="14"/>
              </w:rPr>
              <w:t xml:space="preserve">       </w:t>
            </w:r>
            <w:r>
              <w:rPr/>
              <w:t>工作及时率达</w:t>
            </w:r>
            <w:r>
              <w:rPr/>
              <w:t>95%</w:t>
            </w:r>
            <w:r>
              <w:rPr/>
              <w:t>以上</w:t>
            </w:r>
          </w:p>
          <w:p>
            <w:pPr>
              <w:pStyle w:val="Normal"/>
              <w:widowControl w:val="false"/>
              <w:ind w:start="420" w:hanging="420"/>
              <w:jc w:val="start"/>
              <w:rPr/>
            </w:pPr>
            <w:r>
              <w:rPr/>
              <w:t>2.</w:t>
            </w:r>
            <w:r>
              <w:rPr>
                <w:rFonts w:ascii="SimHei" w:hAnsi="SimHei" w:eastAsia="黑体" w:cs="SimHei"/>
                <w:sz w:val="14"/>
                <w:szCs w:val="14"/>
              </w:rPr>
              <w:t xml:space="preserve">       </w:t>
            </w:r>
            <w:r>
              <w:rPr/>
              <w:t>客户满意率达</w:t>
            </w:r>
            <w:r>
              <w:rPr/>
              <w:t>90%</w:t>
            </w:r>
            <w:r>
              <w:rPr/>
              <w:t>以上</w:t>
            </w:r>
          </w:p>
          <w:p>
            <w:pPr>
              <w:pStyle w:val="Normal"/>
              <w:widowControl w:val="false"/>
              <w:ind w:start="420" w:hanging="420"/>
              <w:jc w:val="start"/>
              <w:rPr/>
            </w:pPr>
            <w:r>
              <w:rPr/>
              <w:t>3.</w:t>
            </w:r>
            <w:r>
              <w:rPr>
                <w:rFonts w:ascii="SimHei" w:hAnsi="SimHei" w:eastAsia="黑体" w:cs="SimHei"/>
                <w:sz w:val="14"/>
                <w:szCs w:val="14"/>
              </w:rPr>
              <w:t xml:space="preserve">       </w:t>
            </w:r>
            <w:r>
              <w:rPr/>
              <w:t>内部员工满意度达</w:t>
            </w:r>
            <w:r>
              <w:rPr/>
              <w:t>80</w:t>
            </w:r>
            <w:r>
              <w:rPr/>
              <w:t>％以上</w:t>
            </w:r>
          </w:p>
          <w:p>
            <w:pPr>
              <w:pStyle w:val="Normal"/>
              <w:widowControl w:val="false"/>
              <w:ind w:start="420" w:hanging="420"/>
              <w:jc w:val="start"/>
              <w:rPr/>
            </w:pPr>
            <w:r>
              <w:rPr/>
              <w:t>4.</w:t>
            </w:r>
            <w:r>
              <w:rPr>
                <w:rFonts w:ascii="SimHei" w:hAnsi="SimHei" w:eastAsia="黑体" w:cs="SimHei"/>
                <w:sz w:val="14"/>
                <w:szCs w:val="14"/>
              </w:rPr>
              <w:t xml:space="preserve">       </w:t>
            </w:r>
            <w:r>
              <w:rPr/>
              <w:t>突发事件处理及时率达</w:t>
            </w:r>
            <w:r>
              <w:rPr/>
              <w:t>100</w:t>
            </w:r>
            <w:r>
              <w:rPr/>
              <w:t>％</w:t>
            </w:r>
          </w:p>
          <w:p>
            <w:pPr>
              <w:pStyle w:val="Normal"/>
              <w:widowControl w:val="false"/>
              <w:ind w:start="420" w:hanging="420"/>
              <w:rPr>
                <w:rFonts w:ascii="SimHei" w:hAnsi="SimHei" w:eastAsia="黑体" w:cs="SimHei"/>
                <w:szCs w:val="21"/>
              </w:rPr>
            </w:pPr>
            <w:r>
              <w:rPr/>
              <w:t>5.</w:t>
            </w:r>
            <w:r>
              <w:rPr>
                <w:rFonts w:ascii="SimHei" w:hAnsi="SimHei" w:eastAsia="黑体" w:cs="SimHei"/>
                <w:sz w:val="14"/>
                <w:szCs w:val="14"/>
              </w:rPr>
              <w:t xml:space="preserve">       </w:t>
            </w:r>
            <w:r>
              <w:rPr>
                <w:color w:val="000000"/>
              </w:rPr>
              <w:t>工程一次验收合格率</w:t>
            </w:r>
            <w:r>
              <w:rPr>
                <w:color w:val="000000"/>
              </w:rPr>
              <w:t>95</w:t>
            </w:r>
            <w:r>
              <w:rPr>
                <w:color w:val="000000"/>
              </w:rPr>
              <w:t>％以上</w:t>
            </w:r>
          </w:p>
        </w:tc>
      </w:tr>
      <w:tr>
        <w:trPr>
          <w:trHeight w:val="1529"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工作难点</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全面熟悉物业工程设备、设施的基本情况，并协调与各部门的关系，督促工作顺利进行</w:t>
            </w:r>
          </w:p>
        </w:tc>
      </w:tr>
      <w:tr>
        <w:trPr>
          <w:trHeight w:val="1859"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工作禁忌</w:t>
            </w:r>
          </w:p>
        </w:tc>
        <w:tc>
          <w:tcPr>
            <w:tcW w:w="7765" w:type="dxa"/>
            <w:gridSpan w:val="6"/>
            <w:tcBorders>
              <w:bottom w:val="single" w:sz="8" w:space="0" w:color="000000"/>
              <w:end w:val="single" w:sz="8" w:space="0" w:color="000000"/>
            </w:tcBorders>
            <w:vAlign w:val="center"/>
          </w:tcPr>
          <w:p>
            <w:pPr>
              <w:pStyle w:val="Normal"/>
              <w:widowControl w:val="false"/>
              <w:ind w:start="420" w:hanging="420"/>
              <w:jc w:val="start"/>
              <w:rPr>
                <w:rFonts w:ascii="SimHei" w:hAnsi="SimHei" w:eastAsia="黑体" w:cs="SimHei"/>
                <w:szCs w:val="21"/>
              </w:rPr>
            </w:pPr>
            <w:r>
              <w:rPr/>
              <w:t>1.</w:t>
            </w:r>
            <w:r>
              <w:rPr>
                <w:rFonts w:ascii="SimHei" w:hAnsi="SimHei" w:eastAsia="黑体" w:cs="SimHei"/>
                <w:sz w:val="14"/>
                <w:szCs w:val="14"/>
              </w:rPr>
              <w:t xml:space="preserve">       </w:t>
            </w:r>
            <w:r>
              <w:rPr/>
              <w:t>原则性不强</w:t>
            </w:r>
          </w:p>
          <w:p>
            <w:pPr>
              <w:pStyle w:val="Normal"/>
              <w:widowControl w:val="false"/>
              <w:ind w:start="420" w:hanging="420"/>
              <w:jc w:val="start"/>
              <w:rPr/>
            </w:pPr>
            <w:r>
              <w:rPr/>
              <w:t>2.</w:t>
            </w:r>
            <w:r>
              <w:rPr>
                <w:rFonts w:ascii="SimHei" w:hAnsi="SimHei" w:eastAsia="黑体" w:cs="SimHei"/>
                <w:sz w:val="14"/>
                <w:szCs w:val="14"/>
              </w:rPr>
              <w:t xml:space="preserve">       </w:t>
            </w:r>
            <w:r>
              <w:rPr/>
              <w:t>制定的工程维护管理方案不符合企业实际，无法贯彻和操作</w:t>
            </w:r>
          </w:p>
          <w:p>
            <w:pPr>
              <w:pStyle w:val="Normal"/>
              <w:widowControl w:val="false"/>
              <w:ind w:start="420" w:hanging="420"/>
              <w:jc w:val="start"/>
              <w:rPr>
                <w:rFonts w:ascii="SimHei" w:hAnsi="SimHei" w:eastAsia="黑体" w:cs="SimHei"/>
                <w:szCs w:val="21"/>
              </w:rPr>
            </w:pPr>
            <w:r>
              <w:rPr/>
              <w:t>3.</w:t>
            </w:r>
            <w:r>
              <w:rPr>
                <w:rFonts w:ascii="SimHei" w:hAnsi="SimHei" w:eastAsia="黑体" w:cs="SimHei"/>
                <w:sz w:val="14"/>
                <w:szCs w:val="14"/>
              </w:rPr>
              <w:t xml:space="preserve">       </w:t>
            </w:r>
            <w:r>
              <w:rPr/>
              <w:t>对于客户的投诉响应不及时</w:t>
            </w:r>
          </w:p>
        </w:tc>
      </w:tr>
      <w:tr>
        <w:trPr>
          <w:trHeight w:val="769"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职业发展</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副总经理</w:t>
            </w:r>
          </w:p>
        </w:tc>
      </w:tr>
      <w:tr>
        <w:trPr>
          <w:trHeight w:val="432" w:hRule="atLeast"/>
        </w:trPr>
        <w:tc>
          <w:tcPr>
            <w:tcW w:w="8305" w:type="dxa"/>
            <w:gridSpan w:val="7"/>
            <w:tcBorders>
              <w:start w:val="single" w:sz="8" w:space="0" w:color="000000"/>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8"/>
                <w:szCs w:val="28"/>
              </w:rPr>
              <w:t>任职资格</w:t>
            </w:r>
          </w:p>
        </w:tc>
      </w:tr>
      <w:tr>
        <w:trPr>
          <w:trHeight w:val="577" w:hRule="atLeast"/>
        </w:trPr>
        <w:tc>
          <w:tcPr>
            <w:tcW w:w="540" w:type="dxa"/>
            <w:vMerge w:val="restart"/>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知识技能能力</w:t>
            </w:r>
          </w:p>
        </w:tc>
        <w:tc>
          <w:tcPr>
            <w:tcW w:w="1270" w:type="dxa"/>
            <w:gridSpan w:val="3"/>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4"/>
                <w:szCs w:val="24"/>
              </w:rPr>
              <w:t>教育水平</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本科及以上</w:t>
            </w:r>
          </w:p>
        </w:tc>
      </w:tr>
      <w:tr>
        <w:trPr>
          <w:trHeight w:val="613"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4"/>
                <w:szCs w:val="24"/>
              </w:rPr>
              <w:t>专业要求</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工程管理相关专业</w:t>
            </w:r>
          </w:p>
        </w:tc>
      </w:tr>
      <w:tr>
        <w:trPr>
          <w:trHeight w:val="621"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4"/>
                <w:szCs w:val="24"/>
              </w:rPr>
              <w:t>工作经验</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5</w:t>
            </w:r>
            <w:r>
              <w:rPr/>
              <w:t>年以上工程管理工作经验</w:t>
            </w:r>
          </w:p>
        </w:tc>
      </w:tr>
      <w:tr>
        <w:trPr>
          <w:trHeight w:val="600"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4"/>
                <w:szCs w:val="24"/>
              </w:rPr>
              <w:t>职业资格</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color w:val="000000"/>
              </w:rPr>
              <w:t>取得本专业中级专业技术资格或同等级职业</w:t>
            </w:r>
            <w:r>
              <w:rPr>
                <w:color w:val="000000"/>
              </w:rPr>
              <w:t>/</w:t>
            </w:r>
            <w:r>
              <w:rPr>
                <w:color w:val="000000"/>
              </w:rPr>
              <w:t>执业资格</w:t>
            </w:r>
            <w:r>
              <w:rPr>
                <w:color w:val="000000"/>
              </w:rPr>
              <w:t>2</w:t>
            </w:r>
            <w:r>
              <w:rPr>
                <w:color w:val="000000"/>
              </w:rPr>
              <w:t>年以上，且通过相应的外语和计算机考试</w:t>
            </w:r>
          </w:p>
        </w:tc>
      </w:tr>
      <w:tr>
        <w:trPr>
          <w:trHeight w:val="566"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4"/>
                <w:szCs w:val="24"/>
              </w:rPr>
              <w:t>专业技能</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熟悉工程设备各项工作规范</w:t>
            </w:r>
          </w:p>
        </w:tc>
      </w:tr>
      <w:tr>
        <w:trPr>
          <w:trHeight w:val="658" w:hRule="atLeast"/>
        </w:trPr>
        <w:tc>
          <w:tcPr>
            <w:tcW w:w="540" w:type="dxa"/>
            <w:vMerge w:val="continue"/>
            <w:tcBorders>
              <w:start w:val="single" w:sz="8" w:space="0" w:color="000000"/>
              <w:bottom w:val="single" w:sz="8" w:space="0" w:color="000000"/>
              <w:end w:val="single" w:sz="8" w:space="0" w:color="000000"/>
            </w:tcBorders>
            <w:tcMar>
              <w:start w:w="10" w:type="dxa"/>
              <w:end w:w="10" w:type="dxa"/>
            </w:tcMar>
            <w:vAlign w:val="center"/>
          </w:tcPr>
          <w:p>
            <w:pPr>
              <w:pStyle w:val="Normal"/>
              <w:widowControl w:val="false"/>
              <w:jc w:val="start"/>
              <w:rPr>
                <w:rFonts w:ascii="SimHei" w:hAnsi="SimHei" w:eastAsia="黑体" w:cs="SimHei"/>
                <w:szCs w:val="21"/>
              </w:rPr>
            </w:pPr>
            <w:r>
              <w:rPr>
                <w:rFonts w:ascii="SimHei" w:hAnsi="SimHei" w:eastAsia="黑体" w:cs="SimHei"/>
                <w:szCs w:val="21"/>
              </w:rPr>
            </w:r>
          </w:p>
        </w:tc>
        <w:tc>
          <w:tcPr>
            <w:tcW w:w="1270" w:type="dxa"/>
            <w:gridSpan w:val="3"/>
            <w:tcBorders>
              <w:bottom w:val="single" w:sz="8" w:space="0" w:color="000000"/>
              <w:end w:val="single" w:sz="8" w:space="0" w:color="000000"/>
            </w:tcBorders>
            <w:vAlign w:val="center"/>
          </w:tcPr>
          <w:p>
            <w:pPr>
              <w:pStyle w:val="Normal"/>
              <w:widowControl w:val="false"/>
              <w:jc w:val="center"/>
              <w:rPr>
                <w:rFonts w:ascii="SimHei" w:hAnsi="SimHei" w:eastAsia="黑体" w:cs="SimHei"/>
                <w:szCs w:val="21"/>
              </w:rPr>
            </w:pPr>
            <w:r>
              <w:rPr>
                <w:sz w:val="24"/>
                <w:szCs w:val="24"/>
              </w:rPr>
              <w:t>能力要求</w:t>
            </w:r>
          </w:p>
        </w:tc>
        <w:tc>
          <w:tcPr>
            <w:tcW w:w="6495" w:type="dxa"/>
            <w:gridSpan w:val="3"/>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具有很强的领导能力、判断与决策能力、人际能力、沟通能力、影响能力</w:t>
            </w:r>
          </w:p>
        </w:tc>
      </w:tr>
      <w:tr>
        <w:trPr>
          <w:trHeight w:val="1463" w:hRule="atLeast"/>
        </w:trPr>
        <w:tc>
          <w:tcPr>
            <w:tcW w:w="540" w:type="dxa"/>
            <w:tcBorders>
              <w:start w:val="single" w:sz="8" w:space="0" w:color="000000"/>
              <w:bottom w:val="single" w:sz="8" w:space="0" w:color="000000"/>
              <w:end w:val="single" w:sz="8" w:space="0" w:color="000000"/>
            </w:tcBorders>
            <w:vAlign w:val="center"/>
          </w:tcPr>
          <w:p>
            <w:pPr>
              <w:pStyle w:val="Normal"/>
              <w:widowControl w:val="false"/>
              <w:spacing w:lineRule="atLeast" w:line="480"/>
              <w:jc w:val="start"/>
              <w:rPr>
                <w:rFonts w:ascii="SimHei" w:hAnsi="SimHei" w:eastAsia="黑体" w:cs="SimHei"/>
                <w:szCs w:val="21"/>
              </w:rPr>
            </w:pPr>
            <w:r>
              <w:rPr>
                <w:sz w:val="28"/>
                <w:szCs w:val="28"/>
              </w:rPr>
              <w:t>其他要求</w:t>
            </w:r>
          </w:p>
        </w:tc>
        <w:tc>
          <w:tcPr>
            <w:tcW w:w="7765" w:type="dxa"/>
            <w:gridSpan w:val="6"/>
            <w:tcBorders>
              <w:bottom w:val="single" w:sz="8" w:space="0" w:color="000000"/>
              <w:end w:val="single" w:sz="8" w:space="0" w:color="000000"/>
            </w:tcBorders>
            <w:vAlign w:val="center"/>
          </w:tcPr>
          <w:p>
            <w:pPr>
              <w:pStyle w:val="Normal"/>
              <w:widowControl w:val="false"/>
              <w:jc w:val="start"/>
              <w:rPr>
                <w:rFonts w:ascii="SimHei" w:hAnsi="SimHei" w:eastAsia="黑体" w:cs="SimHei"/>
                <w:szCs w:val="21"/>
              </w:rPr>
            </w:pPr>
            <w:r>
              <w:rPr/>
              <w:t>身体健康，能承担繁重的工作任务</w:t>
            </w:r>
          </w:p>
        </w:tc>
      </w:tr>
      <w:tr>
        <w:trPr/>
        <w:tc>
          <w:tcPr>
            <w:tcW w:w="540"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543"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541"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186"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2522"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1445"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c>
          <w:tcPr>
            <w:tcW w:w="2528" w:type="dxa"/>
            <w:tcBorders/>
            <w:tcMar>
              <w:start w:w="10" w:type="dxa"/>
              <w:end w:w="10" w:type="dxa"/>
            </w:tcMar>
            <w:vAlign w:val="center"/>
          </w:tcPr>
          <w:p>
            <w:pPr>
              <w:pStyle w:val="Normal"/>
              <w:widowControl w:val="false"/>
              <w:jc w:val="start"/>
              <w:rPr>
                <w:rFonts w:ascii="SimHei" w:hAnsi="SimHei" w:eastAsia="黑体" w:cs="SimHei"/>
                <w:sz w:val="24"/>
                <w:szCs w:val="24"/>
              </w:rPr>
            </w:pPr>
            <w:r>
              <w:rPr>
                <w:rFonts w:ascii="SimHei" w:hAnsi="SimHei" w:eastAsia="黑体" w:cs="SimHei"/>
                <w:sz w:val="24"/>
                <w:szCs w:val="24"/>
              </w:rPr>
            </w:r>
          </w:p>
        </w:tc>
      </w:tr>
    </w:tbl>
    <w:p>
      <w:pPr>
        <w:pStyle w:val="Normal"/>
        <w:rPr>
          <w:rFonts w:ascii="SimHei" w:hAnsi="SimHei" w:eastAsia="黑体" w:cs="SimHei"/>
          <w:szCs w:val="21"/>
        </w:rPr>
      </w:pPr>
      <w:r>
        <w:rPr/>
        <w:t> </w:t>
      </w:r>
    </w:p>
    <w:p>
      <w:pPr>
        <w:pStyle w:val="Normal"/>
        <w:rPr/>
      </w:pPr>
      <w:r>
        <w:rPr/>
      </w:r>
    </w:p>
    <w:sectPr>
      <w:type w:val="nextPage"/>
      <w:pgSz w:w="11906" w:h="16838"/>
      <w:pgMar w:left="1800" w:right="180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楷体_GB2312">
    <w:charset w:val="01" w:characterSet="utf-8"/>
    <w:family w:val="roman"/>
    <w:pitch w:val="variable"/>
  </w:font>
  <w:font w:name="Times New Roman">
    <w:charset w:val="01" w:characterSet="utf-8"/>
    <w:family w:val="roman"/>
    <w:pitch w:val="variable"/>
  </w:font>
  <w:font w:name="宋体">
    <w:charset w:val="01" w:characterSet="utf-8"/>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kern w:val="2"/>
        <w:sz w:val="21"/>
        <w:szCs w:val="22"/>
        <w:lang w:val="en-US"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0152"/>
    <w:pPr>
      <w:widowControl w:val="false"/>
      <w:bidi w:val="0"/>
      <w:spacing w:before="0" w:after="0"/>
      <w:jc w:val="both"/>
    </w:pPr>
    <w:rPr>
      <w:rFonts w:ascii="SimHei" w:hAnsi="SimHei" w:eastAsia="黑体" w:cs="SimHei"/>
      <w:color w:val="auto"/>
      <w:kern w:val="2"/>
      <w:sz w:val="21"/>
      <w:szCs w:val="22"/>
      <w:lang w:val="en-US" w:eastAsia="zh-CN"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Pages>
  <Words>145</Words>
  <Characters>830</Characters>
  <CharactersWithSpaces>974</CharactersWithSpaces>
  <Paragraphs>1</Paragraphs>
  <Company>CHINA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2021-03-15T11:48:00Z</dcterms:created>
  <dc:creator>USER</dc:creator>
  <dc:description/>
  <dc:language>en-US</dc:language>
  <cp:lastModifiedBy>USER</cp:lastModifiedBy>
  <dcterms:modified xsi:type="dcterms:W3CDTF">2021-03-15T11:48:00Z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